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rPr/>
      </w:pPr>
      <w:r>
        <w:rPr/>
        <w:t>ORIONETA</w:t>
      </w:r>
    </w:p>
    <w:p>
      <w:pPr>
        <w:pStyle w:val="BodyText"/>
        <w:bidi w:val="0"/>
        <w:spacing w:before="0" w:after="283"/>
        <w:jc w:val="both"/>
        <w:rPr/>
      </w:pPr>
      <w:r>
        <w:rPr/>
        <w:t>Plataforma de mensajería y colaboración</w:t>
      </w:r>
    </w:p>
    <w:p>
      <w:pPr>
        <w:pStyle w:val="Heading1"/>
        <w:bidi w:val="0"/>
        <w:spacing w:lineRule="auto" w:line="288"/>
        <w:jc w:val="start"/>
        <w:rPr/>
      </w:pPr>
      <w:r>
        <w:rPr/>
        <w:t>Evaluación Final Transversal</w:t>
        <w:br/>
        <w:t>Introducción a Herramientas DevOps</w:t>
      </w:r>
    </w:p>
    <w:p>
      <w:pPr>
        <w:pStyle w:val="BodyText"/>
        <w:bidi w:val="0"/>
        <w:ind w:hanging="0" w:start="0" w:end="0"/>
        <w:jc w:val="center"/>
        <w:rPr>
          <w:sz w:val="28"/>
        </w:rPr>
      </w:pPr>
      <w:r>
        <w:rPr>
          <w:sz w:val="28"/>
        </w:rPr>
        <w:t>Automatización CI/CD, contenerización y despliegue en Amazon EKS</w:t>
      </w:r>
    </w:p>
    <w:p>
      <w:pPr>
        <w:pStyle w:val="BodyText"/>
        <w:bidi w:val="0"/>
        <w:spacing w:before="0" w:after="283"/>
        <w:jc w:val="both"/>
        <w:rPr/>
      </w:pPr>
      <w:r>
        <w:rPr>
          <w:rStyle w:val="Strong"/>
        </w:rPr>
        <w:t>Asignatura:</w:t>
      </w:r>
      <w:r>
        <w:rPr/>
        <w:t xml:space="preserve"> ISY1101 - Introducción a Herramientas DevOps</w:t>
      </w:r>
    </w:p>
    <w:p>
      <w:pPr>
        <w:pStyle w:val="BodyText"/>
        <w:bidi w:val="0"/>
        <w:spacing w:before="0" w:after="283"/>
        <w:jc w:val="both"/>
        <w:rPr/>
      </w:pPr>
      <w:r>
        <w:rPr>
          <w:rStyle w:val="Strong"/>
        </w:rPr>
        <w:t>Integrantes:</w:t>
      </w:r>
      <w:r>
        <w:rPr/>
        <w:t xml:space="preserve"> Leandro Pedraza / Juan [COMPLETAR APELLIDO]</w:t>
      </w:r>
    </w:p>
    <w:p>
      <w:pPr>
        <w:pStyle w:val="BodyText"/>
        <w:bidi w:val="0"/>
        <w:spacing w:before="0" w:after="283"/>
        <w:jc w:val="both"/>
        <w:rPr/>
      </w:pPr>
      <w:r>
        <w:rPr>
          <w:rStyle w:val="Strong"/>
        </w:rPr>
        <w:t>Docente:</w:t>
      </w:r>
      <w:r>
        <w:rPr/>
        <w:t xml:space="preserve"> [COMPLETAR]</w:t>
      </w:r>
    </w:p>
    <w:p>
      <w:pPr>
        <w:pStyle w:val="BodyText"/>
        <w:bidi w:val="0"/>
        <w:spacing w:before="0" w:after="283"/>
        <w:jc w:val="both"/>
        <w:rPr/>
      </w:pPr>
      <w:r>
        <w:rPr>
          <w:rStyle w:val="Strong"/>
        </w:rPr>
        <w:t>Sección:</w:t>
      </w:r>
      <w:r>
        <w:rPr/>
        <w:t xml:space="preserve"> [COMPLETAR]</w:t>
      </w:r>
    </w:p>
    <w:p>
      <w:pPr>
        <w:pStyle w:val="BodyText"/>
        <w:bidi w:val="0"/>
        <w:spacing w:before="0" w:after="283"/>
        <w:jc w:val="both"/>
        <w:rPr/>
      </w:pPr>
      <w:r>
        <w:rPr>
          <w:rStyle w:val="Strong"/>
        </w:rPr>
        <w:t>Fecha:</w:t>
      </w:r>
      <w:r>
        <w:rPr/>
        <w:t xml:space="preserve"> 21 de junio de 2026</w:t>
      </w:r>
    </w:p>
    <w:p>
      <w:pPr>
        <w:pStyle w:val="BodyText"/>
        <w:bidi w:val="0"/>
        <w:spacing w:before="0" w:after="283"/>
        <w:jc w:val="both"/>
        <w:rPr/>
      </w:pPr>
      <w:r>
        <w:rPr>
          <w:rStyle w:val="Strong"/>
        </w:rPr>
        <w:t>URL:</w:t>
      </w:r>
      <w:r>
        <w:rPr/>
        <w:t xml:space="preserve"> https://orioneta.accesscam.org</w:t>
      </w:r>
      <w:r>
        <w:br w:type="page"/>
      </w:r>
    </w:p>
    <w:p>
      <w:pPr>
        <w:pStyle w:val="Heading1"/>
        <w:bidi w:val="0"/>
        <w:ind w:hanging="0" w:start="0" w:end="0"/>
        <w:jc w:val="start"/>
        <w:rPr/>
      </w:pPr>
      <w:r>
        <w:rPr/>
        <w:t>Tabla de contenidos</w:t>
      </w:r>
    </w:p>
    <w:p>
      <w:pPr>
        <w:pStyle w:val="BodyText"/>
        <w:numPr>
          <w:ilvl w:val="0"/>
          <w:numId w:val="2"/>
        </w:numPr>
        <w:tabs>
          <w:tab w:val="clear" w:pos="1134"/>
          <w:tab w:val="left" w:pos="709" w:leader="none"/>
        </w:tabs>
        <w:bidi w:val="0"/>
        <w:spacing w:before="0" w:after="0"/>
        <w:ind w:hanging="283" w:start="709"/>
        <w:rPr/>
      </w:pPr>
      <w:r>
        <w:rPr/>
        <w:t xml:space="preserve">Resumen ejecutivo </w:t>
      </w:r>
    </w:p>
    <w:p>
      <w:pPr>
        <w:pStyle w:val="BodyText"/>
        <w:numPr>
          <w:ilvl w:val="0"/>
          <w:numId w:val="2"/>
        </w:numPr>
        <w:tabs>
          <w:tab w:val="clear" w:pos="1134"/>
          <w:tab w:val="left" w:pos="709" w:leader="none"/>
        </w:tabs>
        <w:bidi w:val="0"/>
        <w:spacing w:before="0" w:after="0"/>
        <w:ind w:hanging="283" w:start="709"/>
        <w:rPr/>
      </w:pPr>
      <w:r>
        <w:rPr/>
        <w:t xml:space="preserve">Descripción del producto y alcance </w:t>
      </w:r>
    </w:p>
    <w:p>
      <w:pPr>
        <w:pStyle w:val="BodyText"/>
        <w:numPr>
          <w:ilvl w:val="0"/>
          <w:numId w:val="2"/>
        </w:numPr>
        <w:tabs>
          <w:tab w:val="clear" w:pos="1134"/>
          <w:tab w:val="left" w:pos="709" w:leader="none"/>
        </w:tabs>
        <w:bidi w:val="0"/>
        <w:spacing w:before="0" w:after="0"/>
        <w:ind w:hanging="283" w:start="709"/>
        <w:rPr/>
      </w:pPr>
      <w:r>
        <w:rPr/>
        <w:t xml:space="preserve">Gestión de versiones y arquitectura </w:t>
      </w:r>
    </w:p>
    <w:p>
      <w:pPr>
        <w:pStyle w:val="BodyText"/>
        <w:numPr>
          <w:ilvl w:val="0"/>
          <w:numId w:val="2"/>
        </w:numPr>
        <w:tabs>
          <w:tab w:val="clear" w:pos="1134"/>
          <w:tab w:val="left" w:pos="709" w:leader="none"/>
        </w:tabs>
        <w:bidi w:val="0"/>
        <w:spacing w:before="0" w:after="0"/>
        <w:ind w:hanging="283" w:start="709"/>
        <w:rPr/>
      </w:pPr>
      <w:r>
        <w:rPr/>
        <w:t xml:space="preserve">Método de integración del sistema </w:t>
      </w:r>
    </w:p>
    <w:p>
      <w:pPr>
        <w:pStyle w:val="BodyText"/>
        <w:numPr>
          <w:ilvl w:val="0"/>
          <w:numId w:val="2"/>
        </w:numPr>
        <w:tabs>
          <w:tab w:val="clear" w:pos="1134"/>
          <w:tab w:val="left" w:pos="709" w:leader="none"/>
        </w:tabs>
        <w:bidi w:val="0"/>
        <w:spacing w:before="0" w:after="0"/>
        <w:ind w:hanging="283" w:start="709"/>
        <w:rPr/>
      </w:pPr>
      <w:r>
        <w:rPr/>
        <w:t xml:space="preserve">Contenerización y entorno local </w:t>
      </w:r>
    </w:p>
    <w:p>
      <w:pPr>
        <w:pStyle w:val="BodyText"/>
        <w:numPr>
          <w:ilvl w:val="0"/>
          <w:numId w:val="2"/>
        </w:numPr>
        <w:tabs>
          <w:tab w:val="clear" w:pos="1134"/>
          <w:tab w:val="left" w:pos="709" w:leader="none"/>
        </w:tabs>
        <w:bidi w:val="0"/>
        <w:spacing w:before="0" w:after="0"/>
        <w:ind w:hanging="283" w:start="709"/>
        <w:rPr/>
      </w:pPr>
      <w:r>
        <w:rPr/>
        <w:t xml:space="preserve">Registro y trazabilidad de imágenes </w:t>
      </w:r>
    </w:p>
    <w:p>
      <w:pPr>
        <w:pStyle w:val="BodyText"/>
        <w:numPr>
          <w:ilvl w:val="0"/>
          <w:numId w:val="2"/>
        </w:numPr>
        <w:tabs>
          <w:tab w:val="clear" w:pos="1134"/>
          <w:tab w:val="left" w:pos="709" w:leader="none"/>
        </w:tabs>
        <w:bidi w:val="0"/>
        <w:spacing w:before="0" w:after="0"/>
        <w:ind w:hanging="283" w:start="709"/>
        <w:rPr/>
      </w:pPr>
      <w:r>
        <w:rPr/>
        <w:t xml:space="preserve">Pipeline de integración y entrega continua </w:t>
      </w:r>
    </w:p>
    <w:p>
      <w:pPr>
        <w:pStyle w:val="BodyText"/>
        <w:numPr>
          <w:ilvl w:val="0"/>
          <w:numId w:val="2"/>
        </w:numPr>
        <w:tabs>
          <w:tab w:val="clear" w:pos="1134"/>
          <w:tab w:val="left" w:pos="709" w:leader="none"/>
        </w:tabs>
        <w:bidi w:val="0"/>
        <w:spacing w:before="0" w:after="0"/>
        <w:ind w:hanging="283" w:start="709"/>
        <w:rPr/>
      </w:pPr>
      <w:r>
        <w:rPr/>
        <w:t xml:space="preserve">Infraestructura desplegada en AWS </w:t>
      </w:r>
    </w:p>
    <w:p>
      <w:pPr>
        <w:pStyle w:val="BodyText"/>
        <w:numPr>
          <w:ilvl w:val="0"/>
          <w:numId w:val="2"/>
        </w:numPr>
        <w:tabs>
          <w:tab w:val="clear" w:pos="1134"/>
          <w:tab w:val="left" w:pos="709" w:leader="none"/>
        </w:tabs>
        <w:bidi w:val="0"/>
        <w:spacing w:before="0" w:after="0"/>
        <w:ind w:hanging="283" w:start="709"/>
        <w:rPr/>
      </w:pPr>
      <w:r>
        <w:rPr/>
        <w:t xml:space="preserve">Configuración, secretos e IAM </w:t>
      </w:r>
    </w:p>
    <w:p>
      <w:pPr>
        <w:pStyle w:val="BodyText"/>
        <w:numPr>
          <w:ilvl w:val="0"/>
          <w:numId w:val="2"/>
        </w:numPr>
        <w:tabs>
          <w:tab w:val="clear" w:pos="1134"/>
          <w:tab w:val="left" w:pos="709" w:leader="none"/>
        </w:tabs>
        <w:bidi w:val="0"/>
        <w:spacing w:before="0" w:after="0"/>
        <w:ind w:hanging="283" w:start="709"/>
        <w:rPr/>
      </w:pPr>
      <w:r>
        <w:rPr/>
        <w:t xml:space="preserve">Observabilidad y evidencias </w:t>
      </w:r>
    </w:p>
    <w:p>
      <w:pPr>
        <w:pStyle w:val="BodyText"/>
        <w:numPr>
          <w:ilvl w:val="0"/>
          <w:numId w:val="2"/>
        </w:numPr>
        <w:tabs>
          <w:tab w:val="clear" w:pos="1134"/>
          <w:tab w:val="left" w:pos="709" w:leader="none"/>
        </w:tabs>
        <w:bidi w:val="0"/>
        <w:spacing w:before="0" w:after="0"/>
        <w:ind w:hanging="283" w:start="709"/>
        <w:rPr/>
      </w:pPr>
      <w:r>
        <w:rPr/>
        <w:t xml:space="preserve">Seguridad básica </w:t>
      </w:r>
    </w:p>
    <w:p>
      <w:pPr>
        <w:pStyle w:val="BodyText"/>
        <w:numPr>
          <w:ilvl w:val="0"/>
          <w:numId w:val="2"/>
        </w:numPr>
        <w:tabs>
          <w:tab w:val="clear" w:pos="1134"/>
          <w:tab w:val="left" w:pos="709" w:leader="none"/>
        </w:tabs>
        <w:bidi w:val="0"/>
        <w:spacing w:before="0" w:after="0"/>
        <w:ind w:hanging="283" w:start="709"/>
        <w:rPr/>
      </w:pPr>
      <w:r>
        <w:rPr/>
        <w:t xml:space="preserve">Orquestación y escalabilidad </w:t>
      </w:r>
    </w:p>
    <w:p>
      <w:pPr>
        <w:pStyle w:val="BodyText"/>
        <w:numPr>
          <w:ilvl w:val="0"/>
          <w:numId w:val="2"/>
        </w:numPr>
        <w:tabs>
          <w:tab w:val="clear" w:pos="1134"/>
          <w:tab w:val="left" w:pos="709" w:leader="none"/>
        </w:tabs>
        <w:bidi w:val="0"/>
        <w:spacing w:before="0" w:after="0"/>
        <w:ind w:hanging="283" w:start="709"/>
        <w:rPr/>
      </w:pPr>
      <w:r>
        <w:rPr/>
        <w:t xml:space="preserve">Verificación funcional </w:t>
      </w:r>
    </w:p>
    <w:p>
      <w:pPr>
        <w:pStyle w:val="BodyText"/>
        <w:numPr>
          <w:ilvl w:val="0"/>
          <w:numId w:val="2"/>
        </w:numPr>
        <w:tabs>
          <w:tab w:val="clear" w:pos="1134"/>
          <w:tab w:val="left" w:pos="709" w:leader="none"/>
        </w:tabs>
        <w:bidi w:val="0"/>
        <w:spacing w:before="0" w:after="0"/>
        <w:ind w:hanging="283" w:start="709"/>
        <w:rPr/>
      </w:pPr>
      <w:r>
        <w:rPr/>
        <w:t xml:space="preserve">Conclusiones y mejoras futuras </w:t>
      </w:r>
    </w:p>
    <w:p>
      <w:pPr>
        <w:pStyle w:val="BodyText"/>
        <w:numPr>
          <w:ilvl w:val="0"/>
          <w:numId w:val="2"/>
        </w:numPr>
        <w:tabs>
          <w:tab w:val="clear" w:pos="1134"/>
          <w:tab w:val="left" w:pos="709" w:leader="none"/>
        </w:tabs>
        <w:bidi w:val="0"/>
        <w:spacing w:before="0" w:after="0"/>
        <w:ind w:hanging="283" w:start="709"/>
        <w:rPr/>
      </w:pPr>
      <w:r>
        <w:rPr/>
        <w:t xml:space="preserve">Matriz de cumplimiento de la rúbrica </w:t>
      </w:r>
    </w:p>
    <w:p>
      <w:pPr>
        <w:pStyle w:val="BodyText"/>
        <w:numPr>
          <w:ilvl w:val="0"/>
          <w:numId w:val="2"/>
        </w:numPr>
        <w:tabs>
          <w:tab w:val="clear" w:pos="1134"/>
          <w:tab w:val="left" w:pos="709" w:leader="none"/>
        </w:tabs>
        <w:bidi w:val="0"/>
        <w:ind w:hanging="283" w:start="709"/>
        <w:rPr/>
      </w:pPr>
      <w:r>
        <w:rPr/>
        <w:t xml:space="preserve">Anexos </w:t>
      </w:r>
      <w:r>
        <w:br w:type="page"/>
      </w:r>
    </w:p>
    <w:p>
      <w:pPr>
        <w:pStyle w:val="Heading2"/>
        <w:bidi w:val="0"/>
        <w:ind w:hanging="0" w:start="0" w:end="0"/>
        <w:jc w:val="start"/>
        <w:rPr/>
      </w:pPr>
      <w:r>
        <w:rPr/>
        <w:t>1. Resumen ejecutivo</w:t>
      </w:r>
    </w:p>
    <w:p>
      <w:pPr>
        <w:pStyle w:val="BodyText"/>
        <w:bidi w:val="0"/>
        <w:spacing w:before="0" w:after="283"/>
        <w:jc w:val="both"/>
        <w:rPr/>
      </w:pPr>
      <w:r>
        <w:rPr/>
        <w:t xml:space="preserve">Orioneta es una plataforma web de mensajería privada que integra frontend, backend de microservicios y persistencia relacional. El objetivo DevOps fue automatizar el ciclo completo desde un cambio en la rama </w:t>
      </w:r>
      <w:r>
        <w:rPr>
          <w:rStyle w:val="SourceText"/>
        </w:rPr>
        <w:t>main</w:t>
      </w:r>
      <w:r>
        <w:rPr/>
        <w:t xml:space="preserve"> hasta una versión accesible por HTTPS en AWS. </w:t>
      </w:r>
    </w:p>
    <w:p>
      <w:pPr>
        <w:pStyle w:val="BodyText"/>
        <w:bidi w:val="0"/>
        <w:spacing w:before="0" w:after="283"/>
        <w:jc w:val="both"/>
        <w:rPr/>
      </w:pPr>
      <w:r>
        <w:rPr/>
        <w:t xml:space="preserve">La solución utiliza React y Vite en el frontend; Java 25, Spring Boot y Maven en el backend; PostgreSQL como base relacional; RabbitMQ para eventos; Redis para presencia y MinIO para archivos. Todos los componentes se ejecutan en contenedores. El backend se orquesta con Amazon EKS y el frontend se despliega en una instancia EC2 protegida por Caddy. </w:t>
      </w:r>
    </w:p>
    <w:p>
      <w:pPr>
        <w:pStyle w:val="BodyText"/>
        <w:bidi w:val="0"/>
        <w:spacing w:before="0" w:after="283"/>
        <w:jc w:val="both"/>
        <w:rPr/>
      </w:pPr>
      <w:r>
        <w:rPr/>
        <w:t xml:space="preserve">GitHub Actions ejecuta build, pruebas, creación de imágenes, publicación en Docker Hub y despliegue. En la validación final se ejecutaron 68 pruebas backend sin fallos, los 14 Deployments quedaron disponibles, los pods no registraron reinicios y la aplicación respondió correctamente por HTTPS y WebSocket. </w:t>
      </w:r>
    </w:p>
    <w:p>
      <w:pPr>
        <w:pStyle w:val="BodyText"/>
        <w:bidi w:val="0"/>
        <w:spacing w:before="0" w:after="283"/>
        <w:jc w:val="both"/>
        <w:rPr/>
      </w:pPr>
      <w:r>
        <w:rPr>
          <w:rStyle w:val="Strong"/>
        </w:rPr>
        <w:t>Resultado:</w:t>
      </w:r>
      <w:r>
        <w:rPr/>
        <w:t xml:space="preserve"> pipeline automatizado y despliegue funcional en </w:t>
      </w:r>
      <w:hyperlink r:id="rId2">
        <w:r>
          <w:rPr>
            <w:rStyle w:val="Hyperlink"/>
          </w:rPr>
          <w:t>https://orioneta.accesscam.org</w:t>
        </w:r>
      </w:hyperlink>
      <w:r>
        <w:rPr/>
        <w:t xml:space="preserve">. </w:t>
      </w:r>
    </w:p>
    <w:p>
      <w:pPr>
        <w:pStyle w:val="Heading2"/>
        <w:numPr>
          <w:ilvl w:val="0"/>
          <w:numId w:val="0"/>
        </w:numPr>
        <w:pBdr>
          <w:bottom w:val="single" w:sz="12" w:space="1" w:color="7C3AED"/>
        </w:pBdr>
        <w:bidi w:val="0"/>
        <w:spacing w:lineRule="auto" w:line="288" w:before="200" w:after="120"/>
        <w:jc w:val="start"/>
        <w:rPr/>
      </w:pPr>
      <w:r>
        <w:rPr/>
        <w:t>2. Descripción del producto y alcance</w:t>
      </w:r>
    </w:p>
    <w:p>
      <w:pPr>
        <w:pStyle w:val="BodyText"/>
        <w:bidi w:val="0"/>
        <w:spacing w:before="0" w:after="283"/>
        <w:jc w:val="both"/>
        <w:rPr/>
      </w:pPr>
      <w:r>
        <w:rPr/>
        <w:t xml:space="preserve">Orioneta permite registrar usuarios, iniciar sesión localmente o mediante Google/GitHub, administrar perfiles, agregar amistades por friend code, crear chats privados o grupos, enviar texto y multimedia y recibir eventos en tiempo real. El frontend incorpora además llamadas WebRTC, personalización y Neta Market. </w:t>
      </w:r>
    </w:p>
    <w:p>
      <w:pPr>
        <w:pStyle w:val="BodyText"/>
        <w:bidi w:val="0"/>
        <w:spacing w:before="0" w:after="283"/>
        <w:jc w:val="both"/>
        <w:rPr/>
      </w:pPr>
      <w:r>
        <w:rPr/>
        <w:t xml:space="preserve">El alcance de esta entrega no consiste únicamente en demostrar funciones de negocio. Se busca demostrar reproducibilidad, automatización, observabilidad y operación en nube. Por ello, código, infraestructura y documentación se mantienen versionados en repositorios públicos. </w:t>
      </w:r>
    </w:p>
    <w:tbl>
      <w:tblPr>
        <w:tblW w:w="8891" w:type="dxa"/>
        <w:jc w:val="start"/>
        <w:tblInd w:w="0" w:type="dxa"/>
        <w:tblLayout w:type="fixed"/>
        <w:tblCellMar>
          <w:top w:w="28" w:type="dxa"/>
          <w:start w:w="28" w:type="dxa"/>
          <w:bottom w:w="28" w:type="dxa"/>
          <w:end w:w="28" w:type="dxa"/>
        </w:tblCellMar>
      </w:tblPr>
      <w:tblGrid>
        <w:gridCol w:w="1836"/>
        <w:gridCol w:w="5202"/>
        <w:gridCol w:w="1853"/>
      </w:tblGrid>
      <w:tr>
        <w:trPr/>
        <w:tc>
          <w:tcPr>
            <w:tcW w:w="1836" w:type="dxa"/>
            <w:tcBorders/>
            <w:vAlign w:val="center"/>
          </w:tcPr>
          <w:p>
            <w:pPr>
              <w:pStyle w:val="TableHeading"/>
              <w:suppressLineNumbers/>
              <w:bidi w:val="0"/>
              <w:spacing w:before="0" w:after="283"/>
              <w:jc w:val="center"/>
              <w:rPr/>
            </w:pPr>
            <w:r>
              <w:rPr/>
              <w:t>Repositorio</w:t>
            </w:r>
          </w:p>
        </w:tc>
        <w:tc>
          <w:tcPr>
            <w:tcW w:w="5202" w:type="dxa"/>
            <w:tcBorders/>
            <w:vAlign w:val="center"/>
          </w:tcPr>
          <w:p>
            <w:pPr>
              <w:pStyle w:val="TableHeading"/>
              <w:suppressLineNumbers/>
              <w:bidi w:val="0"/>
              <w:spacing w:before="0" w:after="283"/>
              <w:jc w:val="center"/>
              <w:rPr/>
            </w:pPr>
            <w:r>
              <w:rPr/>
              <w:t>Responsabilidad</w:t>
            </w:r>
          </w:p>
        </w:tc>
        <w:tc>
          <w:tcPr>
            <w:tcW w:w="1853" w:type="dxa"/>
            <w:tcBorders/>
            <w:vAlign w:val="center"/>
          </w:tcPr>
          <w:p>
            <w:pPr>
              <w:pStyle w:val="TableHeading"/>
              <w:suppressLineNumbers/>
              <w:bidi w:val="0"/>
              <w:spacing w:before="0" w:after="283"/>
              <w:jc w:val="center"/>
              <w:rPr/>
            </w:pPr>
            <w:r>
              <w:rPr/>
              <w:t>Rama productiva</w:t>
            </w:r>
          </w:p>
        </w:tc>
      </w:tr>
      <w:tr>
        <w:trPr/>
        <w:tc>
          <w:tcPr>
            <w:tcW w:w="1836" w:type="dxa"/>
            <w:tcBorders/>
            <w:vAlign w:val="center"/>
          </w:tcPr>
          <w:p>
            <w:pPr>
              <w:pStyle w:val="TableContents"/>
              <w:bidi w:val="0"/>
              <w:spacing w:before="0" w:after="283"/>
              <w:rPr/>
            </w:pPr>
            <w:hyperlink r:id="rId3">
              <w:r>
                <w:rPr>
                  <w:rStyle w:val="Hyperlink"/>
                </w:rPr>
                <w:t>Orioneta-Backend</w:t>
              </w:r>
            </w:hyperlink>
          </w:p>
        </w:tc>
        <w:tc>
          <w:tcPr>
            <w:tcW w:w="5202" w:type="dxa"/>
            <w:tcBorders/>
            <w:vAlign w:val="center"/>
          </w:tcPr>
          <w:p>
            <w:pPr>
              <w:pStyle w:val="TableContents"/>
              <w:bidi w:val="0"/>
              <w:spacing w:before="0" w:after="283"/>
              <w:rPr/>
            </w:pPr>
            <w:r>
              <w:rPr/>
              <w:t>Microservicios, Compose, Kubernetes y CI/CD de EKS</w:t>
            </w:r>
          </w:p>
        </w:tc>
        <w:tc>
          <w:tcPr>
            <w:tcW w:w="1853" w:type="dxa"/>
            <w:tcBorders/>
            <w:vAlign w:val="center"/>
          </w:tcPr>
          <w:p>
            <w:pPr>
              <w:pStyle w:val="TableContents"/>
              <w:bidi w:val="0"/>
              <w:spacing w:before="0" w:after="283"/>
              <w:rPr/>
            </w:pPr>
            <w:r>
              <w:rPr>
                <w:rStyle w:val="SourceText"/>
              </w:rPr>
              <w:t>main</w:t>
            </w:r>
          </w:p>
        </w:tc>
      </w:tr>
      <w:tr>
        <w:trPr/>
        <w:tc>
          <w:tcPr>
            <w:tcW w:w="1836" w:type="dxa"/>
            <w:tcBorders/>
            <w:vAlign w:val="center"/>
          </w:tcPr>
          <w:p>
            <w:pPr>
              <w:pStyle w:val="TableContents"/>
              <w:bidi w:val="0"/>
              <w:spacing w:before="0" w:after="283"/>
              <w:rPr/>
            </w:pPr>
            <w:hyperlink r:id="rId4">
              <w:r>
                <w:rPr>
                  <w:rStyle w:val="Hyperlink"/>
                </w:rPr>
                <w:t>Orioneta-Frontend</w:t>
              </w:r>
            </w:hyperlink>
          </w:p>
        </w:tc>
        <w:tc>
          <w:tcPr>
            <w:tcW w:w="5202" w:type="dxa"/>
            <w:tcBorders/>
            <w:vAlign w:val="center"/>
          </w:tcPr>
          <w:p>
            <w:pPr>
              <w:pStyle w:val="TableContents"/>
              <w:bidi w:val="0"/>
              <w:spacing w:before="0" w:after="283"/>
              <w:rPr/>
            </w:pPr>
            <w:r>
              <w:rPr/>
              <w:t>React, Docker/Nginx, Caddy y despliegue EC2</w:t>
            </w:r>
          </w:p>
        </w:tc>
        <w:tc>
          <w:tcPr>
            <w:tcW w:w="1853" w:type="dxa"/>
            <w:tcBorders/>
            <w:vAlign w:val="center"/>
          </w:tcPr>
          <w:p>
            <w:pPr>
              <w:pStyle w:val="TableContents"/>
              <w:bidi w:val="0"/>
              <w:spacing w:before="0" w:after="283"/>
              <w:rPr/>
            </w:pPr>
            <w:r>
              <w:rPr>
                <w:rStyle w:val="SourceText"/>
              </w:rPr>
              <w:t>main</w:t>
            </w:r>
          </w:p>
        </w:tc>
      </w:tr>
    </w:tbl>
    <w:p>
      <w:pPr>
        <w:pStyle w:val="Heading2"/>
        <w:bidi w:val="0"/>
        <w:ind w:hanging="0" w:start="0" w:end="0"/>
        <w:jc w:val="start"/>
        <w:rPr/>
      </w:pPr>
      <w:r>
        <w:br w:type="page"/>
      </w:r>
      <w:r>
        <w:rPr/>
        <w:t>3. Gestión de versiones y arquitectura</w:t>
      </w:r>
    </w:p>
    <w:p>
      <w:pPr>
        <w:pStyle w:val="Heading3"/>
        <w:numPr>
          <w:ilvl w:val="0"/>
          <w:numId w:val="0"/>
        </w:numPr>
        <w:bidi w:val="0"/>
        <w:spacing w:lineRule="auto" w:line="288" w:before="140" w:after="120"/>
        <w:jc w:val="start"/>
        <w:rPr/>
      </w:pPr>
      <w:r>
        <w:rPr/>
        <w:t>3.1 Estrategia Git</w:t>
      </w:r>
    </w:p>
    <w:p>
      <w:pPr>
        <w:pStyle w:val="BodyText"/>
        <w:bidi w:val="0"/>
        <w:spacing w:before="0" w:after="283"/>
        <w:jc w:val="both"/>
        <w:rPr/>
      </w:pPr>
      <w:r>
        <w:rPr/>
        <w:t xml:space="preserve">Se aplicó GitHub Flow. El trabajo se desarrolló en ramas descriptivas con prefijos </w:t>
      </w:r>
      <w:r>
        <w:rPr>
          <w:rStyle w:val="SourceText"/>
        </w:rPr>
        <w:t>feature/</w:t>
      </w:r>
      <w:r>
        <w:rPr/>
        <w:t xml:space="preserve">, </w:t>
      </w:r>
      <w:r>
        <w:rPr>
          <w:rStyle w:val="SourceText"/>
        </w:rPr>
        <w:t>fix/</w:t>
      </w:r>
      <w:r>
        <w:rPr/>
        <w:t xml:space="preserve"> y </w:t>
      </w:r>
      <w:r>
        <w:rPr>
          <w:rStyle w:val="SourceText"/>
        </w:rPr>
        <w:t>chore/</w:t>
      </w:r>
      <w:r>
        <w:rPr/>
        <w:t xml:space="preserve">. Los cambios integrados se fusionaron en </w:t>
      </w:r>
      <w:r>
        <w:rPr>
          <w:rStyle w:val="SourceText"/>
        </w:rPr>
        <w:t>main</w:t>
      </w:r>
      <w:r>
        <w:rPr/>
        <w:t xml:space="preserve">, rama que activa los despliegues. Los mensajes de commit usan ámbito y propósito, por ejemplo </w:t>
      </w:r>
      <w:r>
        <w:rPr>
          <w:rStyle w:val="SourceText"/>
        </w:rPr>
        <w:t>fix(k8s): estabilizar despliegues y persistencia en EKS</w:t>
      </w:r>
      <w:r>
        <w:rPr/>
        <w:t xml:space="preserve">. </w:t>
      </w:r>
    </w:p>
    <w:p>
      <w:pPr>
        <w:pStyle w:val="BodyText"/>
        <w:bidi w:val="0"/>
        <w:spacing w:before="0" w:after="283"/>
        <w:jc w:val="both"/>
        <w:rPr/>
      </w:pPr>
      <w:r>
        <w:rPr/>
        <w:t xml:space="preserve">Esta estrategia mantiene una única rama siempre desplegable, reduce ramas de larga vida y permite asociar cada imagen con el SHA que originó su construcción. </w:t>
      </w:r>
    </w:p>
    <w:p>
      <w:pPr>
        <w:pStyle w:val="Heading3"/>
        <w:numPr>
          <w:ilvl w:val="0"/>
          <w:numId w:val="0"/>
        </w:numPr>
        <w:bidi w:val="0"/>
        <w:spacing w:lineRule="auto" w:line="288" w:before="140" w:after="120"/>
        <w:jc w:val="start"/>
        <w:rPr/>
      </w:pPr>
      <w:r>
        <w:rPr/>
        <w:t>3.2 Diagrama de despliegue</w:t>
      </w:r>
    </w:p>
    <w:p>
      <w:pPr>
        <w:pStyle w:val="BodyText"/>
        <w:bidi w:val="0"/>
        <w:spacing w:before="0" w:after="283"/>
        <w:jc w:val="both"/>
        <w:rPr/>
      </w:pPr>
      <w:r>
        <w:rPr/>
        <w:drawing>
          <wp:inline distT="0" distB="0" distL="0" distR="0">
            <wp:extent cx="6120130" cy="1838325"/>
            <wp:effectExtent l="0" t="0" r="0" b="0"/>
            <wp:docPr id="1" name="Image1" title="Arquitectura de despliegue Orion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Arquitectura de despliegue Orioneta"/>
                    <pic:cNvPicPr>
                      <a:picLocks noChangeAspect="1" noChangeArrowheads="1"/>
                    </pic:cNvPicPr>
                  </pic:nvPicPr>
                  <pic:blipFill>
                    <a:blip r:embed="rId5"/>
                    <a:stretch>
                      <a:fillRect/>
                    </a:stretch>
                  </pic:blipFill>
                  <pic:spPr bwMode="auto">
                    <a:xfrm>
                      <a:off x="0" y="0"/>
                      <a:ext cx="6120130" cy="1838325"/>
                    </a:xfrm>
                    <a:prstGeom prst="rect">
                      <a:avLst/>
                    </a:prstGeom>
                    <a:noFill/>
                  </pic:spPr>
                </pic:pic>
              </a:graphicData>
            </a:graphic>
          </wp:inline>
        </w:drawing>
      </w:r>
      <w:r>
        <w:rPr/>
        <w:t xml:space="preserve"> </w:t>
      </w:r>
    </w:p>
    <w:p>
      <w:pPr>
        <w:pStyle w:val="BodyTextcaption"/>
        <w:bidi w:val="0"/>
        <w:jc w:val="center"/>
        <w:rPr/>
      </w:pPr>
      <w:r>
        <w:rPr/>
        <w:t>Figura 1. Arquitectura real desplegada en AWS.</w:t>
      </w:r>
    </w:p>
    <w:p>
      <w:pPr>
        <w:pStyle w:val="BodyText"/>
        <w:bidi w:val="0"/>
        <w:spacing w:before="0" w:after="283"/>
        <w:jc w:val="both"/>
        <w:rPr/>
      </w:pPr>
      <w:r>
        <w:rPr/>
        <w:t xml:space="preserve">La arquitectura separa el acceso público del plano interno. Caddy recibe HTTPS en EC2, sirve React/Nginx y envía API o WebSocket al Network Load Balancer. Dentro de EKS, solo el Gateway es público; los demás Services son ClusterIP. </w:t>
      </w:r>
    </w:p>
    <w:p>
      <w:pPr>
        <w:pStyle w:val="Heading2"/>
        <w:numPr>
          <w:ilvl w:val="0"/>
          <w:numId w:val="0"/>
        </w:numPr>
        <w:pBdr>
          <w:bottom w:val="single" w:sz="12" w:space="1" w:color="7C3AED"/>
        </w:pBdr>
        <w:bidi w:val="0"/>
        <w:spacing w:lineRule="auto" w:line="288" w:before="200" w:after="120"/>
        <w:jc w:val="start"/>
        <w:rPr/>
      </w:pPr>
      <w:r>
        <w:rPr/>
        <w:t>4. Método de integración del sistema</w:t>
      </w:r>
    </w:p>
    <w:p>
      <w:pPr>
        <w:pStyle w:val="Heading3"/>
        <w:numPr>
          <w:ilvl w:val="0"/>
          <w:numId w:val="0"/>
        </w:numPr>
        <w:bidi w:val="0"/>
        <w:spacing w:lineRule="auto" w:line="288" w:before="140" w:after="120"/>
        <w:jc w:val="start"/>
        <w:rPr/>
      </w:pPr>
      <w:r>
        <w:rPr/>
        <w:t>4.1 Frontend y backend</w:t>
      </w:r>
    </w:p>
    <w:p>
      <w:pPr>
        <w:pStyle w:val="BodyText"/>
        <w:bidi w:val="0"/>
        <w:spacing w:before="0" w:after="283"/>
        <w:jc w:val="both"/>
        <w:rPr/>
      </w:pPr>
      <w:r>
        <w:rPr/>
        <w:t xml:space="preserve">El frontend usa rutas same-origin. Las solicitudes a </w:t>
      </w:r>
      <w:r>
        <w:rPr>
          <w:rStyle w:val="SourceText"/>
        </w:rPr>
        <w:t>/api/*</w:t>
      </w:r>
      <w:r>
        <w:rPr/>
        <w:t xml:space="preserve">, </w:t>
      </w:r>
      <w:r>
        <w:rPr>
          <w:rStyle w:val="SourceText"/>
        </w:rPr>
        <w:t>/oauth2/*</w:t>
      </w:r>
      <w:r>
        <w:rPr/>
        <w:t xml:space="preserve"> y </w:t>
      </w:r>
      <w:r>
        <w:rPr>
          <w:rStyle w:val="SourceText"/>
        </w:rPr>
        <w:t>/ws/*</w:t>
      </w:r>
      <w:r>
        <w:rPr/>
        <w:t xml:space="preserve"> pasan por Caddy hacia el NLB. Este diseño evita exponer URLs internas en el bundle y elimina problemas CORS entre frontend y gateway. </w:t>
      </w:r>
    </w:p>
    <w:p>
      <w:pPr>
        <w:pStyle w:val="Heading3"/>
        <w:numPr>
          <w:ilvl w:val="0"/>
          <w:numId w:val="0"/>
        </w:numPr>
        <w:bidi w:val="0"/>
        <w:spacing w:lineRule="auto" w:line="288" w:before="140" w:after="120"/>
        <w:jc w:val="start"/>
        <w:rPr/>
      </w:pPr>
      <w:r>
        <w:rPr/>
        <w:t>4.2 Gateway y BFF</w:t>
      </w:r>
    </w:p>
    <w:p>
      <w:pPr>
        <w:pStyle w:val="BodyText"/>
        <w:bidi w:val="0"/>
        <w:spacing w:before="0" w:after="283"/>
        <w:jc w:val="both"/>
        <w:rPr/>
      </w:pPr>
      <w:r>
        <w:rPr>
          <w:rStyle w:val="SourceText"/>
        </w:rPr>
        <w:t>gateway-service</w:t>
      </w:r>
      <w:r>
        <w:rPr/>
        <w:t xml:space="preserve"> centraliza rutas, CORS y validación de entrada. </w:t>
      </w:r>
      <w:r>
        <w:rPr>
          <w:rStyle w:val="SourceText"/>
        </w:rPr>
        <w:t>bff-service</w:t>
      </w:r>
      <w:r>
        <w:rPr/>
        <w:t xml:space="preserve"> compone respuestas adecuadas para el cliente. Los servicios se descubren mediante nombres DNS internos de Kubernetes, por ejemplo </w:t>
      </w:r>
      <w:r>
        <w:rPr>
          <w:rStyle w:val="SourceText"/>
        </w:rPr>
        <w:t>http://user-service:8083</w:t>
      </w:r>
      <w:r>
        <w:rPr/>
        <w:t xml:space="preserve">. </w:t>
      </w:r>
    </w:p>
    <w:p>
      <w:pPr>
        <w:pStyle w:val="Heading3"/>
        <w:numPr>
          <w:ilvl w:val="0"/>
          <w:numId w:val="0"/>
        </w:numPr>
        <w:bidi w:val="0"/>
        <w:spacing w:lineRule="auto" w:line="288" w:before="140" w:after="120"/>
        <w:jc w:val="start"/>
        <w:rPr/>
      </w:pPr>
      <w:r>
        <w:rPr/>
        <w:t>4.3 Persistencia y eventos</w:t>
      </w:r>
    </w:p>
    <w:p>
      <w:pPr>
        <w:pStyle w:val="BodyText"/>
        <w:bidi w:val="0"/>
        <w:spacing w:before="0" w:after="283"/>
        <w:jc w:val="both"/>
        <w:rPr/>
      </w:pPr>
      <w:r>
        <w:rPr/>
        <w:t xml:space="preserve">PostgreSQL funciona como motor compartido, pero mantiene una base lógica por servicio para evitar acoplamiento de tablas. RabbitMQ desacopla mensajes, notificaciones y realtime. Redis conserva presencia y sesiones activas; MinIO almacena objetos multimedia y PostgreSQL sus metadatos. </w:t>
      </w:r>
      <w:r>
        <w:br w:type="page"/>
      </w:r>
    </w:p>
    <w:p>
      <w:pPr>
        <w:pStyle w:val="Heading2"/>
        <w:bidi w:val="0"/>
        <w:ind w:hanging="0" w:start="0" w:end="0"/>
        <w:jc w:val="start"/>
        <w:rPr/>
      </w:pPr>
      <w:r>
        <w:rPr/>
        <w:t>5. Contenerización y entorno local</w:t>
      </w:r>
    </w:p>
    <w:p>
      <w:pPr>
        <w:pStyle w:val="Heading3"/>
        <w:numPr>
          <w:ilvl w:val="0"/>
          <w:numId w:val="0"/>
        </w:numPr>
        <w:bidi w:val="0"/>
        <w:spacing w:lineRule="auto" w:line="288" w:before="140" w:after="120"/>
        <w:jc w:val="start"/>
        <w:rPr/>
      </w:pPr>
      <w:r>
        <w:rPr/>
        <w:t>5.1 Backend</w:t>
      </w:r>
    </w:p>
    <w:p>
      <w:pPr>
        <w:pStyle w:val="BodyText"/>
        <w:bidi w:val="0"/>
        <w:spacing w:before="0" w:after="283"/>
        <w:jc w:val="both"/>
        <w:rPr/>
      </w:pPr>
      <w:r>
        <w:rPr/>
        <w:t xml:space="preserve">Los Dockerfile Java utilizan dos etapas. La primera selecciona el JAR verificado por Maven; la segunda emplea </w:t>
      </w:r>
      <w:r>
        <w:rPr>
          <w:rStyle w:val="SourceText"/>
        </w:rPr>
        <w:t>eclipse-temurin:25-jre-alpine</w:t>
      </w:r>
      <w:r>
        <w:rPr/>
        <w:t xml:space="preserve"> y ejecuta con el usuario </w:t>
      </w:r>
      <w:r>
        <w:rPr>
          <w:rStyle w:val="SourceText"/>
        </w:rPr>
        <w:t>orioneta</w:t>
      </w:r>
      <w:r>
        <w:rPr/>
        <w:t xml:space="preserve"> sin privilegios. La imagen final no contiene Maven, código fuente ni herramientas de compilación. </w:t>
      </w:r>
    </w:p>
    <w:p>
      <w:pPr>
        <w:pStyle w:val="PreformattedText"/>
        <w:pBdr/>
        <w:bidi w:val="0"/>
        <w:spacing w:lineRule="auto" w:line="324" w:before="0" w:after="0"/>
        <w:jc w:val="start"/>
        <w:rPr/>
      </w:pPr>
      <w:r>
        <w:rPr/>
        <w:t>FROM alpine:3.22 AS artifact</w:t>
      </w:r>
    </w:p>
    <w:p>
      <w:pPr>
        <w:pStyle w:val="PreformattedText"/>
        <w:pBdr/>
        <w:bidi w:val="0"/>
        <w:spacing w:lineRule="auto" w:line="324" w:before="0" w:after="0"/>
        <w:jc w:val="start"/>
        <w:rPr/>
      </w:pPr>
      <w:r>
        <w:rPr/>
        <w:t>ARG JAR_FILE=target/*.jar</w:t>
      </w:r>
    </w:p>
    <w:p>
      <w:pPr>
        <w:pStyle w:val="PreformattedText"/>
        <w:pBdr/>
        <w:bidi w:val="0"/>
        <w:spacing w:lineRule="auto" w:line="324" w:before="0" w:after="0"/>
        <w:jc w:val="start"/>
        <w:rPr/>
      </w:pPr>
      <w:r>
        <w:rPr/>
        <w:t>COPY ${JAR_FILE} /artifact/app.jar</w:t>
      </w:r>
    </w:p>
    <w:p>
      <w:pPr>
        <w:pStyle w:val="PreformattedText"/>
        <w:pBdr/>
        <w:bidi w:val="0"/>
        <w:spacing w:lineRule="auto" w:line="324" w:before="0" w:after="0"/>
        <w:jc w:val="start"/>
        <w:rPr/>
      </w:pPr>
      <w:r>
        <w:rPr/>
      </w:r>
    </w:p>
    <w:p>
      <w:pPr>
        <w:pStyle w:val="PreformattedText"/>
        <w:pBdr/>
        <w:bidi w:val="0"/>
        <w:spacing w:lineRule="auto" w:line="324" w:before="0" w:after="0"/>
        <w:jc w:val="start"/>
        <w:rPr/>
      </w:pPr>
      <w:r>
        <w:rPr/>
        <w:t>FROM eclipse-temurin:25-jre-alpine</w:t>
      </w:r>
    </w:p>
    <w:p>
      <w:pPr>
        <w:pStyle w:val="PreformattedText"/>
        <w:pBdr/>
        <w:bidi w:val="0"/>
        <w:spacing w:lineRule="auto" w:line="324" w:before="0" w:after="0"/>
        <w:jc w:val="start"/>
        <w:rPr/>
      </w:pPr>
      <w:r>
        <w:rPr/>
        <w:t>RUN addgroup -S orioneta &amp;&amp; adduser -S -G orioneta orioneta</w:t>
      </w:r>
    </w:p>
    <w:p>
      <w:pPr>
        <w:pStyle w:val="PreformattedText"/>
        <w:pBdr/>
        <w:bidi w:val="0"/>
        <w:spacing w:lineRule="auto" w:line="324" w:before="0" w:after="0"/>
        <w:jc w:val="start"/>
        <w:rPr/>
      </w:pPr>
      <w:r>
        <w:rPr/>
        <w:t>COPY --from=artifact --chown=orioneta:orioneta /artifact/app.jar /app/app.jar</w:t>
      </w:r>
    </w:p>
    <w:p>
      <w:pPr>
        <w:pStyle w:val="PreformattedText"/>
        <w:pBdr/>
        <w:bidi w:val="0"/>
        <w:spacing w:lineRule="auto" w:line="324" w:before="0" w:after="0"/>
        <w:jc w:val="start"/>
        <w:rPr/>
      </w:pPr>
      <w:r>
        <w:rPr/>
        <w:t>USER orioneta</w:t>
      </w:r>
    </w:p>
    <w:p>
      <w:pPr>
        <w:pStyle w:val="PreformattedText"/>
        <w:bidi w:val="0"/>
        <w:spacing w:before="0" w:after="283"/>
        <w:jc w:val="start"/>
        <w:rPr/>
      </w:pPr>
      <w:r>
        <w:rPr/>
        <w:t>ENTRYPOINT ["java", "-jar", "/app/app.jar"]</w:t>
      </w:r>
    </w:p>
    <w:p>
      <w:pPr>
        <w:pStyle w:val="BodyText"/>
        <w:bidi w:val="0"/>
        <w:spacing w:before="0" w:after="283"/>
        <w:jc w:val="both"/>
        <w:rPr/>
      </w:pPr>
      <w:r>
        <w:rPr/>
        <w:t xml:space="preserve">Cada módulo incluye un </w:t>
      </w:r>
      <w:r>
        <w:rPr>
          <w:rStyle w:val="SourceText"/>
        </w:rPr>
        <w:t>.dockerignore</w:t>
      </w:r>
      <w:r>
        <w:rPr/>
        <w:t xml:space="preserve"> que permite únicamente el Dockerfile y el JAR. Esto reduce el contexto, evita filtrar archivos del IDE y mejora el uso de caché. </w:t>
      </w:r>
    </w:p>
    <w:p>
      <w:pPr>
        <w:pStyle w:val="Heading3"/>
        <w:numPr>
          <w:ilvl w:val="0"/>
          <w:numId w:val="0"/>
        </w:numPr>
        <w:bidi w:val="0"/>
        <w:spacing w:lineRule="auto" w:line="288" w:before="140" w:after="120"/>
        <w:jc w:val="start"/>
        <w:rPr/>
      </w:pPr>
      <w:r>
        <w:rPr/>
        <w:t>5.2 Frontend</w:t>
      </w:r>
    </w:p>
    <w:p>
      <w:pPr>
        <w:pStyle w:val="BodyText"/>
        <w:bidi w:val="0"/>
        <w:spacing w:before="0" w:after="283"/>
        <w:jc w:val="both"/>
        <w:rPr/>
      </w:pPr>
      <w:r>
        <w:rPr/>
        <w:t xml:space="preserve">El frontend sí compila dentro de Docker. Node 22 Alpine ejecuta </w:t>
      </w:r>
      <w:r>
        <w:rPr>
          <w:rStyle w:val="SourceText"/>
        </w:rPr>
        <w:t>npm ci</w:t>
      </w:r>
      <w:r>
        <w:rPr/>
        <w:t xml:space="preserve"> y </w:t>
      </w:r>
      <w:r>
        <w:rPr>
          <w:rStyle w:val="SourceText"/>
        </w:rPr>
        <w:t>npm run build</w:t>
      </w:r>
      <w:r>
        <w:rPr/>
        <w:t xml:space="preserve">; Nginx Alpine recibe únicamente </w:t>
      </w:r>
      <w:r>
        <w:rPr>
          <w:rStyle w:val="SourceText"/>
        </w:rPr>
        <w:t>dist</w:t>
      </w:r>
      <w:r>
        <w:rPr/>
        <w:t xml:space="preserve">. El contenedor incluye un healthcheck en </w:t>
      </w:r>
      <w:r>
        <w:rPr>
          <w:rStyle w:val="SourceText"/>
        </w:rPr>
        <w:t>/health</w:t>
      </w:r>
      <w:r>
        <w:rPr/>
        <w:t xml:space="preserve">. </w:t>
      </w:r>
    </w:p>
    <w:p>
      <w:pPr>
        <w:pStyle w:val="Heading3"/>
        <w:numPr>
          <w:ilvl w:val="0"/>
          <w:numId w:val="0"/>
        </w:numPr>
        <w:bidi w:val="0"/>
        <w:spacing w:lineRule="auto" w:line="288" w:before="140" w:after="120"/>
        <w:jc w:val="start"/>
        <w:rPr/>
      </w:pPr>
      <w:r>
        <w:rPr/>
        <w:t>5.3 Docker Compose</w:t>
      </w:r>
    </w:p>
    <w:p>
      <w:pPr>
        <w:pStyle w:val="BodyText"/>
        <w:bidi w:val="0"/>
        <w:spacing w:before="0" w:after="283"/>
        <w:jc w:val="both"/>
        <w:rPr/>
      </w:pPr>
      <w:r>
        <w:rPr/>
        <w:t xml:space="preserve">Existen dos modalidades: </w:t>
      </w:r>
      <w:r>
        <w:rPr>
          <w:rStyle w:val="SourceText"/>
        </w:rPr>
        <w:t>docker-compose.yml</w:t>
      </w:r>
      <w:r>
        <w:rPr/>
        <w:t xml:space="preserve"> inicia infraestructura para trabajar desde el IDE, mientras </w:t>
      </w:r>
      <w:r>
        <w:rPr>
          <w:rStyle w:val="SourceText"/>
        </w:rPr>
        <w:t>docker-compose.prod.yml</w:t>
      </w:r>
      <w:r>
        <w:rPr/>
        <w:t xml:space="preserve"> integra frontend, proxy, todos los microservicios y datos. Los perfiles permiten controlar consumo de memoria. </w:t>
      </w:r>
    </w:p>
    <w:p>
      <w:pPr>
        <w:pStyle w:val="PreformattedText"/>
        <w:pBdr/>
        <w:bidi w:val="0"/>
        <w:spacing w:lineRule="auto" w:line="324" w:before="0" w:after="0"/>
        <w:jc w:val="start"/>
        <w:rPr/>
      </w:pPr>
      <w:r>
        <w:rPr/>
        <w:t>cp .env.example .env</w:t>
      </w:r>
    </w:p>
    <w:p>
      <w:pPr>
        <w:pStyle w:val="PreformattedText"/>
        <w:bidi w:val="0"/>
        <w:spacing w:before="0" w:after="283"/>
        <w:jc w:val="start"/>
        <w:rPr/>
      </w:pPr>
      <w:r>
        <w:rPr/>
        <w:t>docker compose -f docker-compose.prod.yml +  --profile messaging --profile realtime --profile customization +  --profile media --profile market --profile audit --profile observability +  up -d</w:t>
      </w:r>
    </w:p>
    <w:p>
      <w:pPr>
        <w:pStyle w:val="BodyText"/>
        <w:bidi w:val="0"/>
        <w:spacing w:before="0" w:after="283"/>
        <w:jc w:val="both"/>
        <w:rPr/>
      </w:pPr>
      <w:r>
        <w:rPr/>
        <w:t xml:space="preserve">Caddy publica </w:t>
      </w:r>
      <w:r>
        <w:rPr>
          <w:rStyle w:val="SourceText"/>
        </w:rPr>
        <w:t>localhost:5173</w:t>
      </w:r>
      <w:r>
        <w:rPr/>
        <w:t xml:space="preserve"> y mantiene API y WebSocket bajo el mismo origen. Los volúmenes conservan PostgreSQL, RabbitMQ, Redis, MinIO y Grafana. </w:t>
      </w:r>
      <w:r>
        <w:br w:type="page"/>
      </w:r>
    </w:p>
    <w:p>
      <w:pPr>
        <w:pStyle w:val="Heading2"/>
        <w:bidi w:val="0"/>
        <w:ind w:hanging="0" w:start="0" w:end="0"/>
        <w:jc w:val="start"/>
        <w:rPr/>
      </w:pPr>
      <w:r>
        <w:rPr/>
        <w:t>6. Registro y trazabilidad de imágenes</w:t>
      </w:r>
    </w:p>
    <w:p>
      <w:pPr>
        <w:pStyle w:val="BodyText"/>
        <w:bidi w:val="0"/>
        <w:spacing w:before="0" w:after="283"/>
        <w:jc w:val="both"/>
        <w:rPr/>
      </w:pPr>
      <w:r>
        <w:rPr/>
        <w:t xml:space="preserve">Se eligió Docker Hub porque los dos repositorios ya disponían de integración y las imágenes son públicas para fines académicos. Cada microservicio usa el patrón: </w:t>
      </w:r>
    </w:p>
    <w:p>
      <w:pPr>
        <w:pStyle w:val="PreformattedText"/>
        <w:pBdr/>
        <w:bidi w:val="0"/>
        <w:spacing w:lineRule="auto" w:line="324" w:before="0" w:after="0"/>
        <w:jc w:val="start"/>
        <w:rPr/>
      </w:pPr>
      <w:r>
        <w:rPr/>
        <w:t>oriontheprogrammer/orioneta-&lt;servicio&gt;:latest</w:t>
      </w:r>
    </w:p>
    <w:p>
      <w:pPr>
        <w:pStyle w:val="PreformattedText"/>
        <w:bidi w:val="0"/>
        <w:spacing w:before="0" w:after="283"/>
        <w:jc w:val="start"/>
        <w:rPr/>
      </w:pPr>
      <w:r>
        <w:rPr/>
        <w:t>oriontheprogrammer/orioneta-&lt;servicio&gt;:sha-&lt;12 caracteres&gt;</w:t>
      </w:r>
    </w:p>
    <w:p>
      <w:pPr>
        <w:pStyle w:val="BodyText"/>
        <w:bidi w:val="0"/>
        <w:spacing w:before="0" w:after="283"/>
        <w:jc w:val="both"/>
        <w:rPr/>
      </w:pPr>
      <w:r>
        <w:rPr>
          <w:rStyle w:val="SourceText"/>
        </w:rPr>
        <w:t>latest</w:t>
      </w:r>
      <w:r>
        <w:rPr/>
        <w:t xml:space="preserve"> representa el estado desplegable de </w:t>
      </w:r>
      <w:r>
        <w:rPr>
          <w:rStyle w:val="SourceText"/>
        </w:rPr>
        <w:t>main</w:t>
      </w:r>
      <w:r>
        <w:rPr/>
        <w:t xml:space="preserve">. La etiqueta SHA es inmutable y permite regresar a la imagen exacta asociada a un commit. El frontend publica </w:t>
      </w:r>
      <w:r>
        <w:rPr>
          <w:rStyle w:val="SourceText"/>
        </w:rPr>
        <w:t>latest</w:t>
      </w:r>
      <w:r>
        <w:rPr/>
        <w:t xml:space="preserve"> y el SHA completo. </w:t>
      </w:r>
    </w:p>
    <w:p>
      <w:pPr>
        <w:pStyle w:val="BodyText"/>
        <w:bidi w:val="0"/>
        <w:spacing w:before="0" w:after="283"/>
        <w:jc w:val="both"/>
        <w:rPr/>
      </w:pPr>
      <w:r>
        <w:rPr/>
        <w:t xml:space="preserve">El login utiliza </w:t>
      </w:r>
      <w:r>
        <w:rPr>
          <w:rStyle w:val="SourceText"/>
        </w:rPr>
        <w:t>DOCKERHUB_USERNAME</w:t>
      </w:r>
      <w:r>
        <w:rPr/>
        <w:t xml:space="preserve"> y </w:t>
      </w:r>
      <w:r>
        <w:rPr>
          <w:rStyle w:val="SourceText"/>
        </w:rPr>
        <w:t>DOCKERHUB_TOKEN</w:t>
      </w:r>
      <w:r>
        <w:rPr/>
        <w:t xml:space="preserve"> almacenados en GitHub Secrets; el token nunca se guarda en el repositorio. </w:t>
      </w:r>
    </w:p>
    <w:p>
      <w:pPr>
        <w:pStyle w:val="Heading2"/>
        <w:numPr>
          <w:ilvl w:val="0"/>
          <w:numId w:val="0"/>
        </w:numPr>
        <w:pBdr>
          <w:bottom w:val="single" w:sz="12" w:space="1" w:color="7C3AED"/>
        </w:pBdr>
        <w:bidi w:val="0"/>
        <w:spacing w:lineRule="auto" w:line="288" w:before="200" w:after="120"/>
        <w:jc w:val="start"/>
        <w:rPr/>
      </w:pPr>
      <w:r>
        <w:rPr/>
        <w:t>7. Pipeline de integración y entrega continua</w:t>
      </w:r>
    </w:p>
    <w:p>
      <w:pPr>
        <w:pStyle w:val="BodyText"/>
        <w:bidi w:val="0"/>
        <w:spacing w:before="0" w:after="283"/>
        <w:jc w:val="both"/>
        <w:rPr/>
      </w:pPr>
      <w:r>
        <w:rPr/>
        <w:drawing>
          <wp:inline distT="0" distB="0" distL="0" distR="0">
            <wp:extent cx="6120130" cy="942975"/>
            <wp:effectExtent l="0" t="0" r="0" b="0"/>
            <wp:docPr id="2" name="Image2" title="Pipeline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Pipeline CI/CD"/>
                    <pic:cNvPicPr>
                      <a:picLocks noChangeAspect="1" noChangeArrowheads="1"/>
                    </pic:cNvPicPr>
                  </pic:nvPicPr>
                  <pic:blipFill>
                    <a:blip r:embed="rId6"/>
                    <a:stretch>
                      <a:fillRect/>
                    </a:stretch>
                  </pic:blipFill>
                  <pic:spPr bwMode="auto">
                    <a:xfrm>
                      <a:off x="0" y="0"/>
                      <a:ext cx="6120130" cy="942975"/>
                    </a:xfrm>
                    <a:prstGeom prst="rect">
                      <a:avLst/>
                    </a:prstGeom>
                    <a:noFill/>
                  </pic:spPr>
                </pic:pic>
              </a:graphicData>
            </a:graphic>
          </wp:inline>
        </w:drawing>
      </w:r>
      <w:r>
        <w:rPr/>
        <w:t xml:space="preserve"> </w:t>
      </w:r>
    </w:p>
    <w:p>
      <w:pPr>
        <w:pStyle w:val="BodyTextcaption"/>
        <w:bidi w:val="0"/>
        <w:jc w:val="center"/>
        <w:rPr/>
      </w:pPr>
      <w:r>
        <w:rPr/>
        <w:t>Figura 2. Etapas comunes de CI/CD.</w:t>
      </w:r>
    </w:p>
    <w:p>
      <w:pPr>
        <w:pStyle w:val="Heading3"/>
        <w:numPr>
          <w:ilvl w:val="0"/>
          <w:numId w:val="0"/>
        </w:numPr>
        <w:bidi w:val="0"/>
        <w:spacing w:lineRule="auto" w:line="288" w:before="140" w:after="120"/>
        <w:jc w:val="start"/>
        <w:rPr/>
      </w:pPr>
      <w:r>
        <w:rPr/>
        <w:t>7.1 Pipeline backend</w:t>
      </w:r>
    </w:p>
    <w:p>
      <w:pPr>
        <w:pStyle w:val="BodyText"/>
        <w:numPr>
          <w:ilvl w:val="0"/>
          <w:numId w:val="3"/>
        </w:numPr>
        <w:tabs>
          <w:tab w:val="clear" w:pos="1134"/>
          <w:tab w:val="left" w:pos="709" w:leader="none"/>
        </w:tabs>
        <w:bidi w:val="0"/>
        <w:spacing w:before="0" w:after="0"/>
        <w:ind w:hanging="283" w:start="709"/>
        <w:rPr/>
      </w:pPr>
      <w:r>
        <w:rPr/>
        <w:t xml:space="preserve">Detecta los servicios afectados por el commit. </w:t>
      </w:r>
    </w:p>
    <w:p>
      <w:pPr>
        <w:pStyle w:val="BodyText"/>
        <w:numPr>
          <w:ilvl w:val="0"/>
          <w:numId w:val="3"/>
        </w:numPr>
        <w:tabs>
          <w:tab w:val="clear" w:pos="1134"/>
          <w:tab w:val="left" w:pos="709" w:leader="none"/>
        </w:tabs>
        <w:bidi w:val="0"/>
        <w:spacing w:before="0" w:after="0"/>
        <w:ind w:hanging="283" w:start="709"/>
        <w:rPr/>
      </w:pPr>
      <w:r>
        <w:rPr/>
        <w:t xml:space="preserve">Configura Java 25 y caché Maven. </w:t>
      </w:r>
    </w:p>
    <w:p>
      <w:pPr>
        <w:pStyle w:val="BodyText"/>
        <w:numPr>
          <w:ilvl w:val="0"/>
          <w:numId w:val="3"/>
        </w:numPr>
        <w:tabs>
          <w:tab w:val="clear" w:pos="1134"/>
          <w:tab w:val="left" w:pos="709" w:leader="none"/>
        </w:tabs>
        <w:bidi w:val="0"/>
        <w:spacing w:before="0" w:after="0"/>
        <w:ind w:hanging="283" w:start="709"/>
        <w:rPr/>
      </w:pPr>
      <w:r>
        <w:rPr/>
        <w:t xml:space="preserve">Ejecuta </w:t>
      </w:r>
      <w:r>
        <w:rPr>
          <w:rStyle w:val="SourceText"/>
        </w:rPr>
        <w:t>mvn -B clean verify</w:t>
      </w:r>
      <w:r>
        <w:rPr/>
        <w:t xml:space="preserve">. </w:t>
      </w:r>
    </w:p>
    <w:p>
      <w:pPr>
        <w:pStyle w:val="BodyText"/>
        <w:numPr>
          <w:ilvl w:val="0"/>
          <w:numId w:val="3"/>
        </w:numPr>
        <w:tabs>
          <w:tab w:val="clear" w:pos="1134"/>
          <w:tab w:val="left" w:pos="709" w:leader="none"/>
        </w:tabs>
        <w:bidi w:val="0"/>
        <w:spacing w:before="0" w:after="0"/>
        <w:ind w:hanging="283" w:start="709"/>
        <w:rPr/>
      </w:pPr>
      <w:r>
        <w:rPr/>
        <w:t xml:space="preserve">Construye y publica imágenes secuencialmente para no saturar el runner. </w:t>
      </w:r>
    </w:p>
    <w:p>
      <w:pPr>
        <w:pStyle w:val="BodyText"/>
        <w:numPr>
          <w:ilvl w:val="0"/>
          <w:numId w:val="3"/>
        </w:numPr>
        <w:tabs>
          <w:tab w:val="clear" w:pos="1134"/>
          <w:tab w:val="left" w:pos="709" w:leader="none"/>
        </w:tabs>
        <w:bidi w:val="0"/>
        <w:spacing w:before="0" w:after="0"/>
        <w:ind w:hanging="283" w:start="709"/>
        <w:rPr/>
      </w:pPr>
      <w:r>
        <w:rPr/>
        <w:t xml:space="preserve">Configura credenciales temporales AWS. </w:t>
      </w:r>
    </w:p>
    <w:p>
      <w:pPr>
        <w:pStyle w:val="BodyText"/>
        <w:numPr>
          <w:ilvl w:val="0"/>
          <w:numId w:val="3"/>
        </w:numPr>
        <w:tabs>
          <w:tab w:val="clear" w:pos="1134"/>
          <w:tab w:val="left" w:pos="709" w:leader="none"/>
        </w:tabs>
        <w:bidi w:val="0"/>
        <w:spacing w:before="0" w:after="0"/>
        <w:ind w:hanging="283" w:start="709"/>
        <w:rPr/>
      </w:pPr>
      <w:r>
        <w:rPr/>
        <w:t xml:space="preserve">Aplica Kustomize y actualiza las imágenes de los Deployments. </w:t>
      </w:r>
    </w:p>
    <w:p>
      <w:pPr>
        <w:pStyle w:val="BodyText"/>
        <w:numPr>
          <w:ilvl w:val="0"/>
          <w:numId w:val="3"/>
        </w:numPr>
        <w:tabs>
          <w:tab w:val="clear" w:pos="1134"/>
          <w:tab w:val="left" w:pos="709" w:leader="none"/>
        </w:tabs>
        <w:bidi w:val="0"/>
        <w:ind w:hanging="283" w:start="709"/>
        <w:rPr/>
      </w:pPr>
      <w:r>
        <w:rPr/>
        <w:t xml:space="preserve">Espera el rollout de los 14 servicios. </w:t>
      </w:r>
    </w:p>
    <w:p>
      <w:pPr>
        <w:pStyle w:val="BodyText"/>
        <w:bidi w:val="0"/>
        <w:spacing w:before="0" w:after="283"/>
        <w:jc w:val="both"/>
        <w:rPr/>
      </w:pPr>
      <w:r>
        <w:rPr/>
        <w:drawing>
          <wp:inline distT="0" distB="0" distL="0" distR="0">
            <wp:extent cx="6120130" cy="3867150"/>
            <wp:effectExtent l="0" t="0" r="0" b="0"/>
            <wp:docPr id="3" name="Image3" title="GitHub Actions backend exit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GitHub Actions backend exitoso"/>
                    <pic:cNvPicPr>
                      <a:picLocks noChangeAspect="1" noChangeArrowheads="1"/>
                    </pic:cNvPicPr>
                  </pic:nvPicPr>
                  <pic:blipFill>
                    <a:blip r:embed="rId7"/>
                    <a:stretch>
                      <a:fillRect/>
                    </a:stretch>
                  </pic:blipFill>
                  <pic:spPr bwMode="auto">
                    <a:xfrm>
                      <a:off x="0" y="0"/>
                      <a:ext cx="6120130" cy="3867150"/>
                    </a:xfrm>
                    <a:prstGeom prst="rect">
                      <a:avLst/>
                    </a:prstGeom>
                    <a:noFill/>
                  </pic:spPr>
                </pic:pic>
              </a:graphicData>
            </a:graphic>
          </wp:inline>
        </w:drawing>
      </w:r>
      <w:r>
        <w:rPr/>
        <w:t xml:space="preserve"> </w:t>
      </w:r>
    </w:p>
    <w:p>
      <w:pPr>
        <w:pStyle w:val="BodyTextcaption"/>
        <w:bidi w:val="0"/>
        <w:jc w:val="center"/>
        <w:rPr/>
      </w:pPr>
      <w:r>
        <w:rPr/>
        <w:t>Figura 3. Pipeline backend exitoso en GitHub Actions.</w:t>
      </w:r>
    </w:p>
    <w:p>
      <w:pPr>
        <w:pStyle w:val="Heading3"/>
        <w:numPr>
          <w:ilvl w:val="0"/>
          <w:numId w:val="0"/>
        </w:numPr>
        <w:bidi w:val="0"/>
        <w:spacing w:lineRule="auto" w:line="288" w:before="140" w:after="120"/>
        <w:jc w:val="start"/>
        <w:rPr/>
      </w:pPr>
      <w:r>
        <w:rPr/>
        <w:t>7.2 Pipeline frontend</w:t>
      </w:r>
    </w:p>
    <w:p>
      <w:pPr>
        <w:pStyle w:val="BodyText"/>
        <w:bidi w:val="0"/>
        <w:spacing w:before="0" w:after="283"/>
        <w:jc w:val="both"/>
        <w:rPr/>
      </w:pPr>
      <w:r>
        <w:rPr/>
        <w:t xml:space="preserve">Construye y publica la imagen, obtiene la IP del runner, crea una regla SSH temporal, copia el Caddyfile, actualiza los contenedores, valida Caddy y </w:t>
      </w:r>
      <w:r>
        <w:rPr>
          <w:rStyle w:val="SourceText"/>
        </w:rPr>
        <w:t>/health</w:t>
      </w:r>
      <w:r>
        <w:rPr/>
        <w:t xml:space="preserve">, y finalmente revoca la regla SSH con </w:t>
      </w:r>
      <w:r>
        <w:rPr>
          <w:rStyle w:val="SourceText"/>
        </w:rPr>
        <w:t>always()</w:t>
      </w:r>
      <w:r>
        <w:rPr/>
        <w:t xml:space="preserve">. </w:t>
      </w:r>
    </w:p>
    <w:p>
      <w:pPr>
        <w:pStyle w:val="BodyText"/>
        <w:bidi w:val="0"/>
        <w:spacing w:before="0" w:after="283"/>
        <w:jc w:val="both"/>
        <w:rPr/>
      </w:pPr>
      <w:r>
        <w:rPr/>
        <w:drawing>
          <wp:inline distT="0" distB="0" distL="0" distR="0">
            <wp:extent cx="6120130" cy="3933825"/>
            <wp:effectExtent l="0" t="0" r="0" b="0"/>
            <wp:docPr id="4" name="Image4" title="GitHub Actions frontend exit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GitHub Actions frontend exitoso"/>
                    <pic:cNvPicPr>
                      <a:picLocks noChangeAspect="1" noChangeArrowheads="1"/>
                    </pic:cNvPicPr>
                  </pic:nvPicPr>
                  <pic:blipFill>
                    <a:blip r:embed="rId8"/>
                    <a:stretch>
                      <a:fillRect/>
                    </a:stretch>
                  </pic:blipFill>
                  <pic:spPr bwMode="auto">
                    <a:xfrm>
                      <a:off x="0" y="0"/>
                      <a:ext cx="6120130" cy="3933825"/>
                    </a:xfrm>
                    <a:prstGeom prst="rect">
                      <a:avLst/>
                    </a:prstGeom>
                    <a:noFill/>
                  </pic:spPr>
                </pic:pic>
              </a:graphicData>
            </a:graphic>
          </wp:inline>
        </w:drawing>
      </w:r>
      <w:r>
        <w:rPr/>
        <w:t xml:space="preserve"> </w:t>
      </w:r>
    </w:p>
    <w:p>
      <w:pPr>
        <w:pStyle w:val="BodyTextcaption"/>
        <w:bidi w:val="0"/>
        <w:jc w:val="center"/>
        <w:rPr/>
      </w:pPr>
      <w:r>
        <w:rPr/>
        <w:t>Figura 4. Pipeline frontend exitoso en GitHub Actions.</w:t>
      </w:r>
      <w:r>
        <w:br w:type="page"/>
      </w:r>
    </w:p>
    <w:p>
      <w:pPr>
        <w:pStyle w:val="Heading2"/>
        <w:bidi w:val="0"/>
        <w:ind w:hanging="0" w:start="0" w:end="0"/>
        <w:jc w:val="start"/>
        <w:rPr/>
      </w:pPr>
      <w:r>
        <w:rPr/>
        <w:t>8. Infraestructura desplegada en AWS</w:t>
      </w:r>
    </w:p>
    <w:tbl>
      <w:tblPr>
        <w:tblW w:w="9256" w:type="dxa"/>
        <w:jc w:val="start"/>
        <w:tblInd w:w="0" w:type="dxa"/>
        <w:tblLayout w:type="fixed"/>
        <w:tblCellMar>
          <w:top w:w="28" w:type="dxa"/>
          <w:start w:w="28" w:type="dxa"/>
          <w:bottom w:w="28" w:type="dxa"/>
          <w:end w:w="28" w:type="dxa"/>
        </w:tblCellMar>
      </w:tblPr>
      <w:tblGrid>
        <w:gridCol w:w="1019"/>
        <w:gridCol w:w="3036"/>
        <w:gridCol w:w="5201"/>
      </w:tblGrid>
      <w:tr>
        <w:trPr/>
        <w:tc>
          <w:tcPr>
            <w:tcW w:w="1019" w:type="dxa"/>
            <w:tcBorders/>
            <w:vAlign w:val="center"/>
          </w:tcPr>
          <w:p>
            <w:pPr>
              <w:pStyle w:val="TableHeading"/>
              <w:suppressLineNumbers/>
              <w:bidi w:val="0"/>
              <w:spacing w:before="0" w:after="283"/>
              <w:jc w:val="center"/>
              <w:rPr/>
            </w:pPr>
            <w:r>
              <w:rPr/>
              <w:t>Recurso</w:t>
            </w:r>
          </w:p>
        </w:tc>
        <w:tc>
          <w:tcPr>
            <w:tcW w:w="3036" w:type="dxa"/>
            <w:tcBorders/>
            <w:vAlign w:val="center"/>
          </w:tcPr>
          <w:p>
            <w:pPr>
              <w:pStyle w:val="TableHeading"/>
              <w:suppressLineNumbers/>
              <w:bidi w:val="0"/>
              <w:spacing w:before="0" w:after="283"/>
              <w:jc w:val="center"/>
              <w:rPr/>
            </w:pPr>
            <w:r>
              <w:rPr/>
              <w:t>Configuración validada</w:t>
            </w:r>
          </w:p>
        </w:tc>
        <w:tc>
          <w:tcPr>
            <w:tcW w:w="5201" w:type="dxa"/>
            <w:tcBorders/>
            <w:vAlign w:val="center"/>
          </w:tcPr>
          <w:p>
            <w:pPr>
              <w:pStyle w:val="TableHeading"/>
              <w:suppressLineNumbers/>
              <w:bidi w:val="0"/>
              <w:spacing w:before="0" w:after="283"/>
              <w:jc w:val="center"/>
              <w:rPr/>
            </w:pPr>
            <w:r>
              <w:rPr/>
              <w:t>Justificación</w:t>
            </w:r>
          </w:p>
        </w:tc>
      </w:tr>
      <w:tr>
        <w:trPr/>
        <w:tc>
          <w:tcPr>
            <w:tcW w:w="1019" w:type="dxa"/>
            <w:tcBorders/>
            <w:vAlign w:val="center"/>
          </w:tcPr>
          <w:p>
            <w:pPr>
              <w:pStyle w:val="TableContents"/>
              <w:bidi w:val="0"/>
              <w:spacing w:before="0" w:after="283"/>
              <w:rPr/>
            </w:pPr>
            <w:r>
              <w:rPr/>
              <w:t>Región</w:t>
            </w:r>
          </w:p>
        </w:tc>
        <w:tc>
          <w:tcPr>
            <w:tcW w:w="3036" w:type="dxa"/>
            <w:tcBorders/>
            <w:vAlign w:val="center"/>
          </w:tcPr>
          <w:p>
            <w:pPr>
              <w:pStyle w:val="TableContents"/>
              <w:bidi w:val="0"/>
              <w:spacing w:before="0" w:after="283"/>
              <w:rPr/>
            </w:pPr>
            <w:r>
              <w:rPr/>
              <w:t>us-east-1</w:t>
            </w:r>
          </w:p>
        </w:tc>
        <w:tc>
          <w:tcPr>
            <w:tcW w:w="5201" w:type="dxa"/>
            <w:tcBorders/>
            <w:vAlign w:val="center"/>
          </w:tcPr>
          <w:p>
            <w:pPr>
              <w:pStyle w:val="TableContents"/>
              <w:bidi w:val="0"/>
              <w:spacing w:before="0" w:after="283"/>
              <w:rPr/>
            </w:pPr>
            <w:r>
              <w:rPr/>
              <w:t>Disponibilidad del laboratorio y servicios requeridos.</w:t>
            </w:r>
          </w:p>
        </w:tc>
      </w:tr>
      <w:tr>
        <w:trPr/>
        <w:tc>
          <w:tcPr>
            <w:tcW w:w="1019" w:type="dxa"/>
            <w:tcBorders/>
            <w:vAlign w:val="center"/>
          </w:tcPr>
          <w:p>
            <w:pPr>
              <w:pStyle w:val="TableContents"/>
              <w:bidi w:val="0"/>
              <w:spacing w:before="0" w:after="283"/>
              <w:rPr/>
            </w:pPr>
            <w:r>
              <w:rPr/>
              <w:t>VPC</w:t>
            </w:r>
          </w:p>
        </w:tc>
        <w:tc>
          <w:tcPr>
            <w:tcW w:w="3036" w:type="dxa"/>
            <w:tcBorders/>
            <w:vAlign w:val="center"/>
          </w:tcPr>
          <w:p>
            <w:pPr>
              <w:pStyle w:val="TableContents"/>
              <w:bidi w:val="0"/>
              <w:spacing w:before="0" w:after="283"/>
              <w:rPr/>
            </w:pPr>
            <w:r>
              <w:rPr/>
              <w:t>10.42.0.0/16</w:t>
            </w:r>
          </w:p>
        </w:tc>
        <w:tc>
          <w:tcPr>
            <w:tcW w:w="5201" w:type="dxa"/>
            <w:tcBorders/>
            <w:vAlign w:val="center"/>
          </w:tcPr>
          <w:p>
            <w:pPr>
              <w:pStyle w:val="TableContents"/>
              <w:bidi w:val="0"/>
              <w:spacing w:before="0" w:after="283"/>
              <w:rPr/>
            </w:pPr>
            <w:r>
              <w:rPr/>
              <w:t>Espacio suficiente para subredes públicas y privadas.</w:t>
            </w:r>
          </w:p>
        </w:tc>
      </w:tr>
      <w:tr>
        <w:trPr/>
        <w:tc>
          <w:tcPr>
            <w:tcW w:w="1019" w:type="dxa"/>
            <w:tcBorders/>
            <w:vAlign w:val="center"/>
          </w:tcPr>
          <w:p>
            <w:pPr>
              <w:pStyle w:val="TableContents"/>
              <w:bidi w:val="0"/>
              <w:spacing w:before="0" w:after="283"/>
              <w:rPr/>
            </w:pPr>
            <w:r>
              <w:rPr/>
              <w:t>Subredes</w:t>
            </w:r>
          </w:p>
        </w:tc>
        <w:tc>
          <w:tcPr>
            <w:tcW w:w="3036" w:type="dxa"/>
            <w:tcBorders/>
            <w:vAlign w:val="center"/>
          </w:tcPr>
          <w:p>
            <w:pPr>
              <w:pStyle w:val="TableContents"/>
              <w:bidi w:val="0"/>
              <w:spacing w:before="0" w:after="283"/>
              <w:rPr/>
            </w:pPr>
            <w:r>
              <w:rPr/>
              <w:t>2 públicas + 2 privadas, dos AZ</w:t>
            </w:r>
          </w:p>
        </w:tc>
        <w:tc>
          <w:tcPr>
            <w:tcW w:w="5201" w:type="dxa"/>
            <w:tcBorders/>
            <w:vAlign w:val="center"/>
          </w:tcPr>
          <w:p>
            <w:pPr>
              <w:pStyle w:val="TableContents"/>
              <w:bidi w:val="0"/>
              <w:spacing w:before="0" w:after="283"/>
              <w:rPr/>
            </w:pPr>
            <w:r>
              <w:rPr/>
              <w:t>Separación de exposición y tolerancia zonal.</w:t>
            </w:r>
          </w:p>
        </w:tc>
      </w:tr>
      <w:tr>
        <w:trPr/>
        <w:tc>
          <w:tcPr>
            <w:tcW w:w="1019" w:type="dxa"/>
            <w:tcBorders/>
            <w:vAlign w:val="center"/>
          </w:tcPr>
          <w:p>
            <w:pPr>
              <w:pStyle w:val="TableContents"/>
              <w:bidi w:val="0"/>
              <w:spacing w:before="0" w:after="283"/>
              <w:rPr/>
            </w:pPr>
            <w:r>
              <w:rPr/>
              <w:t>EC2</w:t>
            </w:r>
          </w:p>
        </w:tc>
        <w:tc>
          <w:tcPr>
            <w:tcW w:w="3036" w:type="dxa"/>
            <w:tcBorders/>
            <w:vAlign w:val="center"/>
          </w:tcPr>
          <w:p>
            <w:pPr>
              <w:pStyle w:val="TableContents"/>
              <w:bidi w:val="0"/>
              <w:spacing w:before="0" w:after="283"/>
              <w:rPr/>
            </w:pPr>
            <w:r>
              <w:rPr/>
              <w:t>t3.small, Amazon Linux</w:t>
            </w:r>
          </w:p>
        </w:tc>
        <w:tc>
          <w:tcPr>
            <w:tcW w:w="5201" w:type="dxa"/>
            <w:tcBorders/>
            <w:vAlign w:val="center"/>
          </w:tcPr>
          <w:p>
            <w:pPr>
              <w:pStyle w:val="TableContents"/>
              <w:bidi w:val="0"/>
              <w:spacing w:before="0" w:after="283"/>
              <w:rPr/>
            </w:pPr>
            <w:r>
              <w:rPr/>
              <w:t>Entrega de frontend y TLS con bajo costo.</w:t>
            </w:r>
          </w:p>
        </w:tc>
      </w:tr>
      <w:tr>
        <w:trPr/>
        <w:tc>
          <w:tcPr>
            <w:tcW w:w="1019" w:type="dxa"/>
            <w:tcBorders/>
            <w:vAlign w:val="center"/>
          </w:tcPr>
          <w:p>
            <w:pPr>
              <w:pStyle w:val="TableContents"/>
              <w:bidi w:val="0"/>
              <w:spacing w:before="0" w:after="283"/>
              <w:rPr/>
            </w:pPr>
            <w:r>
              <w:rPr/>
              <w:t>EKS</w:t>
            </w:r>
          </w:p>
        </w:tc>
        <w:tc>
          <w:tcPr>
            <w:tcW w:w="3036" w:type="dxa"/>
            <w:tcBorders/>
            <w:vAlign w:val="center"/>
          </w:tcPr>
          <w:p>
            <w:pPr>
              <w:pStyle w:val="TableContents"/>
              <w:bidi w:val="0"/>
              <w:spacing w:before="0" w:after="283"/>
              <w:rPr/>
            </w:pPr>
            <w:r>
              <w:rPr/>
              <w:t>orioneta-eks, Kubernetes 1.36</w:t>
            </w:r>
          </w:p>
        </w:tc>
        <w:tc>
          <w:tcPr>
            <w:tcW w:w="5201" w:type="dxa"/>
            <w:tcBorders/>
            <w:vAlign w:val="center"/>
          </w:tcPr>
          <w:p>
            <w:pPr>
              <w:pStyle w:val="TableContents"/>
              <w:bidi w:val="0"/>
              <w:spacing w:before="0" w:after="283"/>
              <w:rPr/>
            </w:pPr>
            <w:r>
              <w:rPr/>
              <w:t>Orquestación, reconciliación y escalabilidad.</w:t>
            </w:r>
          </w:p>
        </w:tc>
      </w:tr>
      <w:tr>
        <w:trPr/>
        <w:tc>
          <w:tcPr>
            <w:tcW w:w="1019" w:type="dxa"/>
            <w:tcBorders/>
            <w:vAlign w:val="center"/>
          </w:tcPr>
          <w:p>
            <w:pPr>
              <w:pStyle w:val="TableContents"/>
              <w:bidi w:val="0"/>
              <w:spacing w:before="0" w:after="283"/>
              <w:rPr/>
            </w:pPr>
            <w:r>
              <w:rPr/>
              <w:t>NLB</w:t>
            </w:r>
          </w:p>
        </w:tc>
        <w:tc>
          <w:tcPr>
            <w:tcW w:w="3036" w:type="dxa"/>
            <w:tcBorders/>
            <w:vAlign w:val="center"/>
          </w:tcPr>
          <w:p>
            <w:pPr>
              <w:pStyle w:val="TableContents"/>
              <w:bidi w:val="0"/>
              <w:spacing w:before="0" w:after="283"/>
              <w:rPr/>
            </w:pPr>
            <w:r>
              <w:rPr/>
              <w:t>Internet-facing</w:t>
            </w:r>
          </w:p>
        </w:tc>
        <w:tc>
          <w:tcPr>
            <w:tcW w:w="5201" w:type="dxa"/>
            <w:tcBorders/>
            <w:vAlign w:val="center"/>
          </w:tcPr>
          <w:p>
            <w:pPr>
              <w:pStyle w:val="TableContents"/>
              <w:bidi w:val="0"/>
              <w:spacing w:before="0" w:after="283"/>
              <w:rPr/>
            </w:pPr>
            <w:r>
              <w:rPr/>
              <w:t>Entrada estable y soporte de conexiones persistentes.</w:t>
            </w:r>
          </w:p>
        </w:tc>
      </w:tr>
      <w:tr>
        <w:trPr/>
        <w:tc>
          <w:tcPr>
            <w:tcW w:w="1019" w:type="dxa"/>
            <w:tcBorders/>
            <w:vAlign w:val="center"/>
          </w:tcPr>
          <w:p>
            <w:pPr>
              <w:pStyle w:val="TableContents"/>
              <w:bidi w:val="0"/>
              <w:spacing w:before="0" w:after="283"/>
              <w:rPr/>
            </w:pPr>
            <w:r>
              <w:rPr/>
              <w:t>EBS gp3</w:t>
            </w:r>
          </w:p>
        </w:tc>
        <w:tc>
          <w:tcPr>
            <w:tcW w:w="3036" w:type="dxa"/>
            <w:tcBorders/>
            <w:vAlign w:val="center"/>
          </w:tcPr>
          <w:p>
            <w:pPr>
              <w:pStyle w:val="TableContents"/>
              <w:bidi w:val="0"/>
              <w:spacing w:before="0" w:after="283"/>
              <w:rPr/>
            </w:pPr>
            <w:r>
              <w:rPr/>
              <w:t>Volúmenes cifrados</w:t>
            </w:r>
          </w:p>
        </w:tc>
        <w:tc>
          <w:tcPr>
            <w:tcW w:w="5201" w:type="dxa"/>
            <w:tcBorders/>
            <w:vAlign w:val="center"/>
          </w:tcPr>
          <w:p>
            <w:pPr>
              <w:pStyle w:val="TableContents"/>
              <w:bidi w:val="0"/>
              <w:spacing w:before="0" w:after="283"/>
              <w:rPr/>
            </w:pPr>
            <w:r>
              <w:rPr/>
              <w:t>Persistencia para StatefulSets.</w:t>
            </w:r>
          </w:p>
        </w:tc>
      </w:tr>
    </w:tbl>
    <w:p>
      <w:pPr>
        <w:pStyle w:val="BodyText"/>
        <w:bidi w:val="0"/>
        <w:spacing w:before="0" w:after="283"/>
        <w:jc w:val="both"/>
        <w:rPr/>
      </w:pPr>
      <w:r>
        <w:rPr/>
        <w:t xml:space="preserve">EKS utiliza las subredes privadas </w:t>
      </w:r>
      <w:r>
        <w:rPr>
          <w:rStyle w:val="SourceText"/>
        </w:rPr>
        <w:t>10.42.128.0/20</w:t>
      </w:r>
      <w:r>
        <w:rPr/>
        <w:t xml:space="preserve"> y </w:t>
      </w:r>
      <w:r>
        <w:rPr>
          <w:rStyle w:val="SourceText"/>
        </w:rPr>
        <w:t>10.42.144.0/20</w:t>
      </w:r>
      <w:r>
        <w:rPr/>
        <w:t xml:space="preserve">. La EC2 se encuentra en la subred pública </w:t>
      </w:r>
      <w:r>
        <w:rPr>
          <w:rStyle w:val="SourceText"/>
        </w:rPr>
        <w:t>10.42.0.0/20</w:t>
      </w:r>
      <w:r>
        <w:rPr/>
        <w:t xml:space="preserve">. El NLB es el único acceso directo al backend. </w:t>
      </w:r>
    </w:p>
    <w:p>
      <w:pPr>
        <w:pStyle w:val="Heading2"/>
        <w:numPr>
          <w:ilvl w:val="0"/>
          <w:numId w:val="0"/>
        </w:numPr>
        <w:pBdr>
          <w:bottom w:val="single" w:sz="12" w:space="1" w:color="7C3AED"/>
        </w:pBdr>
        <w:bidi w:val="0"/>
        <w:spacing w:lineRule="auto" w:line="288" w:before="200" w:after="120"/>
        <w:jc w:val="start"/>
        <w:rPr/>
      </w:pPr>
      <w:r>
        <w:rPr/>
        <w:t>9. Configuración, secretos e IAM</w:t>
      </w:r>
    </w:p>
    <w:p>
      <w:pPr>
        <w:pStyle w:val="BodyText"/>
        <w:bidi w:val="0"/>
        <w:spacing w:before="0" w:after="283"/>
        <w:jc w:val="both"/>
        <w:rPr/>
      </w:pPr>
      <w:r>
        <w:rPr/>
        <w:t xml:space="preserve">La configuración no sensible está en ConfigMap: perfiles, límites JVM y URLs internas. Los secretos se dividen entre GitHub Secrets y Kubernetes Secrets. </w:t>
      </w:r>
    </w:p>
    <w:tbl>
      <w:tblPr>
        <w:tblW w:w="9638" w:type="dxa"/>
        <w:jc w:val="start"/>
        <w:tblInd w:w="0" w:type="dxa"/>
        <w:tblLayout w:type="fixed"/>
        <w:tblCellMar>
          <w:top w:w="28" w:type="dxa"/>
          <w:start w:w="28" w:type="dxa"/>
          <w:bottom w:w="28" w:type="dxa"/>
          <w:end w:w="28" w:type="dxa"/>
        </w:tblCellMar>
      </w:tblPr>
      <w:tblGrid>
        <w:gridCol w:w="1741"/>
        <w:gridCol w:w="3077"/>
        <w:gridCol w:w="4820"/>
      </w:tblGrid>
      <w:tr>
        <w:trPr/>
        <w:tc>
          <w:tcPr>
            <w:tcW w:w="1741" w:type="dxa"/>
            <w:tcBorders/>
            <w:vAlign w:val="center"/>
          </w:tcPr>
          <w:p>
            <w:pPr>
              <w:pStyle w:val="TableHeading"/>
              <w:suppressLineNumbers/>
              <w:bidi w:val="0"/>
              <w:spacing w:before="0" w:after="283"/>
              <w:jc w:val="center"/>
              <w:rPr/>
            </w:pPr>
            <w:r>
              <w:rPr/>
              <w:t>Ubicación</w:t>
            </w:r>
          </w:p>
        </w:tc>
        <w:tc>
          <w:tcPr>
            <w:tcW w:w="3077" w:type="dxa"/>
            <w:tcBorders/>
            <w:vAlign w:val="center"/>
          </w:tcPr>
          <w:p>
            <w:pPr>
              <w:pStyle w:val="TableHeading"/>
              <w:suppressLineNumbers/>
              <w:bidi w:val="0"/>
              <w:spacing w:before="0" w:after="283"/>
              <w:jc w:val="center"/>
              <w:rPr/>
            </w:pPr>
            <w:r>
              <w:rPr/>
              <w:t>Ejemplos</w:t>
            </w:r>
          </w:p>
        </w:tc>
        <w:tc>
          <w:tcPr>
            <w:tcW w:w="4820" w:type="dxa"/>
            <w:tcBorders/>
            <w:vAlign w:val="center"/>
          </w:tcPr>
          <w:p>
            <w:pPr>
              <w:pStyle w:val="TableHeading"/>
              <w:suppressLineNumbers/>
              <w:bidi w:val="0"/>
              <w:spacing w:before="0" w:after="283"/>
              <w:jc w:val="center"/>
              <w:rPr/>
            </w:pPr>
            <w:r>
              <w:rPr/>
              <w:t>Control</w:t>
            </w:r>
          </w:p>
        </w:tc>
      </w:tr>
      <w:tr>
        <w:trPr/>
        <w:tc>
          <w:tcPr>
            <w:tcW w:w="1741" w:type="dxa"/>
            <w:tcBorders/>
            <w:vAlign w:val="center"/>
          </w:tcPr>
          <w:p>
            <w:pPr>
              <w:pStyle w:val="TableContents"/>
              <w:bidi w:val="0"/>
              <w:spacing w:before="0" w:after="283"/>
              <w:rPr/>
            </w:pPr>
            <w:r>
              <w:rPr/>
              <w:t>GitHub Secrets</w:t>
            </w:r>
          </w:p>
        </w:tc>
        <w:tc>
          <w:tcPr>
            <w:tcW w:w="3077" w:type="dxa"/>
            <w:tcBorders/>
            <w:vAlign w:val="center"/>
          </w:tcPr>
          <w:p>
            <w:pPr>
              <w:pStyle w:val="TableContents"/>
              <w:bidi w:val="0"/>
              <w:spacing w:before="0" w:after="283"/>
              <w:rPr/>
            </w:pPr>
            <w:r>
              <w:rPr/>
              <w:t>AWS, Docker Hub, OAuth, SSH</w:t>
            </w:r>
          </w:p>
        </w:tc>
        <w:tc>
          <w:tcPr>
            <w:tcW w:w="4820" w:type="dxa"/>
            <w:tcBorders/>
            <w:vAlign w:val="center"/>
          </w:tcPr>
          <w:p>
            <w:pPr>
              <w:pStyle w:val="TableContents"/>
              <w:bidi w:val="0"/>
              <w:spacing w:before="0" w:after="283"/>
              <w:rPr/>
            </w:pPr>
            <w:r>
              <w:rPr/>
              <w:t>Enmascarados en logs y disponibles solo al workflow.</w:t>
            </w:r>
          </w:p>
        </w:tc>
      </w:tr>
      <w:tr>
        <w:trPr/>
        <w:tc>
          <w:tcPr>
            <w:tcW w:w="1741" w:type="dxa"/>
            <w:tcBorders/>
            <w:vAlign w:val="center"/>
          </w:tcPr>
          <w:p>
            <w:pPr>
              <w:pStyle w:val="TableContents"/>
              <w:bidi w:val="0"/>
              <w:spacing w:before="0" w:after="283"/>
              <w:rPr/>
            </w:pPr>
            <w:r>
              <w:rPr/>
              <w:t>Kubernetes Secret</w:t>
            </w:r>
          </w:p>
        </w:tc>
        <w:tc>
          <w:tcPr>
            <w:tcW w:w="3077" w:type="dxa"/>
            <w:tcBorders/>
            <w:vAlign w:val="center"/>
          </w:tcPr>
          <w:p>
            <w:pPr>
              <w:pStyle w:val="TableContents"/>
              <w:bidi w:val="0"/>
              <w:spacing w:before="0" w:after="283"/>
              <w:rPr/>
            </w:pPr>
            <w:r>
              <w:rPr/>
              <w:t>PostgreSQL, RabbitMQ, MinIO, JWT</w:t>
            </w:r>
          </w:p>
        </w:tc>
        <w:tc>
          <w:tcPr>
            <w:tcW w:w="4820" w:type="dxa"/>
            <w:tcBorders/>
            <w:vAlign w:val="center"/>
          </w:tcPr>
          <w:p>
            <w:pPr>
              <w:pStyle w:val="TableContents"/>
              <w:bidi w:val="0"/>
              <w:spacing w:before="0" w:after="283"/>
              <w:rPr/>
            </w:pPr>
            <w:r>
              <w:rPr/>
              <w:t>Inyectados como variables; no aparecen en manifiestos Git.</w:t>
            </w:r>
          </w:p>
        </w:tc>
      </w:tr>
      <w:tr>
        <w:trPr/>
        <w:tc>
          <w:tcPr>
            <w:tcW w:w="1741" w:type="dxa"/>
            <w:tcBorders/>
            <w:vAlign w:val="center"/>
          </w:tcPr>
          <w:p>
            <w:pPr>
              <w:pStyle w:val="TableContents"/>
              <w:bidi w:val="0"/>
              <w:spacing w:before="0" w:after="283"/>
              <w:rPr/>
            </w:pPr>
            <w:r>
              <w:rPr/>
              <w:t>ConfigMap</w:t>
            </w:r>
          </w:p>
        </w:tc>
        <w:tc>
          <w:tcPr>
            <w:tcW w:w="3077" w:type="dxa"/>
            <w:tcBorders/>
            <w:vAlign w:val="center"/>
          </w:tcPr>
          <w:p>
            <w:pPr>
              <w:pStyle w:val="TableContents"/>
              <w:bidi w:val="0"/>
              <w:spacing w:before="0" w:after="283"/>
              <w:rPr/>
            </w:pPr>
            <w:r>
              <w:rPr/>
              <w:t>URLs internas, perfil prod</w:t>
            </w:r>
          </w:p>
        </w:tc>
        <w:tc>
          <w:tcPr>
            <w:tcW w:w="4820" w:type="dxa"/>
            <w:tcBorders/>
            <w:vAlign w:val="center"/>
          </w:tcPr>
          <w:p>
            <w:pPr>
              <w:pStyle w:val="TableContents"/>
              <w:bidi w:val="0"/>
              <w:spacing w:before="0" w:after="283"/>
              <w:rPr/>
            </w:pPr>
            <w:r>
              <w:rPr/>
              <w:t>Versionado por ser no sensible.</w:t>
            </w:r>
          </w:p>
        </w:tc>
      </w:tr>
      <w:tr>
        <w:trPr/>
        <w:tc>
          <w:tcPr>
            <w:tcW w:w="1741" w:type="dxa"/>
            <w:tcBorders/>
            <w:vAlign w:val="center"/>
          </w:tcPr>
          <w:p>
            <w:pPr>
              <w:pStyle w:val="TableContents"/>
              <w:bidi w:val="0"/>
              <w:spacing w:before="0" w:after="283"/>
              <w:rPr/>
            </w:pPr>
            <w:r>
              <w:rPr/>
              <w:t>.env.example</w:t>
            </w:r>
          </w:p>
        </w:tc>
        <w:tc>
          <w:tcPr>
            <w:tcW w:w="3077" w:type="dxa"/>
            <w:tcBorders/>
            <w:vAlign w:val="center"/>
          </w:tcPr>
          <w:p>
            <w:pPr>
              <w:pStyle w:val="TableContents"/>
              <w:bidi w:val="0"/>
              <w:spacing w:before="0" w:after="283"/>
              <w:rPr/>
            </w:pPr>
            <w:r>
              <w:rPr/>
              <w:t>Nombres y valores demostrativos</w:t>
            </w:r>
          </w:p>
        </w:tc>
        <w:tc>
          <w:tcPr>
            <w:tcW w:w="4820" w:type="dxa"/>
            <w:tcBorders/>
            <w:vAlign w:val="center"/>
          </w:tcPr>
          <w:p>
            <w:pPr>
              <w:pStyle w:val="TableContents"/>
              <w:bidi w:val="0"/>
              <w:spacing w:before="0" w:after="283"/>
              <w:rPr/>
            </w:pPr>
            <w:r>
              <w:rPr/>
              <w:t>No contiene credenciales reales.</w:t>
            </w:r>
          </w:p>
        </w:tc>
      </w:tr>
    </w:tbl>
    <w:p>
      <w:pPr>
        <w:pStyle w:val="BodyText"/>
        <w:bidi w:val="0"/>
        <w:spacing w:before="0" w:after="283"/>
        <w:jc w:val="both"/>
        <w:rPr/>
      </w:pPr>
      <w:r>
        <w:rPr/>
        <w:t xml:space="preserve">En AWS Academy las credenciales son temporales. El pipeline usa el rol del laboratorio solo durante la ejecución. Para una cuenta permanente, la mejora recomendada es GitHub OIDC con un rol IAM que permita únicamente describir el cluster, autenticarse y actualizar recursos del namespace </w:t>
      </w:r>
      <w:r>
        <w:rPr>
          <w:rStyle w:val="SourceText"/>
        </w:rPr>
        <w:t>orioneta</w:t>
      </w:r>
      <w:r>
        <w:rPr/>
        <w:t xml:space="preserve">. </w:t>
      </w:r>
      <w:r>
        <w:br w:type="page"/>
      </w:r>
    </w:p>
    <w:p>
      <w:pPr>
        <w:pStyle w:val="Heading2"/>
        <w:bidi w:val="0"/>
        <w:ind w:hanging="0" w:start="0" w:end="0"/>
        <w:jc w:val="start"/>
        <w:rPr/>
      </w:pPr>
      <w:r>
        <w:rPr/>
        <w:t>10. Observabilidad y evidencias</w:t>
      </w:r>
    </w:p>
    <w:p>
      <w:pPr>
        <w:pStyle w:val="Heading3"/>
        <w:numPr>
          <w:ilvl w:val="0"/>
          <w:numId w:val="0"/>
        </w:numPr>
        <w:bidi w:val="0"/>
        <w:spacing w:lineRule="auto" w:line="288" w:before="140" w:after="120"/>
        <w:jc w:val="start"/>
        <w:rPr/>
      </w:pPr>
      <w:r>
        <w:rPr/>
        <w:t>10.1 Salud de Kubernetes</w:t>
      </w:r>
    </w:p>
    <w:p>
      <w:pPr>
        <w:pStyle w:val="BodyText"/>
        <w:bidi w:val="0"/>
        <w:spacing w:before="0" w:after="283"/>
        <w:jc w:val="both"/>
        <w:rPr/>
      </w:pPr>
      <w:r>
        <w:rPr/>
        <w:t xml:space="preserve">Los 14 Deployments quedaron con una réplica disponible. PostgreSQL, RabbitMQ, Redis y MinIO permanecieron Running y no se observaron reinicios. </w:t>
      </w:r>
    </w:p>
    <w:p>
      <w:pPr>
        <w:pStyle w:val="BodyText"/>
        <w:bidi w:val="0"/>
        <w:spacing w:before="0" w:after="283"/>
        <w:jc w:val="both"/>
        <w:rPr/>
      </w:pPr>
      <w:r>
        <w:rPr/>
        <w:drawing>
          <wp:inline distT="0" distB="0" distL="0" distR="0">
            <wp:extent cx="5760085" cy="3305175"/>
            <wp:effectExtent l="0" t="0" r="0" b="0"/>
            <wp:docPr id="5" name="Image5" title="Estado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Estado Kubernetes"/>
                    <pic:cNvPicPr>
                      <a:picLocks noChangeAspect="1" noChangeArrowheads="1"/>
                    </pic:cNvPicPr>
                  </pic:nvPicPr>
                  <pic:blipFill>
                    <a:blip r:embed="rId9"/>
                    <a:stretch>
                      <a:fillRect/>
                    </a:stretch>
                  </pic:blipFill>
                  <pic:spPr bwMode="auto">
                    <a:xfrm>
                      <a:off x="0" y="0"/>
                      <a:ext cx="5760085" cy="3305175"/>
                    </a:xfrm>
                    <a:prstGeom prst="rect">
                      <a:avLst/>
                    </a:prstGeom>
                    <a:noFill/>
                  </pic:spPr>
                </pic:pic>
              </a:graphicData>
            </a:graphic>
          </wp:inline>
        </w:drawing>
      </w:r>
      <w:r>
        <w:rPr/>
        <w:t xml:space="preserve"> </w:t>
      </w:r>
    </w:p>
    <w:p>
      <w:pPr>
        <w:pStyle w:val="BodyTextcaption"/>
        <w:bidi w:val="0"/>
        <w:jc w:val="center"/>
        <w:rPr/>
      </w:pPr>
      <w:r>
        <w:rPr/>
        <w:t>Figura 5. Estado del namespace posterior al rollout.</w:t>
      </w:r>
    </w:p>
    <w:p>
      <w:pPr>
        <w:pStyle w:val="Heading3"/>
        <w:numPr>
          <w:ilvl w:val="0"/>
          <w:numId w:val="0"/>
        </w:numPr>
        <w:bidi w:val="0"/>
        <w:spacing w:lineRule="auto" w:line="288" w:before="140" w:after="120"/>
        <w:jc w:val="start"/>
        <w:rPr/>
      </w:pPr>
      <w:r>
        <w:rPr/>
        <w:t>10.2 Actuator y logs</w:t>
      </w:r>
    </w:p>
    <w:p>
      <w:pPr>
        <w:pStyle w:val="BodyText"/>
        <w:bidi w:val="0"/>
        <w:spacing w:before="0" w:after="283"/>
        <w:jc w:val="both"/>
        <w:rPr/>
      </w:pPr>
      <w:r>
        <w:rPr/>
        <w:t xml:space="preserve">Cada microservicio expone liveness, readiness, métricas y Prometheus. Los logs siguen el patrón stdout/stderr y se consultan con </w:t>
      </w:r>
      <w:r>
        <w:rPr>
          <w:rStyle w:val="SourceText"/>
        </w:rPr>
        <w:t>kubectl logs</w:t>
      </w:r>
      <w:r>
        <w:rPr/>
        <w:t xml:space="preserve">. Los logs completos de build y deploy permanecen en GitHub Actions. </w:t>
      </w:r>
    </w:p>
    <w:p>
      <w:pPr>
        <w:pStyle w:val="Heading3"/>
        <w:numPr>
          <w:ilvl w:val="0"/>
          <w:numId w:val="0"/>
        </w:numPr>
        <w:bidi w:val="0"/>
        <w:spacing w:lineRule="auto" w:line="288" w:before="140" w:after="120"/>
        <w:jc w:val="start"/>
        <w:rPr/>
      </w:pPr>
      <w:r>
        <w:rPr/>
        <w:t>10.3 CloudWatch</w:t>
      </w:r>
    </w:p>
    <w:p>
      <w:pPr>
        <w:pStyle w:val="BodyText"/>
        <w:bidi w:val="0"/>
        <w:spacing w:before="0" w:after="283"/>
        <w:jc w:val="both"/>
        <w:rPr/>
      </w:pPr>
      <w:r>
        <w:rPr/>
        <w:t xml:space="preserve">CloudWatch confirmó baja utilización de CPU, tráfico de red durante el despliegue y cero fallos de estado en la instancia frontend. </w:t>
      </w:r>
    </w:p>
    <w:p>
      <w:pPr>
        <w:pStyle w:val="BodyText"/>
        <w:bidi w:val="0"/>
        <w:spacing w:before="0" w:after="283"/>
        <w:jc w:val="both"/>
        <w:rPr/>
      </w:pPr>
      <w:r>
        <w:rPr/>
        <w:drawing>
          <wp:inline distT="0" distB="0" distL="0" distR="0">
            <wp:extent cx="5760085" cy="2181225"/>
            <wp:effectExtent l="0" t="0" r="0" b="0"/>
            <wp:docPr id="6" name="Image6" title="Métricas Cloud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Métricas CloudWatch"/>
                    <pic:cNvPicPr>
                      <a:picLocks noChangeAspect="1" noChangeArrowheads="1"/>
                    </pic:cNvPicPr>
                  </pic:nvPicPr>
                  <pic:blipFill>
                    <a:blip r:embed="rId10"/>
                    <a:stretch>
                      <a:fillRect/>
                    </a:stretch>
                  </pic:blipFill>
                  <pic:spPr bwMode="auto">
                    <a:xfrm>
                      <a:off x="0" y="0"/>
                      <a:ext cx="5760085" cy="2181225"/>
                    </a:xfrm>
                    <a:prstGeom prst="rect">
                      <a:avLst/>
                    </a:prstGeom>
                    <a:noFill/>
                  </pic:spPr>
                </pic:pic>
              </a:graphicData>
            </a:graphic>
          </wp:inline>
        </w:drawing>
      </w:r>
      <w:r>
        <w:rPr/>
        <w:t xml:space="preserve"> </w:t>
      </w:r>
    </w:p>
    <w:p>
      <w:pPr>
        <w:pStyle w:val="BodyTextcaption"/>
        <w:bidi w:val="0"/>
        <w:jc w:val="center"/>
        <w:rPr/>
      </w:pPr>
      <w:r>
        <w:rPr/>
        <w:t>Figura 6. Resumen de métricas obtenidas mediante AWS CloudWatch.</w:t>
      </w:r>
    </w:p>
    <w:p>
      <w:pPr>
        <w:pStyle w:val="Heading2"/>
        <w:numPr>
          <w:ilvl w:val="0"/>
          <w:numId w:val="0"/>
        </w:numPr>
        <w:pBdr>
          <w:bottom w:val="single" w:sz="12" w:space="1" w:color="7C3AED"/>
        </w:pBdr>
        <w:bidi w:val="0"/>
        <w:spacing w:lineRule="auto" w:line="288" w:before="200" w:after="120"/>
        <w:jc w:val="start"/>
        <w:rPr/>
      </w:pPr>
      <w:r>
        <w:rPr/>
        <w:t>11. Seguridad básica</w:t>
      </w:r>
    </w:p>
    <w:p>
      <w:pPr>
        <w:pStyle w:val="BodyText"/>
        <w:numPr>
          <w:ilvl w:val="0"/>
          <w:numId w:val="4"/>
        </w:numPr>
        <w:tabs>
          <w:tab w:val="clear" w:pos="1134"/>
          <w:tab w:val="left" w:pos="709" w:leader="none"/>
        </w:tabs>
        <w:bidi w:val="0"/>
        <w:spacing w:before="0" w:after="0"/>
        <w:ind w:hanging="283" w:start="709"/>
        <w:rPr/>
      </w:pPr>
      <w:r>
        <w:rPr/>
        <w:t xml:space="preserve">HTTPS y certificados automáticos administrados por Caddy. </w:t>
      </w:r>
    </w:p>
    <w:p>
      <w:pPr>
        <w:pStyle w:val="BodyText"/>
        <w:numPr>
          <w:ilvl w:val="0"/>
          <w:numId w:val="4"/>
        </w:numPr>
        <w:tabs>
          <w:tab w:val="clear" w:pos="1134"/>
          <w:tab w:val="left" w:pos="709" w:leader="none"/>
        </w:tabs>
        <w:bidi w:val="0"/>
        <w:spacing w:before="0" w:after="0"/>
        <w:ind w:hanging="283" w:start="709"/>
        <w:rPr/>
      </w:pPr>
      <w:r>
        <w:rPr/>
        <w:t xml:space="preserve">JWT emitido por Orioneta incluso cuando la identidad proviene de OAuth2. </w:t>
      </w:r>
    </w:p>
    <w:p>
      <w:pPr>
        <w:pStyle w:val="BodyText"/>
        <w:numPr>
          <w:ilvl w:val="0"/>
          <w:numId w:val="4"/>
        </w:numPr>
        <w:tabs>
          <w:tab w:val="clear" w:pos="1134"/>
          <w:tab w:val="left" w:pos="709" w:leader="none"/>
        </w:tabs>
        <w:bidi w:val="0"/>
        <w:spacing w:before="0" w:after="0"/>
        <w:ind w:hanging="283" w:start="709"/>
        <w:rPr/>
      </w:pPr>
      <w:r>
        <w:rPr/>
        <w:t xml:space="preserve">Contenedores Java ejecutados sin root sobre imágenes Alpine. </w:t>
      </w:r>
    </w:p>
    <w:p>
      <w:pPr>
        <w:pStyle w:val="BodyText"/>
        <w:numPr>
          <w:ilvl w:val="0"/>
          <w:numId w:val="4"/>
        </w:numPr>
        <w:tabs>
          <w:tab w:val="clear" w:pos="1134"/>
          <w:tab w:val="left" w:pos="709" w:leader="none"/>
        </w:tabs>
        <w:bidi w:val="0"/>
        <w:spacing w:before="0" w:after="0"/>
        <w:ind w:hanging="283" w:start="709"/>
        <w:rPr/>
      </w:pPr>
      <w:r>
        <w:rPr/>
        <w:t xml:space="preserve">Puertos internos no publicados fuera de Kubernetes. </w:t>
      </w:r>
    </w:p>
    <w:p>
      <w:pPr>
        <w:pStyle w:val="BodyText"/>
        <w:numPr>
          <w:ilvl w:val="0"/>
          <w:numId w:val="4"/>
        </w:numPr>
        <w:tabs>
          <w:tab w:val="clear" w:pos="1134"/>
          <w:tab w:val="left" w:pos="709" w:leader="none"/>
        </w:tabs>
        <w:bidi w:val="0"/>
        <w:spacing w:before="0" w:after="0"/>
        <w:ind w:hanging="283" w:start="709"/>
        <w:rPr/>
      </w:pPr>
      <w:r>
        <w:rPr/>
        <w:t xml:space="preserve">SSH limitado temporalmente a la IP del runner. </w:t>
      </w:r>
    </w:p>
    <w:p>
      <w:pPr>
        <w:pStyle w:val="BodyText"/>
        <w:numPr>
          <w:ilvl w:val="0"/>
          <w:numId w:val="4"/>
        </w:numPr>
        <w:tabs>
          <w:tab w:val="clear" w:pos="1134"/>
          <w:tab w:val="left" w:pos="709" w:leader="none"/>
        </w:tabs>
        <w:bidi w:val="0"/>
        <w:spacing w:before="0" w:after="0"/>
        <w:ind w:hanging="283" w:start="709"/>
        <w:rPr/>
      </w:pPr>
      <w:r>
        <w:rPr/>
        <w:t xml:space="preserve">Secretos excluidos de Git y enmascarados en Actions. </w:t>
      </w:r>
    </w:p>
    <w:p>
      <w:pPr>
        <w:pStyle w:val="BodyText"/>
        <w:numPr>
          <w:ilvl w:val="0"/>
          <w:numId w:val="4"/>
        </w:numPr>
        <w:tabs>
          <w:tab w:val="clear" w:pos="1134"/>
          <w:tab w:val="left" w:pos="709" w:leader="none"/>
        </w:tabs>
        <w:bidi w:val="0"/>
        <w:spacing w:before="0" w:after="0"/>
        <w:ind w:hanging="283" w:start="709"/>
        <w:rPr/>
      </w:pPr>
      <w:r>
        <w:rPr/>
        <w:t xml:space="preserve">Validaciones de entrada y separación de autenticación/perfil. </w:t>
      </w:r>
    </w:p>
    <w:p>
      <w:pPr>
        <w:pStyle w:val="BodyText"/>
        <w:numPr>
          <w:ilvl w:val="0"/>
          <w:numId w:val="4"/>
        </w:numPr>
        <w:tabs>
          <w:tab w:val="clear" w:pos="1134"/>
          <w:tab w:val="left" w:pos="709" w:leader="none"/>
        </w:tabs>
        <w:bidi w:val="0"/>
        <w:ind w:hanging="283" w:start="709"/>
        <w:rPr/>
      </w:pPr>
      <w:r>
        <w:rPr/>
        <w:t xml:space="preserve">Probes y límites de memoria para reducir fallos en cascada. </w:t>
      </w:r>
    </w:p>
    <w:p>
      <w:pPr>
        <w:pStyle w:val="BodyText"/>
        <w:bidi w:val="0"/>
        <w:spacing w:before="0" w:after="283"/>
        <w:jc w:val="both"/>
        <w:rPr/>
      </w:pPr>
      <w:r>
        <w:rPr>
          <w:rStyle w:val="Strong"/>
        </w:rPr>
        <w:t>Mejora planificada:</w:t>
      </w:r>
      <w:r>
        <w:rPr/>
        <w:t xml:space="preserve"> integrar Trivy, NetworkPolicy, AWS WAF y rotación automática mediante Secrets Manager antes de una producción comercial. </w:t>
      </w:r>
      <w:r>
        <w:br w:type="page"/>
      </w:r>
    </w:p>
    <w:p>
      <w:pPr>
        <w:pStyle w:val="Heading2"/>
        <w:bidi w:val="0"/>
        <w:ind w:hanging="0" w:start="0" w:end="0"/>
        <w:jc w:val="start"/>
        <w:rPr/>
      </w:pPr>
      <w:r>
        <w:rPr/>
        <w:t>12. Orquestación y escalabilidad</w:t>
      </w:r>
    </w:p>
    <w:p>
      <w:pPr>
        <w:pStyle w:val="BodyText"/>
        <w:bidi w:val="0"/>
        <w:spacing w:before="0" w:after="283"/>
        <w:jc w:val="both"/>
        <w:rPr/>
      </w:pPr>
      <w:r>
        <w:rPr/>
        <w:t xml:space="preserve">Se eligió EKS en lugar de un conjunto de contenedores administrados manualmente porque Kubernetes mantiene el estado deseado. Si un proceso falla, el pod se reemplaza; si readiness falla, deja de recibir tráfico; si se publica una nueva imagen, el Deployment controla la actualización. </w:t>
      </w:r>
    </w:p>
    <w:tbl>
      <w:tblPr>
        <w:tblW w:w="7156" w:type="dxa"/>
        <w:jc w:val="start"/>
        <w:tblInd w:w="0" w:type="dxa"/>
        <w:tblLayout w:type="fixed"/>
        <w:tblCellMar>
          <w:top w:w="28" w:type="dxa"/>
          <w:start w:w="28" w:type="dxa"/>
          <w:bottom w:w="28" w:type="dxa"/>
          <w:end w:w="28" w:type="dxa"/>
        </w:tblCellMar>
      </w:tblPr>
      <w:tblGrid>
        <w:gridCol w:w="1579"/>
        <w:gridCol w:w="2987"/>
        <w:gridCol w:w="2590"/>
      </w:tblGrid>
      <w:tr>
        <w:trPr/>
        <w:tc>
          <w:tcPr>
            <w:tcW w:w="1579" w:type="dxa"/>
            <w:tcBorders/>
            <w:vAlign w:val="center"/>
          </w:tcPr>
          <w:p>
            <w:pPr>
              <w:pStyle w:val="TableHeading"/>
              <w:suppressLineNumbers/>
              <w:bidi w:val="0"/>
              <w:spacing w:before="0" w:after="283"/>
              <w:jc w:val="center"/>
              <w:rPr/>
            </w:pPr>
            <w:r>
              <w:rPr/>
              <w:t>Capacidad</w:t>
            </w:r>
          </w:p>
        </w:tc>
        <w:tc>
          <w:tcPr>
            <w:tcW w:w="2987" w:type="dxa"/>
            <w:tcBorders/>
            <w:vAlign w:val="center"/>
          </w:tcPr>
          <w:p>
            <w:pPr>
              <w:pStyle w:val="TableHeading"/>
              <w:suppressLineNumbers/>
              <w:bidi w:val="0"/>
              <w:spacing w:before="0" w:after="283"/>
              <w:jc w:val="center"/>
              <w:rPr/>
            </w:pPr>
            <w:r>
              <w:rPr/>
              <w:t>Docker manual</w:t>
            </w:r>
          </w:p>
        </w:tc>
        <w:tc>
          <w:tcPr>
            <w:tcW w:w="2590" w:type="dxa"/>
            <w:tcBorders/>
            <w:vAlign w:val="center"/>
          </w:tcPr>
          <w:p>
            <w:pPr>
              <w:pStyle w:val="TableHeading"/>
              <w:suppressLineNumbers/>
              <w:bidi w:val="0"/>
              <w:spacing w:before="0" w:after="283"/>
              <w:jc w:val="center"/>
              <w:rPr/>
            </w:pPr>
            <w:r>
              <w:rPr/>
              <w:t>EKS</w:t>
            </w:r>
          </w:p>
        </w:tc>
      </w:tr>
      <w:tr>
        <w:trPr/>
        <w:tc>
          <w:tcPr>
            <w:tcW w:w="1579" w:type="dxa"/>
            <w:tcBorders/>
            <w:vAlign w:val="center"/>
          </w:tcPr>
          <w:p>
            <w:pPr>
              <w:pStyle w:val="TableContents"/>
              <w:bidi w:val="0"/>
              <w:spacing w:before="0" w:after="283"/>
              <w:rPr/>
            </w:pPr>
            <w:r>
              <w:rPr/>
              <w:t>Recuperación</w:t>
            </w:r>
          </w:p>
        </w:tc>
        <w:tc>
          <w:tcPr>
            <w:tcW w:w="2987" w:type="dxa"/>
            <w:tcBorders/>
            <w:vAlign w:val="center"/>
          </w:tcPr>
          <w:p>
            <w:pPr>
              <w:pStyle w:val="TableContents"/>
              <w:bidi w:val="0"/>
              <w:spacing w:before="0" w:after="283"/>
              <w:rPr/>
            </w:pPr>
            <w:r>
              <w:rPr/>
              <w:t>Reinicio manual o script</w:t>
            </w:r>
          </w:p>
        </w:tc>
        <w:tc>
          <w:tcPr>
            <w:tcW w:w="2590" w:type="dxa"/>
            <w:tcBorders/>
            <w:vAlign w:val="center"/>
          </w:tcPr>
          <w:p>
            <w:pPr>
              <w:pStyle w:val="TableContents"/>
              <w:bidi w:val="0"/>
              <w:spacing w:before="0" w:after="283"/>
              <w:rPr/>
            </w:pPr>
            <w:r>
              <w:rPr/>
              <w:t>Reconciliación automática</w:t>
            </w:r>
          </w:p>
        </w:tc>
      </w:tr>
      <w:tr>
        <w:trPr/>
        <w:tc>
          <w:tcPr>
            <w:tcW w:w="1579" w:type="dxa"/>
            <w:tcBorders/>
            <w:vAlign w:val="center"/>
          </w:tcPr>
          <w:p>
            <w:pPr>
              <w:pStyle w:val="TableContents"/>
              <w:bidi w:val="0"/>
              <w:spacing w:before="0" w:after="283"/>
              <w:rPr/>
            </w:pPr>
            <w:r>
              <w:rPr/>
              <w:t>Descubrimiento</w:t>
            </w:r>
          </w:p>
        </w:tc>
        <w:tc>
          <w:tcPr>
            <w:tcW w:w="2987" w:type="dxa"/>
            <w:tcBorders/>
            <w:vAlign w:val="center"/>
          </w:tcPr>
          <w:p>
            <w:pPr>
              <w:pStyle w:val="TableContents"/>
              <w:bidi w:val="0"/>
              <w:spacing w:before="0" w:after="283"/>
              <w:rPr/>
            </w:pPr>
            <w:r>
              <w:rPr/>
              <w:t>IPs/configuración manual</w:t>
            </w:r>
          </w:p>
        </w:tc>
        <w:tc>
          <w:tcPr>
            <w:tcW w:w="2590" w:type="dxa"/>
            <w:tcBorders/>
            <w:vAlign w:val="center"/>
          </w:tcPr>
          <w:p>
            <w:pPr>
              <w:pStyle w:val="TableContents"/>
              <w:bidi w:val="0"/>
              <w:spacing w:before="0" w:after="283"/>
              <w:rPr/>
            </w:pPr>
            <w:r>
              <w:rPr/>
              <w:t>Service DNS</w:t>
            </w:r>
          </w:p>
        </w:tc>
      </w:tr>
      <w:tr>
        <w:trPr/>
        <w:tc>
          <w:tcPr>
            <w:tcW w:w="1579" w:type="dxa"/>
            <w:tcBorders/>
            <w:vAlign w:val="center"/>
          </w:tcPr>
          <w:p>
            <w:pPr>
              <w:pStyle w:val="TableContents"/>
              <w:bidi w:val="0"/>
              <w:spacing w:before="0" w:after="283"/>
              <w:rPr/>
            </w:pPr>
            <w:r>
              <w:rPr/>
              <w:t>Escalado</w:t>
            </w:r>
          </w:p>
        </w:tc>
        <w:tc>
          <w:tcPr>
            <w:tcW w:w="2987" w:type="dxa"/>
            <w:tcBorders/>
            <w:vAlign w:val="center"/>
          </w:tcPr>
          <w:p>
            <w:pPr>
              <w:pStyle w:val="TableContents"/>
              <w:bidi w:val="0"/>
              <w:spacing w:before="0" w:after="283"/>
              <w:rPr/>
            </w:pPr>
            <w:r>
              <w:rPr/>
              <w:t>Crear y conectar contenedores</w:t>
            </w:r>
          </w:p>
        </w:tc>
        <w:tc>
          <w:tcPr>
            <w:tcW w:w="2590" w:type="dxa"/>
            <w:tcBorders/>
            <w:vAlign w:val="center"/>
          </w:tcPr>
          <w:p>
            <w:pPr>
              <w:pStyle w:val="TableContents"/>
              <w:bidi w:val="0"/>
              <w:spacing w:before="0" w:after="283"/>
              <w:rPr/>
            </w:pPr>
            <w:r>
              <w:rPr/>
              <w:t>Réplicas/HPA</w:t>
            </w:r>
          </w:p>
        </w:tc>
      </w:tr>
      <w:tr>
        <w:trPr/>
        <w:tc>
          <w:tcPr>
            <w:tcW w:w="1579" w:type="dxa"/>
            <w:tcBorders/>
            <w:vAlign w:val="center"/>
          </w:tcPr>
          <w:p>
            <w:pPr>
              <w:pStyle w:val="TableContents"/>
              <w:bidi w:val="0"/>
              <w:spacing w:before="0" w:after="283"/>
              <w:rPr/>
            </w:pPr>
            <w:r>
              <w:rPr/>
              <w:t>Actualización</w:t>
            </w:r>
          </w:p>
        </w:tc>
        <w:tc>
          <w:tcPr>
            <w:tcW w:w="2987" w:type="dxa"/>
            <w:tcBorders/>
            <w:vAlign w:val="center"/>
          </w:tcPr>
          <w:p>
            <w:pPr>
              <w:pStyle w:val="TableContents"/>
              <w:bidi w:val="0"/>
              <w:spacing w:before="0" w:after="283"/>
              <w:rPr/>
            </w:pPr>
            <w:r>
              <w:rPr/>
              <w:t>Reemplazo imperativo</w:t>
            </w:r>
          </w:p>
        </w:tc>
        <w:tc>
          <w:tcPr>
            <w:tcW w:w="2590" w:type="dxa"/>
            <w:tcBorders/>
            <w:vAlign w:val="center"/>
          </w:tcPr>
          <w:p>
            <w:pPr>
              <w:pStyle w:val="TableContents"/>
              <w:bidi w:val="0"/>
              <w:spacing w:before="0" w:after="283"/>
              <w:rPr/>
            </w:pPr>
            <w:r>
              <w:rPr/>
              <w:t>Rollout declarativo</w:t>
            </w:r>
          </w:p>
        </w:tc>
      </w:tr>
      <w:tr>
        <w:trPr/>
        <w:tc>
          <w:tcPr>
            <w:tcW w:w="1579" w:type="dxa"/>
            <w:tcBorders/>
            <w:vAlign w:val="center"/>
          </w:tcPr>
          <w:p>
            <w:pPr>
              <w:pStyle w:val="TableContents"/>
              <w:bidi w:val="0"/>
              <w:spacing w:before="0" w:after="283"/>
              <w:rPr/>
            </w:pPr>
            <w:r>
              <w:rPr/>
              <w:t>Salud</w:t>
            </w:r>
          </w:p>
        </w:tc>
        <w:tc>
          <w:tcPr>
            <w:tcW w:w="2987" w:type="dxa"/>
            <w:tcBorders/>
            <w:vAlign w:val="center"/>
          </w:tcPr>
          <w:p>
            <w:pPr>
              <w:pStyle w:val="TableContents"/>
              <w:bidi w:val="0"/>
              <w:spacing w:before="0" w:after="283"/>
              <w:rPr/>
            </w:pPr>
            <w:r>
              <w:rPr/>
              <w:t>Scripts separados</w:t>
            </w:r>
          </w:p>
        </w:tc>
        <w:tc>
          <w:tcPr>
            <w:tcW w:w="2590" w:type="dxa"/>
            <w:tcBorders/>
            <w:vAlign w:val="center"/>
          </w:tcPr>
          <w:p>
            <w:pPr>
              <w:pStyle w:val="TableContents"/>
              <w:bidi w:val="0"/>
              <w:spacing w:before="0" w:after="283"/>
              <w:rPr/>
            </w:pPr>
            <w:r>
              <w:rPr/>
              <w:t>Probes integrados</w:t>
            </w:r>
          </w:p>
        </w:tc>
      </w:tr>
      <w:tr>
        <w:trPr/>
        <w:tc>
          <w:tcPr>
            <w:tcW w:w="1579" w:type="dxa"/>
            <w:tcBorders/>
            <w:vAlign w:val="center"/>
          </w:tcPr>
          <w:p>
            <w:pPr>
              <w:pStyle w:val="TableContents"/>
              <w:bidi w:val="0"/>
              <w:spacing w:before="0" w:after="283"/>
              <w:rPr/>
            </w:pPr>
            <w:r>
              <w:rPr/>
              <w:t>Persistencia</w:t>
            </w:r>
          </w:p>
        </w:tc>
        <w:tc>
          <w:tcPr>
            <w:tcW w:w="2987" w:type="dxa"/>
            <w:tcBorders/>
            <w:vAlign w:val="center"/>
          </w:tcPr>
          <w:p>
            <w:pPr>
              <w:pStyle w:val="TableContents"/>
              <w:bidi w:val="0"/>
              <w:spacing w:before="0" w:after="283"/>
              <w:rPr/>
            </w:pPr>
            <w:r>
              <w:rPr/>
              <w:t>Volúmenes locales</w:t>
            </w:r>
          </w:p>
        </w:tc>
        <w:tc>
          <w:tcPr>
            <w:tcW w:w="2590" w:type="dxa"/>
            <w:tcBorders/>
            <w:vAlign w:val="center"/>
          </w:tcPr>
          <w:p>
            <w:pPr>
              <w:pStyle w:val="TableContents"/>
              <w:bidi w:val="0"/>
              <w:spacing w:before="0" w:after="283"/>
              <w:rPr/>
            </w:pPr>
            <w:r>
              <w:rPr/>
              <w:t>PVC y EBS</w:t>
            </w:r>
          </w:p>
        </w:tc>
      </w:tr>
    </w:tbl>
    <w:p>
      <w:pPr>
        <w:pStyle w:val="BodyText"/>
        <w:bidi w:val="0"/>
        <w:spacing w:before="0" w:after="283"/>
        <w:jc w:val="both"/>
        <w:rPr/>
      </w:pPr>
      <w:r>
        <w:rPr/>
        <w:t xml:space="preserve">El laboratorio mantiene una réplica por servicio para limitar costos, pero los Deployments permiten escalar. El Gateway y los servicios stateless son candidatos directos a HPA. Los componentes stateful requieren además una estrategia de replicación o servicios administrados. </w:t>
      </w:r>
    </w:p>
    <w:p>
      <w:pPr>
        <w:pStyle w:val="Heading2"/>
        <w:numPr>
          <w:ilvl w:val="0"/>
          <w:numId w:val="0"/>
        </w:numPr>
        <w:pBdr>
          <w:bottom w:val="single" w:sz="12" w:space="1" w:color="7C3AED"/>
        </w:pBdr>
        <w:bidi w:val="0"/>
        <w:spacing w:lineRule="auto" w:line="288" w:before="200" w:after="120"/>
        <w:jc w:val="start"/>
        <w:rPr/>
      </w:pPr>
      <w:r>
        <w:rPr/>
        <w:t>13. Verificación funcional</w:t>
      </w:r>
    </w:p>
    <w:tbl>
      <w:tblPr>
        <w:tblW w:w="5693" w:type="dxa"/>
        <w:jc w:val="start"/>
        <w:tblInd w:w="0" w:type="dxa"/>
        <w:tblLayout w:type="fixed"/>
        <w:tblCellMar>
          <w:top w:w="28" w:type="dxa"/>
          <w:start w:w="28" w:type="dxa"/>
          <w:bottom w:w="28" w:type="dxa"/>
          <w:end w:w="28" w:type="dxa"/>
        </w:tblCellMar>
      </w:tblPr>
      <w:tblGrid>
        <w:gridCol w:w="2173"/>
        <w:gridCol w:w="3520"/>
      </w:tblGrid>
      <w:tr>
        <w:trPr/>
        <w:tc>
          <w:tcPr>
            <w:tcW w:w="2173" w:type="dxa"/>
            <w:tcBorders/>
            <w:vAlign w:val="center"/>
          </w:tcPr>
          <w:p>
            <w:pPr>
              <w:pStyle w:val="TableHeading"/>
              <w:suppressLineNumbers/>
              <w:bidi w:val="0"/>
              <w:spacing w:before="0" w:after="283"/>
              <w:jc w:val="center"/>
              <w:rPr/>
            </w:pPr>
            <w:r>
              <w:rPr/>
              <w:t>Prueba</w:t>
            </w:r>
          </w:p>
        </w:tc>
        <w:tc>
          <w:tcPr>
            <w:tcW w:w="3520" w:type="dxa"/>
            <w:tcBorders/>
            <w:vAlign w:val="center"/>
          </w:tcPr>
          <w:p>
            <w:pPr>
              <w:pStyle w:val="TableHeading"/>
              <w:suppressLineNumbers/>
              <w:bidi w:val="0"/>
              <w:spacing w:before="0" w:after="283"/>
              <w:jc w:val="center"/>
              <w:rPr/>
            </w:pPr>
            <w:r>
              <w:rPr/>
              <w:t>Resultado</w:t>
            </w:r>
          </w:p>
        </w:tc>
      </w:tr>
      <w:tr>
        <w:trPr/>
        <w:tc>
          <w:tcPr>
            <w:tcW w:w="2173" w:type="dxa"/>
            <w:tcBorders/>
            <w:vAlign w:val="center"/>
          </w:tcPr>
          <w:p>
            <w:pPr>
              <w:pStyle w:val="TableContents"/>
              <w:bidi w:val="0"/>
              <w:spacing w:before="0" w:after="283"/>
              <w:rPr/>
            </w:pPr>
            <w:r>
              <w:rPr>
                <w:rStyle w:val="SourceText"/>
              </w:rPr>
              <w:t>mvn -B clean verify</w:t>
            </w:r>
          </w:p>
        </w:tc>
        <w:tc>
          <w:tcPr>
            <w:tcW w:w="3520" w:type="dxa"/>
            <w:tcBorders/>
            <w:vAlign w:val="center"/>
          </w:tcPr>
          <w:p>
            <w:pPr>
              <w:pStyle w:val="TableContents"/>
              <w:bidi w:val="0"/>
              <w:spacing w:before="0" w:after="283"/>
              <w:rPr/>
            </w:pPr>
            <w:r>
              <w:rPr/>
              <w:t>68 pruebas, 0 fallos, 0 errores</w:t>
            </w:r>
          </w:p>
        </w:tc>
      </w:tr>
      <w:tr>
        <w:trPr/>
        <w:tc>
          <w:tcPr>
            <w:tcW w:w="2173" w:type="dxa"/>
            <w:tcBorders/>
            <w:vAlign w:val="center"/>
          </w:tcPr>
          <w:p>
            <w:pPr>
              <w:pStyle w:val="TableContents"/>
              <w:bidi w:val="0"/>
              <w:spacing w:before="0" w:after="283"/>
              <w:rPr/>
            </w:pPr>
            <w:r>
              <w:rPr>
                <w:rStyle w:val="SourceText"/>
              </w:rPr>
              <w:t>npm run lint</w:t>
            </w:r>
          </w:p>
        </w:tc>
        <w:tc>
          <w:tcPr>
            <w:tcW w:w="3520" w:type="dxa"/>
            <w:tcBorders/>
            <w:vAlign w:val="center"/>
          </w:tcPr>
          <w:p>
            <w:pPr>
              <w:pStyle w:val="TableContents"/>
              <w:bidi w:val="0"/>
              <w:spacing w:before="0" w:after="283"/>
              <w:rPr/>
            </w:pPr>
            <w:r>
              <w:rPr/>
              <w:t>Correcto</w:t>
            </w:r>
          </w:p>
        </w:tc>
      </w:tr>
      <w:tr>
        <w:trPr/>
        <w:tc>
          <w:tcPr>
            <w:tcW w:w="2173" w:type="dxa"/>
            <w:tcBorders/>
            <w:vAlign w:val="center"/>
          </w:tcPr>
          <w:p>
            <w:pPr>
              <w:pStyle w:val="TableContents"/>
              <w:bidi w:val="0"/>
              <w:spacing w:before="0" w:after="283"/>
              <w:rPr/>
            </w:pPr>
            <w:r>
              <w:rPr>
                <w:rStyle w:val="SourceText"/>
              </w:rPr>
              <w:t>npm run build</w:t>
            </w:r>
          </w:p>
        </w:tc>
        <w:tc>
          <w:tcPr>
            <w:tcW w:w="3520" w:type="dxa"/>
            <w:tcBorders/>
            <w:vAlign w:val="center"/>
          </w:tcPr>
          <w:p>
            <w:pPr>
              <w:pStyle w:val="TableContents"/>
              <w:bidi w:val="0"/>
              <w:spacing w:before="0" w:after="283"/>
              <w:rPr/>
            </w:pPr>
            <w:r>
              <w:rPr/>
              <w:t>Correcto</w:t>
            </w:r>
          </w:p>
        </w:tc>
      </w:tr>
      <w:tr>
        <w:trPr/>
        <w:tc>
          <w:tcPr>
            <w:tcW w:w="2173" w:type="dxa"/>
            <w:tcBorders/>
            <w:vAlign w:val="center"/>
          </w:tcPr>
          <w:p>
            <w:pPr>
              <w:pStyle w:val="TableContents"/>
              <w:bidi w:val="0"/>
              <w:spacing w:before="0" w:after="283"/>
              <w:rPr/>
            </w:pPr>
            <w:r>
              <w:rPr/>
              <w:t>Frontend HTTPS</w:t>
            </w:r>
          </w:p>
        </w:tc>
        <w:tc>
          <w:tcPr>
            <w:tcW w:w="3520" w:type="dxa"/>
            <w:tcBorders/>
            <w:vAlign w:val="center"/>
          </w:tcPr>
          <w:p>
            <w:pPr>
              <w:pStyle w:val="TableContents"/>
              <w:bidi w:val="0"/>
              <w:spacing w:before="0" w:after="283"/>
              <w:rPr/>
            </w:pPr>
            <w:r>
              <w:rPr/>
              <w:t>HTTP 200</w:t>
            </w:r>
          </w:p>
        </w:tc>
      </w:tr>
      <w:tr>
        <w:trPr/>
        <w:tc>
          <w:tcPr>
            <w:tcW w:w="2173" w:type="dxa"/>
            <w:tcBorders/>
            <w:vAlign w:val="center"/>
          </w:tcPr>
          <w:p>
            <w:pPr>
              <w:pStyle w:val="TableContents"/>
              <w:bidi w:val="0"/>
              <w:spacing w:before="0" w:after="283"/>
              <w:rPr/>
            </w:pPr>
            <w:r>
              <w:rPr/>
              <w:t>Gateway readiness</w:t>
            </w:r>
          </w:p>
        </w:tc>
        <w:tc>
          <w:tcPr>
            <w:tcW w:w="3520" w:type="dxa"/>
            <w:tcBorders/>
            <w:vAlign w:val="center"/>
          </w:tcPr>
          <w:p>
            <w:pPr>
              <w:pStyle w:val="TableContents"/>
              <w:bidi w:val="0"/>
              <w:spacing w:before="0" w:after="283"/>
              <w:rPr/>
            </w:pPr>
            <w:r>
              <w:rPr>
                <w:rStyle w:val="SourceText"/>
              </w:rPr>
              <w:t>{"status":"UP"}</w:t>
            </w:r>
          </w:p>
        </w:tc>
      </w:tr>
      <w:tr>
        <w:trPr/>
        <w:tc>
          <w:tcPr>
            <w:tcW w:w="2173" w:type="dxa"/>
            <w:tcBorders/>
            <w:vAlign w:val="center"/>
          </w:tcPr>
          <w:p>
            <w:pPr>
              <w:pStyle w:val="TableContents"/>
              <w:bidi w:val="0"/>
              <w:spacing w:before="0" w:after="283"/>
              <w:rPr/>
            </w:pPr>
            <w:r>
              <w:rPr/>
              <w:t>OAuth providers</w:t>
            </w:r>
          </w:p>
        </w:tc>
        <w:tc>
          <w:tcPr>
            <w:tcW w:w="3520" w:type="dxa"/>
            <w:tcBorders/>
            <w:vAlign w:val="center"/>
          </w:tcPr>
          <w:p>
            <w:pPr>
              <w:pStyle w:val="TableContents"/>
              <w:bidi w:val="0"/>
              <w:spacing w:before="0" w:after="283"/>
              <w:rPr/>
            </w:pPr>
            <w:r>
              <w:rPr/>
              <w:t>Google y GitHub disponibles</w:t>
            </w:r>
          </w:p>
        </w:tc>
      </w:tr>
      <w:tr>
        <w:trPr/>
        <w:tc>
          <w:tcPr>
            <w:tcW w:w="2173" w:type="dxa"/>
            <w:tcBorders/>
            <w:vAlign w:val="center"/>
          </w:tcPr>
          <w:p>
            <w:pPr>
              <w:pStyle w:val="TableContents"/>
              <w:bidi w:val="0"/>
              <w:spacing w:before="0" w:after="283"/>
              <w:rPr/>
            </w:pPr>
            <w:r>
              <w:rPr/>
              <w:t>WebSocket</w:t>
            </w:r>
          </w:p>
        </w:tc>
        <w:tc>
          <w:tcPr>
            <w:tcW w:w="3520" w:type="dxa"/>
            <w:tcBorders/>
            <w:vAlign w:val="center"/>
          </w:tcPr>
          <w:p>
            <w:pPr>
              <w:pStyle w:val="TableContents"/>
              <w:bidi w:val="0"/>
              <w:spacing w:before="0" w:after="283"/>
              <w:rPr/>
            </w:pPr>
            <w:r>
              <w:rPr/>
              <w:t>Apertura y cierre correctos por WSS</w:t>
            </w:r>
          </w:p>
        </w:tc>
      </w:tr>
      <w:tr>
        <w:trPr/>
        <w:tc>
          <w:tcPr>
            <w:tcW w:w="2173" w:type="dxa"/>
            <w:tcBorders/>
            <w:vAlign w:val="center"/>
          </w:tcPr>
          <w:p>
            <w:pPr>
              <w:pStyle w:val="TableContents"/>
              <w:bidi w:val="0"/>
              <w:spacing w:before="0" w:after="283"/>
              <w:rPr/>
            </w:pPr>
            <w:r>
              <w:rPr/>
              <w:t>Rollout EKS</w:t>
            </w:r>
          </w:p>
        </w:tc>
        <w:tc>
          <w:tcPr>
            <w:tcW w:w="3520" w:type="dxa"/>
            <w:tcBorders/>
            <w:vAlign w:val="center"/>
          </w:tcPr>
          <w:p>
            <w:pPr>
              <w:pStyle w:val="TableContents"/>
              <w:bidi w:val="0"/>
              <w:spacing w:before="0" w:after="283"/>
              <w:rPr/>
            </w:pPr>
            <w:r>
              <w:rPr/>
              <w:t>14/14 Deployments disponibles</w:t>
            </w:r>
          </w:p>
        </w:tc>
      </w:tr>
    </w:tbl>
    <w:p>
      <w:pPr>
        <w:pStyle w:val="BodyText"/>
        <w:bidi w:val="0"/>
        <w:spacing w:before="0" w:after="283"/>
        <w:jc w:val="both"/>
        <w:rPr/>
      </w:pPr>
      <w:r>
        <w:rPr/>
        <w:drawing>
          <wp:inline distT="0" distB="0" distL="0" distR="0">
            <wp:extent cx="6120130" cy="3867150"/>
            <wp:effectExtent l="0" t="0" r="0" b="0"/>
            <wp:docPr id="7" name="Image7" title="Frontend Orioneta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Frontend Orioneta en producción"/>
                    <pic:cNvPicPr>
                      <a:picLocks noChangeAspect="1" noChangeArrowheads="1"/>
                    </pic:cNvPicPr>
                  </pic:nvPicPr>
                  <pic:blipFill>
                    <a:blip r:embed="rId11"/>
                    <a:stretch>
                      <a:fillRect/>
                    </a:stretch>
                  </pic:blipFill>
                  <pic:spPr bwMode="auto">
                    <a:xfrm>
                      <a:off x="0" y="0"/>
                      <a:ext cx="6120130" cy="3867150"/>
                    </a:xfrm>
                    <a:prstGeom prst="rect">
                      <a:avLst/>
                    </a:prstGeom>
                    <a:noFill/>
                  </pic:spPr>
                </pic:pic>
              </a:graphicData>
            </a:graphic>
          </wp:inline>
        </w:drawing>
      </w:r>
      <w:r>
        <w:rPr/>
        <w:t xml:space="preserve"> </w:t>
      </w:r>
    </w:p>
    <w:p>
      <w:pPr>
        <w:pStyle w:val="BodyTextcaption"/>
        <w:bidi w:val="0"/>
        <w:jc w:val="center"/>
        <w:rPr/>
      </w:pPr>
      <w:r>
        <w:rPr/>
        <w:t>Figura 7. Pantalla de acceso servida desde producción.</w:t>
      </w:r>
      <w:r>
        <w:br w:type="page"/>
      </w:r>
    </w:p>
    <w:p>
      <w:pPr>
        <w:pStyle w:val="Heading2"/>
        <w:bidi w:val="0"/>
        <w:ind w:hanging="0" w:start="0" w:end="0"/>
        <w:jc w:val="start"/>
        <w:rPr/>
      </w:pPr>
      <w:r>
        <w:rPr/>
        <w:t>14. Conclusiones y mejoras futuras</w:t>
      </w:r>
    </w:p>
    <w:p>
      <w:pPr>
        <w:pStyle w:val="BodyText"/>
        <w:bidi w:val="0"/>
        <w:spacing w:before="0" w:after="283"/>
        <w:jc w:val="both"/>
        <w:rPr/>
      </w:pPr>
      <w:r>
        <w:rPr/>
        <w:t xml:space="preserve">El proyecto demuestra un flujo DevOps completo: el mismo commit que supera pruebas produce imágenes trazables y se despliega automáticamente. La separación frontend/EC2 y backend/EKS permite entregar TLS de forma simple sin exponer bases de datos o microservicios. </w:t>
      </w:r>
    </w:p>
    <w:p>
      <w:pPr>
        <w:pStyle w:val="BodyText"/>
        <w:bidi w:val="0"/>
        <w:spacing w:before="0" w:after="283"/>
        <w:jc w:val="both"/>
        <w:rPr/>
      </w:pPr>
      <w:r>
        <w:rPr/>
        <w:t xml:space="preserve">EKS aporta capacidades superiores al despliegue manual, aunque aumenta complejidad y costo. Para un entorno académico, el uso de una réplica y servicios stateful internos es razonable; para producción se migrarían PostgreSQL, RabbitMQ, Redis y archivos a servicios administrados. </w:t>
      </w:r>
    </w:p>
    <w:p>
      <w:pPr>
        <w:pStyle w:val="BodyText"/>
        <w:bidi w:val="0"/>
        <w:spacing w:before="0" w:after="283"/>
        <w:jc w:val="both"/>
        <w:rPr/>
      </w:pPr>
      <w:r>
        <w:rPr/>
        <w:t>Prioridades siguientes:</w:t>
      </w:r>
    </w:p>
    <w:p>
      <w:pPr>
        <w:pStyle w:val="BodyText"/>
        <w:numPr>
          <w:ilvl w:val="0"/>
          <w:numId w:val="5"/>
        </w:numPr>
        <w:tabs>
          <w:tab w:val="clear" w:pos="1134"/>
          <w:tab w:val="left" w:pos="709" w:leader="none"/>
        </w:tabs>
        <w:bidi w:val="0"/>
        <w:spacing w:before="0" w:after="0"/>
        <w:ind w:hanging="283" w:start="709"/>
        <w:rPr/>
      </w:pPr>
      <w:r>
        <w:rPr/>
        <w:t xml:space="preserve">OIDC entre GitHub y AWS, eliminando credenciales temporales almacenadas. </w:t>
      </w:r>
    </w:p>
    <w:p>
      <w:pPr>
        <w:pStyle w:val="BodyText"/>
        <w:numPr>
          <w:ilvl w:val="0"/>
          <w:numId w:val="5"/>
        </w:numPr>
        <w:tabs>
          <w:tab w:val="clear" w:pos="1134"/>
          <w:tab w:val="left" w:pos="709" w:leader="none"/>
        </w:tabs>
        <w:bidi w:val="0"/>
        <w:spacing w:before="0" w:after="0"/>
        <w:ind w:hanging="283" w:start="709"/>
        <w:rPr/>
      </w:pPr>
      <w:r>
        <w:rPr/>
        <w:t xml:space="preserve">Escaneo de imágenes y dependencias dentro del pipeline. </w:t>
      </w:r>
    </w:p>
    <w:p>
      <w:pPr>
        <w:pStyle w:val="BodyText"/>
        <w:numPr>
          <w:ilvl w:val="0"/>
          <w:numId w:val="5"/>
        </w:numPr>
        <w:tabs>
          <w:tab w:val="clear" w:pos="1134"/>
          <w:tab w:val="left" w:pos="709" w:leader="none"/>
        </w:tabs>
        <w:bidi w:val="0"/>
        <w:spacing w:before="0" w:after="0"/>
        <w:ind w:hanging="283" w:start="709"/>
        <w:rPr/>
      </w:pPr>
      <w:r>
        <w:rPr/>
        <w:t xml:space="preserve">Container Insights y logs de aplicaciones en CloudWatch. </w:t>
      </w:r>
    </w:p>
    <w:p>
      <w:pPr>
        <w:pStyle w:val="BodyText"/>
        <w:numPr>
          <w:ilvl w:val="0"/>
          <w:numId w:val="5"/>
        </w:numPr>
        <w:tabs>
          <w:tab w:val="clear" w:pos="1134"/>
          <w:tab w:val="left" w:pos="709" w:leader="none"/>
        </w:tabs>
        <w:bidi w:val="0"/>
        <w:spacing w:before="0" w:after="0"/>
        <w:ind w:hanging="283" w:start="709"/>
        <w:rPr/>
      </w:pPr>
      <w:r>
        <w:rPr/>
        <w:t xml:space="preserve">HPA, PodDisruptionBudget y pruebas de carga. </w:t>
      </w:r>
    </w:p>
    <w:p>
      <w:pPr>
        <w:pStyle w:val="BodyText"/>
        <w:numPr>
          <w:ilvl w:val="0"/>
          <w:numId w:val="5"/>
        </w:numPr>
        <w:tabs>
          <w:tab w:val="clear" w:pos="1134"/>
          <w:tab w:val="left" w:pos="709" w:leader="none"/>
        </w:tabs>
        <w:bidi w:val="0"/>
        <w:ind w:hanging="283" w:start="709"/>
        <w:rPr/>
      </w:pPr>
      <w:r>
        <w:rPr/>
        <w:t xml:space="preserve">RDS Multi-AZ, S3 y servicios administrados para datos. </w:t>
      </w:r>
    </w:p>
    <w:p>
      <w:pPr>
        <w:pStyle w:val="Heading2"/>
        <w:numPr>
          <w:ilvl w:val="0"/>
          <w:numId w:val="0"/>
        </w:numPr>
        <w:pBdr>
          <w:bottom w:val="single" w:sz="12" w:space="1" w:color="7C3AED"/>
        </w:pBdr>
        <w:bidi w:val="0"/>
        <w:spacing w:lineRule="auto" w:line="288" w:before="200" w:after="120"/>
        <w:jc w:val="start"/>
        <w:rPr/>
      </w:pPr>
      <w:r>
        <w:rPr/>
        <w:t>15. Matriz de cumplimiento de la rúbrica</w:t>
      </w:r>
    </w:p>
    <w:tbl>
      <w:tblPr>
        <w:tblW w:w="9638" w:type="dxa"/>
        <w:jc w:val="start"/>
        <w:tblInd w:w="0" w:type="dxa"/>
        <w:tblLayout w:type="fixed"/>
        <w:tblCellMar>
          <w:top w:w="28" w:type="dxa"/>
          <w:start w:w="28" w:type="dxa"/>
          <w:bottom w:w="28" w:type="dxa"/>
          <w:end w:w="28" w:type="dxa"/>
        </w:tblCellMar>
      </w:tblPr>
      <w:tblGrid>
        <w:gridCol w:w="2575"/>
        <w:gridCol w:w="4914"/>
        <w:gridCol w:w="2149"/>
      </w:tblGrid>
      <w:tr>
        <w:trPr/>
        <w:tc>
          <w:tcPr>
            <w:tcW w:w="2575" w:type="dxa"/>
            <w:tcBorders/>
            <w:vAlign w:val="center"/>
          </w:tcPr>
          <w:p>
            <w:pPr>
              <w:pStyle w:val="TableHeading"/>
              <w:suppressLineNumbers/>
              <w:bidi w:val="0"/>
              <w:spacing w:before="0" w:after="283"/>
              <w:jc w:val="center"/>
              <w:rPr/>
            </w:pPr>
            <w:r>
              <w:rPr/>
              <w:t>Indicador</w:t>
            </w:r>
          </w:p>
        </w:tc>
        <w:tc>
          <w:tcPr>
            <w:tcW w:w="4914" w:type="dxa"/>
            <w:tcBorders/>
            <w:vAlign w:val="center"/>
          </w:tcPr>
          <w:p>
            <w:pPr>
              <w:pStyle w:val="TableHeading"/>
              <w:suppressLineNumbers/>
              <w:bidi w:val="0"/>
              <w:spacing w:before="0" w:after="283"/>
              <w:jc w:val="center"/>
              <w:rPr/>
            </w:pPr>
            <w:r>
              <w:rPr/>
              <w:t>Evidencia</w:t>
            </w:r>
          </w:p>
        </w:tc>
        <w:tc>
          <w:tcPr>
            <w:tcW w:w="2149" w:type="dxa"/>
            <w:tcBorders/>
            <w:vAlign w:val="center"/>
          </w:tcPr>
          <w:p>
            <w:pPr>
              <w:pStyle w:val="TableHeading"/>
              <w:suppressLineNumbers/>
              <w:bidi w:val="0"/>
              <w:spacing w:before="0" w:after="283"/>
              <w:jc w:val="center"/>
              <w:rPr/>
            </w:pPr>
            <w:r>
              <w:rPr/>
              <w:t>Ubicación</w:t>
            </w:r>
          </w:p>
        </w:tc>
      </w:tr>
      <w:tr>
        <w:trPr/>
        <w:tc>
          <w:tcPr>
            <w:tcW w:w="2575" w:type="dxa"/>
            <w:tcBorders/>
            <w:vAlign w:val="center"/>
          </w:tcPr>
          <w:p>
            <w:pPr>
              <w:pStyle w:val="TableContents"/>
              <w:bidi w:val="0"/>
              <w:spacing w:before="0" w:after="283"/>
              <w:rPr/>
            </w:pPr>
            <w:r>
              <w:rPr/>
              <w:t>IE1 Versiones y arquitectura</w:t>
            </w:r>
          </w:p>
        </w:tc>
        <w:tc>
          <w:tcPr>
            <w:tcW w:w="4914" w:type="dxa"/>
            <w:tcBorders/>
            <w:vAlign w:val="center"/>
          </w:tcPr>
          <w:p>
            <w:pPr>
              <w:pStyle w:val="TableContents"/>
              <w:bidi w:val="0"/>
              <w:spacing w:before="0" w:after="283"/>
              <w:rPr/>
            </w:pPr>
            <w:r>
              <w:rPr/>
              <w:t>GitHub Flow, commits descriptivos, diagrama completo</w:t>
            </w:r>
          </w:p>
        </w:tc>
        <w:tc>
          <w:tcPr>
            <w:tcW w:w="2149" w:type="dxa"/>
            <w:tcBorders/>
            <w:vAlign w:val="center"/>
          </w:tcPr>
          <w:p>
            <w:pPr>
              <w:pStyle w:val="TableContents"/>
              <w:bidi w:val="0"/>
              <w:spacing w:before="0" w:after="283"/>
              <w:rPr/>
            </w:pPr>
            <w:r>
              <w:rPr/>
              <w:t>Repositorios y Figura 1</w:t>
            </w:r>
          </w:p>
        </w:tc>
      </w:tr>
      <w:tr>
        <w:trPr/>
        <w:tc>
          <w:tcPr>
            <w:tcW w:w="2575" w:type="dxa"/>
            <w:tcBorders/>
            <w:vAlign w:val="center"/>
          </w:tcPr>
          <w:p>
            <w:pPr>
              <w:pStyle w:val="TableContents"/>
              <w:bidi w:val="0"/>
              <w:spacing w:before="0" w:after="283"/>
              <w:rPr/>
            </w:pPr>
            <w:r>
              <w:rPr/>
              <w:t>IE2 Contenerización</w:t>
            </w:r>
          </w:p>
        </w:tc>
        <w:tc>
          <w:tcPr>
            <w:tcW w:w="4914" w:type="dxa"/>
            <w:tcBorders/>
            <w:vAlign w:val="center"/>
          </w:tcPr>
          <w:p>
            <w:pPr>
              <w:pStyle w:val="TableContents"/>
              <w:bidi w:val="0"/>
              <w:spacing w:before="0" w:after="283"/>
              <w:rPr/>
            </w:pPr>
            <w:r>
              <w:rPr/>
              <w:t>Dockerfile multietapa, Alpine, non-root, Compose completo</w:t>
            </w:r>
          </w:p>
        </w:tc>
        <w:tc>
          <w:tcPr>
            <w:tcW w:w="2149" w:type="dxa"/>
            <w:tcBorders/>
            <w:vAlign w:val="center"/>
          </w:tcPr>
          <w:p>
            <w:pPr>
              <w:pStyle w:val="TableContents"/>
              <w:bidi w:val="0"/>
              <w:spacing w:before="0" w:after="283"/>
              <w:rPr/>
            </w:pPr>
            <w:r>
              <w:rPr/>
              <w:t>Sección 5</w:t>
            </w:r>
          </w:p>
        </w:tc>
      </w:tr>
      <w:tr>
        <w:trPr/>
        <w:tc>
          <w:tcPr>
            <w:tcW w:w="2575" w:type="dxa"/>
            <w:tcBorders/>
            <w:vAlign w:val="center"/>
          </w:tcPr>
          <w:p>
            <w:pPr>
              <w:pStyle w:val="TableContents"/>
              <w:bidi w:val="0"/>
              <w:spacing w:before="0" w:after="283"/>
              <w:rPr/>
            </w:pPr>
            <w:r>
              <w:rPr/>
              <w:t>IE3 CI/CD</w:t>
            </w:r>
          </w:p>
        </w:tc>
        <w:tc>
          <w:tcPr>
            <w:tcW w:w="4914" w:type="dxa"/>
            <w:tcBorders/>
            <w:vAlign w:val="center"/>
          </w:tcPr>
          <w:p>
            <w:pPr>
              <w:pStyle w:val="TableContents"/>
              <w:bidi w:val="0"/>
              <w:spacing w:before="0" w:after="283"/>
              <w:rPr/>
            </w:pPr>
            <w:r>
              <w:rPr/>
              <w:t>Build, test, push y deploy automáticos</w:t>
            </w:r>
          </w:p>
        </w:tc>
        <w:tc>
          <w:tcPr>
            <w:tcW w:w="2149" w:type="dxa"/>
            <w:tcBorders/>
            <w:vAlign w:val="center"/>
          </w:tcPr>
          <w:p>
            <w:pPr>
              <w:pStyle w:val="TableContents"/>
              <w:bidi w:val="0"/>
              <w:spacing w:before="0" w:after="283"/>
              <w:rPr/>
            </w:pPr>
            <w:r>
              <w:rPr/>
              <w:t>Figuras 2, 3 y 4</w:t>
            </w:r>
          </w:p>
        </w:tc>
      </w:tr>
      <w:tr>
        <w:trPr/>
        <w:tc>
          <w:tcPr>
            <w:tcW w:w="2575" w:type="dxa"/>
            <w:tcBorders/>
            <w:vAlign w:val="center"/>
          </w:tcPr>
          <w:p>
            <w:pPr>
              <w:pStyle w:val="TableContents"/>
              <w:bidi w:val="0"/>
              <w:spacing w:before="0" w:after="283"/>
              <w:rPr/>
            </w:pPr>
            <w:r>
              <w:rPr/>
              <w:t>IE4 EKS/ECS</w:t>
            </w:r>
          </w:p>
        </w:tc>
        <w:tc>
          <w:tcPr>
            <w:tcW w:w="4914" w:type="dxa"/>
            <w:tcBorders/>
            <w:vAlign w:val="center"/>
          </w:tcPr>
          <w:p>
            <w:pPr>
              <w:pStyle w:val="TableContents"/>
              <w:bidi w:val="0"/>
              <w:spacing w:before="0" w:after="283"/>
              <w:rPr/>
            </w:pPr>
            <w:r>
              <w:rPr/>
              <w:t>EKS activo, NLB, 14 Deployments, PVC EBS</w:t>
            </w:r>
          </w:p>
        </w:tc>
        <w:tc>
          <w:tcPr>
            <w:tcW w:w="2149" w:type="dxa"/>
            <w:tcBorders/>
            <w:vAlign w:val="center"/>
          </w:tcPr>
          <w:p>
            <w:pPr>
              <w:pStyle w:val="TableContents"/>
              <w:bidi w:val="0"/>
              <w:spacing w:before="0" w:after="283"/>
              <w:rPr/>
            </w:pPr>
            <w:r>
              <w:rPr/>
              <w:t>Secciones 8 y 12</w:t>
            </w:r>
          </w:p>
        </w:tc>
      </w:tr>
      <w:tr>
        <w:trPr/>
        <w:tc>
          <w:tcPr>
            <w:tcW w:w="2575" w:type="dxa"/>
            <w:tcBorders/>
            <w:vAlign w:val="center"/>
          </w:tcPr>
          <w:p>
            <w:pPr>
              <w:pStyle w:val="TableContents"/>
              <w:bidi w:val="0"/>
              <w:spacing w:before="0" w:after="283"/>
              <w:rPr/>
            </w:pPr>
            <w:r>
              <w:rPr/>
              <w:t>IE5 Funcionalidad</w:t>
            </w:r>
          </w:p>
        </w:tc>
        <w:tc>
          <w:tcPr>
            <w:tcW w:w="4914" w:type="dxa"/>
            <w:tcBorders/>
            <w:vAlign w:val="center"/>
          </w:tcPr>
          <w:p>
            <w:pPr>
              <w:pStyle w:val="TableContents"/>
              <w:bidi w:val="0"/>
              <w:spacing w:before="0" w:after="283"/>
              <w:rPr/>
            </w:pPr>
            <w:r>
              <w:rPr/>
              <w:t>Pruebas, health, OAuth, WebSocket y pods Ready</w:t>
            </w:r>
          </w:p>
        </w:tc>
        <w:tc>
          <w:tcPr>
            <w:tcW w:w="2149" w:type="dxa"/>
            <w:tcBorders/>
            <w:vAlign w:val="center"/>
          </w:tcPr>
          <w:p>
            <w:pPr>
              <w:pStyle w:val="TableContents"/>
              <w:bidi w:val="0"/>
              <w:spacing w:before="0" w:after="283"/>
              <w:rPr/>
            </w:pPr>
            <w:r>
              <w:rPr/>
              <w:t>Sección 13</w:t>
            </w:r>
          </w:p>
        </w:tc>
      </w:tr>
      <w:tr>
        <w:trPr/>
        <w:tc>
          <w:tcPr>
            <w:tcW w:w="2575" w:type="dxa"/>
            <w:tcBorders/>
            <w:vAlign w:val="center"/>
          </w:tcPr>
          <w:p>
            <w:pPr>
              <w:pStyle w:val="TableContents"/>
              <w:bidi w:val="0"/>
              <w:spacing w:before="0" w:after="283"/>
              <w:rPr/>
            </w:pPr>
            <w:r>
              <w:rPr/>
              <w:t>IE6 Presentación</w:t>
            </w:r>
          </w:p>
        </w:tc>
        <w:tc>
          <w:tcPr>
            <w:tcW w:w="4914" w:type="dxa"/>
            <w:tcBorders/>
            <w:vAlign w:val="center"/>
          </w:tcPr>
          <w:p>
            <w:pPr>
              <w:pStyle w:val="TableContents"/>
              <w:bidi w:val="0"/>
              <w:spacing w:before="0" w:after="283"/>
              <w:rPr/>
            </w:pPr>
            <w:r>
              <w:rPr/>
              <w:t>PPTX y guion de demostración/defensa</w:t>
            </w:r>
          </w:p>
        </w:tc>
        <w:tc>
          <w:tcPr>
            <w:tcW w:w="2149" w:type="dxa"/>
            <w:tcBorders/>
            <w:vAlign w:val="center"/>
          </w:tcPr>
          <w:p>
            <w:pPr>
              <w:pStyle w:val="TableContents"/>
              <w:bidi w:val="0"/>
              <w:spacing w:before="0" w:after="283"/>
              <w:rPr/>
            </w:pPr>
            <w:r>
              <w:rPr/>
              <w:t>Carpeta docs/eft</w:t>
            </w:r>
          </w:p>
        </w:tc>
      </w:tr>
    </w:tbl>
    <w:p>
      <w:pPr>
        <w:pStyle w:val="Heading2"/>
        <w:bidi w:val="0"/>
        <w:ind w:hanging="0" w:start="0" w:end="0"/>
        <w:jc w:val="start"/>
        <w:rPr/>
      </w:pPr>
      <w:r>
        <w:br w:type="page"/>
      </w:r>
      <w:r>
        <w:rPr/>
        <w:t>16. Anexos</w:t>
      </w:r>
    </w:p>
    <w:p>
      <w:pPr>
        <w:pStyle w:val="Heading3"/>
        <w:numPr>
          <w:ilvl w:val="0"/>
          <w:numId w:val="0"/>
        </w:numPr>
        <w:bidi w:val="0"/>
        <w:spacing w:lineRule="auto" w:line="288" w:before="140" w:after="120"/>
        <w:jc w:val="start"/>
        <w:rPr/>
      </w:pPr>
      <w:r>
        <w:rPr/>
        <w:t>Anexo A. Comandos de demostración</w:t>
      </w:r>
    </w:p>
    <w:p>
      <w:pPr>
        <w:pStyle w:val="PreformattedText"/>
        <w:pBdr/>
        <w:bidi w:val="0"/>
        <w:spacing w:lineRule="auto" w:line="324" w:before="0" w:after="0"/>
        <w:jc w:val="start"/>
        <w:rPr/>
      </w:pPr>
      <w:r>
        <w:rPr/>
        <w:t>git log --oneline --decorate -10</w:t>
      </w:r>
    </w:p>
    <w:p>
      <w:pPr>
        <w:pStyle w:val="PreformattedText"/>
        <w:pBdr/>
        <w:bidi w:val="0"/>
        <w:spacing w:lineRule="auto" w:line="324" w:before="0" w:after="0"/>
        <w:jc w:val="start"/>
        <w:rPr/>
      </w:pPr>
      <w:r>
        <w:rPr/>
      </w:r>
    </w:p>
    <w:p>
      <w:pPr>
        <w:pStyle w:val="PreformattedText"/>
        <w:pBdr/>
        <w:bidi w:val="0"/>
        <w:spacing w:lineRule="auto" w:line="324" w:before="0" w:after="0"/>
        <w:jc w:val="start"/>
        <w:rPr/>
      </w:pPr>
      <w:r>
        <w:rPr/>
        <w:t>docker compose -f docker-compose.prod.yml config --services</w:t>
      </w:r>
    </w:p>
    <w:p>
      <w:pPr>
        <w:pStyle w:val="PreformattedText"/>
        <w:pBdr/>
        <w:bidi w:val="0"/>
        <w:spacing w:lineRule="auto" w:line="324" w:before="0" w:after="0"/>
        <w:jc w:val="start"/>
        <w:rPr/>
      </w:pPr>
      <w:r>
        <w:rPr/>
        <w:t>docker compose -f docker-compose.prod.yml ps</w:t>
      </w:r>
    </w:p>
    <w:p>
      <w:pPr>
        <w:pStyle w:val="PreformattedText"/>
        <w:pBdr/>
        <w:bidi w:val="0"/>
        <w:spacing w:lineRule="auto" w:line="324" w:before="0" w:after="0"/>
        <w:jc w:val="start"/>
        <w:rPr/>
      </w:pPr>
      <w:r>
        <w:rPr/>
      </w:r>
    </w:p>
    <w:p>
      <w:pPr>
        <w:pStyle w:val="PreformattedText"/>
        <w:pBdr/>
        <w:bidi w:val="0"/>
        <w:spacing w:lineRule="auto" w:line="324" w:before="0" w:after="0"/>
        <w:jc w:val="start"/>
        <w:rPr/>
      </w:pPr>
      <w:r>
        <w:rPr/>
        <w:t>mvn -B clean verify</w:t>
      </w:r>
    </w:p>
    <w:p>
      <w:pPr>
        <w:pStyle w:val="PreformattedText"/>
        <w:pBdr/>
        <w:bidi w:val="0"/>
        <w:spacing w:lineRule="auto" w:line="324" w:before="0" w:after="0"/>
        <w:jc w:val="start"/>
        <w:rPr/>
      </w:pPr>
      <w:r>
        <w:rPr/>
        <w:t>npm run lint</w:t>
      </w:r>
    </w:p>
    <w:p>
      <w:pPr>
        <w:pStyle w:val="PreformattedText"/>
        <w:pBdr/>
        <w:bidi w:val="0"/>
        <w:spacing w:lineRule="auto" w:line="324" w:before="0" w:after="0"/>
        <w:jc w:val="start"/>
        <w:rPr/>
      </w:pPr>
      <w:r>
        <w:rPr/>
        <w:t>npm run build</w:t>
      </w:r>
    </w:p>
    <w:p>
      <w:pPr>
        <w:pStyle w:val="PreformattedText"/>
        <w:pBdr/>
        <w:bidi w:val="0"/>
        <w:spacing w:lineRule="auto" w:line="324" w:before="0" w:after="0"/>
        <w:jc w:val="start"/>
        <w:rPr/>
      </w:pPr>
      <w:r>
        <w:rPr/>
      </w:r>
    </w:p>
    <w:p>
      <w:pPr>
        <w:pStyle w:val="PreformattedText"/>
        <w:pBdr/>
        <w:bidi w:val="0"/>
        <w:spacing w:lineRule="auto" w:line="324" w:before="0" w:after="0"/>
        <w:jc w:val="start"/>
        <w:rPr/>
      </w:pPr>
      <w:r>
        <w:rPr/>
        <w:t>kubectl -n orioneta get deployments</w:t>
      </w:r>
    </w:p>
    <w:p>
      <w:pPr>
        <w:pStyle w:val="PreformattedText"/>
        <w:pBdr/>
        <w:bidi w:val="0"/>
        <w:spacing w:lineRule="auto" w:line="324" w:before="0" w:after="0"/>
        <w:jc w:val="start"/>
        <w:rPr/>
      </w:pPr>
      <w:r>
        <w:rPr/>
        <w:t>kubectl -n orioneta get pods</w:t>
      </w:r>
    </w:p>
    <w:p>
      <w:pPr>
        <w:pStyle w:val="PreformattedText"/>
        <w:pBdr/>
        <w:bidi w:val="0"/>
        <w:spacing w:lineRule="auto" w:line="324" w:before="0" w:after="0"/>
        <w:jc w:val="start"/>
        <w:rPr/>
      </w:pPr>
      <w:r>
        <w:rPr/>
        <w:t>kubectl -n orioneta get services</w:t>
      </w:r>
    </w:p>
    <w:p>
      <w:pPr>
        <w:pStyle w:val="PreformattedText"/>
        <w:pBdr/>
        <w:bidi w:val="0"/>
        <w:spacing w:lineRule="auto" w:line="324" w:before="0" w:after="0"/>
        <w:jc w:val="start"/>
        <w:rPr/>
      </w:pPr>
      <w:r>
        <w:rPr/>
      </w:r>
    </w:p>
    <w:p>
      <w:pPr>
        <w:pStyle w:val="PreformattedText"/>
        <w:pBdr/>
        <w:bidi w:val="0"/>
        <w:spacing w:lineRule="auto" w:line="324" w:before="0" w:after="0"/>
        <w:jc w:val="start"/>
        <w:rPr/>
      </w:pPr>
      <w:r>
        <w:rPr/>
        <w:t>curl https://orioneta.accesscam.org/</w:t>
      </w:r>
    </w:p>
    <w:p>
      <w:pPr>
        <w:pStyle w:val="PreformattedText"/>
        <w:bidi w:val="0"/>
        <w:spacing w:before="0" w:after="283"/>
        <w:jc w:val="start"/>
        <w:rPr/>
      </w:pPr>
      <w:r>
        <w:rPr/>
        <w:t>curl https://orioneta.accesscam.org/actuator/health/readiness</w:t>
      </w:r>
    </w:p>
    <w:p>
      <w:pPr>
        <w:pStyle w:val="Heading3"/>
        <w:numPr>
          <w:ilvl w:val="0"/>
          <w:numId w:val="0"/>
        </w:numPr>
        <w:bidi w:val="0"/>
        <w:spacing w:lineRule="auto" w:line="288" w:before="140" w:after="120"/>
        <w:jc w:val="start"/>
        <w:rPr/>
      </w:pPr>
      <w:r>
        <w:rPr/>
        <w:t>Anexo B. Ejecuciones CI/CD</w:t>
      </w:r>
    </w:p>
    <w:p>
      <w:pPr>
        <w:pStyle w:val="BodyText"/>
        <w:numPr>
          <w:ilvl w:val="0"/>
          <w:numId w:val="6"/>
        </w:numPr>
        <w:tabs>
          <w:tab w:val="clear" w:pos="1134"/>
          <w:tab w:val="left" w:pos="709" w:leader="none"/>
        </w:tabs>
        <w:bidi w:val="0"/>
        <w:spacing w:before="0" w:after="0"/>
        <w:ind w:hanging="283" w:start="709"/>
        <w:rPr/>
      </w:pPr>
      <w:hyperlink r:id="rId12">
        <w:r>
          <w:rPr>
            <w:rStyle w:val="Hyperlink"/>
          </w:rPr>
          <w:t>Pipeline backend exitoso</w:t>
        </w:r>
      </w:hyperlink>
      <w:r>
        <w:rPr/>
        <w:t xml:space="preserve"> </w:t>
      </w:r>
    </w:p>
    <w:p>
      <w:pPr>
        <w:pStyle w:val="BodyText"/>
        <w:numPr>
          <w:ilvl w:val="0"/>
          <w:numId w:val="6"/>
        </w:numPr>
        <w:tabs>
          <w:tab w:val="clear" w:pos="1134"/>
          <w:tab w:val="left" w:pos="709" w:leader="none"/>
        </w:tabs>
        <w:bidi w:val="0"/>
        <w:ind w:hanging="283" w:start="709"/>
        <w:rPr/>
      </w:pPr>
      <w:hyperlink r:id="rId13">
        <w:r>
          <w:rPr>
            <w:rStyle w:val="Hyperlink"/>
          </w:rPr>
          <w:t>Pipeline frontend exitoso</w:t>
        </w:r>
      </w:hyperlink>
      <w:r>
        <w:rPr/>
        <w:t xml:space="preserve"> </w:t>
      </w:r>
    </w:p>
    <w:p>
      <w:pPr>
        <w:pStyle w:val="Heading3"/>
        <w:numPr>
          <w:ilvl w:val="0"/>
          <w:numId w:val="0"/>
        </w:numPr>
        <w:bidi w:val="0"/>
        <w:spacing w:lineRule="auto" w:line="288" w:before="140" w:after="120"/>
        <w:jc w:val="start"/>
        <w:rPr/>
      </w:pPr>
      <w:r>
        <w:rPr/>
        <w:t>Anexo C. Referencias del repositorio</w:t>
      </w:r>
    </w:p>
    <w:p>
      <w:pPr>
        <w:pStyle w:val="BodyText"/>
        <w:numPr>
          <w:ilvl w:val="0"/>
          <w:numId w:val="7"/>
        </w:numPr>
        <w:tabs>
          <w:tab w:val="clear" w:pos="1134"/>
          <w:tab w:val="left" w:pos="709" w:leader="none"/>
        </w:tabs>
        <w:bidi w:val="0"/>
        <w:spacing w:before="0" w:after="0"/>
        <w:ind w:hanging="283" w:start="709"/>
        <w:rPr/>
      </w:pPr>
      <w:r>
        <w:rPr>
          <w:rStyle w:val="SourceText"/>
        </w:rPr>
        <w:t>.github/workflows/dockerhub-images.yml</w:t>
      </w:r>
      <w:r>
        <w:rPr/>
        <w:t xml:space="preserve"> </w:t>
      </w:r>
    </w:p>
    <w:p>
      <w:pPr>
        <w:pStyle w:val="BodyText"/>
        <w:numPr>
          <w:ilvl w:val="0"/>
          <w:numId w:val="7"/>
        </w:numPr>
        <w:tabs>
          <w:tab w:val="clear" w:pos="1134"/>
          <w:tab w:val="left" w:pos="709" w:leader="none"/>
        </w:tabs>
        <w:bidi w:val="0"/>
        <w:spacing w:before="0" w:after="0"/>
        <w:ind w:hanging="283" w:start="709"/>
        <w:rPr/>
      </w:pPr>
      <w:r>
        <w:rPr>
          <w:rStyle w:val="SourceText"/>
        </w:rPr>
        <w:t>.github/workflows/manual-deploy-eks.yml</w:t>
      </w:r>
      <w:r>
        <w:rPr/>
        <w:t xml:space="preserve"> </w:t>
      </w:r>
    </w:p>
    <w:p>
      <w:pPr>
        <w:pStyle w:val="BodyText"/>
        <w:numPr>
          <w:ilvl w:val="0"/>
          <w:numId w:val="7"/>
        </w:numPr>
        <w:tabs>
          <w:tab w:val="clear" w:pos="1134"/>
          <w:tab w:val="left" w:pos="709" w:leader="none"/>
        </w:tabs>
        <w:bidi w:val="0"/>
        <w:spacing w:before="0" w:after="0"/>
        <w:ind w:hanging="283" w:start="709"/>
        <w:rPr/>
      </w:pPr>
      <w:r>
        <w:rPr>
          <w:rStyle w:val="SourceText"/>
        </w:rPr>
        <w:t>docker-compose.yml</w:t>
      </w:r>
      <w:r>
        <w:rPr/>
        <w:t xml:space="preserve"> y </w:t>
      </w:r>
      <w:r>
        <w:rPr>
          <w:rStyle w:val="SourceText"/>
        </w:rPr>
        <w:t>docker-compose.prod.yml</w:t>
      </w:r>
      <w:r>
        <w:rPr/>
        <w:t xml:space="preserve"> </w:t>
      </w:r>
    </w:p>
    <w:p>
      <w:pPr>
        <w:pStyle w:val="BodyText"/>
        <w:numPr>
          <w:ilvl w:val="0"/>
          <w:numId w:val="7"/>
        </w:numPr>
        <w:tabs>
          <w:tab w:val="clear" w:pos="1134"/>
          <w:tab w:val="left" w:pos="709" w:leader="none"/>
        </w:tabs>
        <w:bidi w:val="0"/>
        <w:spacing w:before="0" w:after="0"/>
        <w:ind w:hanging="283" w:start="709"/>
        <w:rPr/>
      </w:pPr>
      <w:r>
        <w:rPr>
          <w:rStyle w:val="SourceText"/>
        </w:rPr>
        <w:t>k8s/</w:t>
      </w:r>
      <w:r>
        <w:rPr/>
        <w:t xml:space="preserve"> y </w:t>
      </w:r>
      <w:r>
        <w:rPr>
          <w:rStyle w:val="SourceText"/>
        </w:rPr>
        <w:t>deploy/k8s-lab/</w:t>
      </w:r>
      <w:r>
        <w:rPr/>
        <w:t xml:space="preserve"> </w:t>
      </w:r>
    </w:p>
    <w:p>
      <w:pPr>
        <w:pStyle w:val="BodyText"/>
        <w:numPr>
          <w:ilvl w:val="0"/>
          <w:numId w:val="7"/>
        </w:numPr>
        <w:tabs>
          <w:tab w:val="clear" w:pos="1134"/>
          <w:tab w:val="left" w:pos="709" w:leader="none"/>
        </w:tabs>
        <w:bidi w:val="0"/>
        <w:ind w:hanging="283" w:start="709"/>
        <w:rPr/>
      </w:pPr>
      <w:r>
        <w:rPr>
          <w:rStyle w:val="SourceText"/>
        </w:rPr>
        <w:t>docs/seguridad.md</w:t>
      </w:r>
      <w:r>
        <w:rPr/>
        <w:t xml:space="preserve">, </w:t>
      </w:r>
      <w:r>
        <w:rPr>
          <w:rStyle w:val="SourceText"/>
        </w:rPr>
        <w:t>docs/observabilidad.md</w:t>
      </w:r>
      <w:r>
        <w:rPr/>
        <w:t xml:space="preserve"> y </w:t>
      </w:r>
      <w:r>
        <w:rPr>
          <w:rStyle w:val="SourceText"/>
        </w:rPr>
        <w:t>docs/pruebas.md</w:t>
      </w:r>
      <w:r>
        <w:rPr/>
        <w:t xml:space="preserve"> </w:t>
      </w:r>
    </w:p>
    <w:p>
      <w:pPr>
        <w:pStyle w:val="BodyTextsmall"/>
        <w:bidi w:val="0"/>
        <w:spacing w:before="0" w:after="283"/>
        <w:rPr/>
      </w:pPr>
      <w:r>
        <w:rPr/>
        <w:t xml:space="preserve">Documento generado a partir del estado real de los repositorios y del entorno AWS validado el 21 de junio de 2026. No contiene contraseñas, tokens ni llaves privadas. </w:t>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Liberation Sans;Arial;sans-serif" w:hAnsi="Liberation Sans;Arial;sans-serif" w:eastAsia="Liberation Sans;Arial;sans-serif" w:cs="Liberation Sans;Arial;sans-serif"/>
      <w:color w:val="172033"/>
      <w:sz w:val="21"/>
      <w:szCs w:val="21"/>
      <w:lang w:val="en-US" w:eastAsia="zh-CN" w:bidi="hi-IN"/>
    </w:rPr>
  </w:style>
  <w:style w:type="paragraph" w:styleId="Heading1">
    <w:name w:val="heading 1"/>
    <w:basedOn w:val="Heading"/>
    <w:next w:val="BodyText"/>
    <w:qFormat/>
    <w:pPr>
      <w:spacing w:lineRule="auto" w:line="288"/>
    </w:pPr>
    <w:rPr>
      <w:b/>
      <w:bCs/>
      <w:color w:val="32226F"/>
      <w:sz w:val="48"/>
      <w:szCs w:val="48"/>
    </w:rPr>
  </w:style>
  <w:style w:type="paragraph" w:styleId="Heading2">
    <w:name w:val="heading 2"/>
    <w:basedOn w:val="Heading"/>
    <w:next w:val="BodyText"/>
    <w:qFormat/>
    <w:pPr>
      <w:numPr>
        <w:ilvl w:val="0"/>
        <w:numId w:val="0"/>
      </w:numPr>
      <w:pBdr>
        <w:bottom w:val="single" w:sz="12" w:space="1" w:color="7C3AED"/>
      </w:pBdr>
      <w:spacing w:lineRule="auto" w:line="288" w:before="200" w:after="120"/>
      <w:outlineLvl w:val="1"/>
    </w:pPr>
    <w:rPr>
      <w:rFonts w:ascii="Liberation Serif" w:hAnsi="Liberation Serif" w:eastAsia="Noto Serif CJK SC" w:cs="Liberation Sans"/>
      <w:b/>
      <w:bCs/>
      <w:color w:val="32226F"/>
      <w:sz w:val="34"/>
      <w:szCs w:val="34"/>
    </w:rPr>
  </w:style>
  <w:style w:type="paragraph" w:styleId="Heading3">
    <w:name w:val="heading 3"/>
    <w:basedOn w:val="Heading"/>
    <w:next w:val="BodyText"/>
    <w:qFormat/>
    <w:pPr>
      <w:numPr>
        <w:ilvl w:val="0"/>
        <w:numId w:val="0"/>
      </w:numPr>
      <w:spacing w:lineRule="auto" w:line="288" w:before="140" w:after="120"/>
      <w:outlineLvl w:val="2"/>
    </w:pPr>
    <w:rPr>
      <w:rFonts w:ascii="Liberation Serif" w:hAnsi="Liberation Serif" w:eastAsia="Noto Serif CJK SC" w:cs="Liberation Sans"/>
      <w:b/>
      <w:bCs/>
      <w:color w:val="32226F"/>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5B21B6"/>
      <w:u w:val="single"/>
    </w:rPr>
  </w:style>
  <w:style w:type="character" w:styleId="SourceText">
    <w:name w:val="Source Text"/>
    <w:qFormat/>
    <w:rPr>
      <w:rFonts w:ascii="Liberation Mono;monospace" w:hAnsi="Liberation Mono;monospace" w:eastAsia="Liberation Mono;monospace" w:cs="Liberation Mono;monospace"/>
      <w:sz w:val="18"/>
      <w:szCs w:val="18"/>
      <w:shd w:fill="F1F5F9" w:val="clear"/>
    </w:rPr>
  </w:style>
  <w:style w:type="character" w:styleId="Strong">
    <w:name w:val="Strong"/>
    <w:qFormat/>
    <w:rPr>
      <w:b/>
      <w:bCs/>
    </w:rPr>
  </w:style>
  <w:style w:type="character" w:styleId="NumberingSymbols">
    <w:name w:val="Numbering Symbols"/>
    <w:qFormat/>
    <w:rPr/>
  </w:style>
  <w:style w:type="character" w:styleId="FollowedHyperlink">
    <w:name w:val="FollowedHyperlink"/>
    <w:rPr>
      <w:color w:val="5B21B6"/>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PreformattedText">
    <w:name w:val="Preformatted Text"/>
    <w:basedOn w:val="Normal"/>
    <w:qFormat/>
    <w:pPr>
      <w:pBdr/>
      <w:spacing w:lineRule="auto" w:line="324" w:before="0" w:after="0"/>
    </w:pPr>
    <w:rPr>
      <w:rFonts w:ascii="Liberation Mono;monospace" w:hAnsi="Liberation Mono;monospace" w:eastAsia="Liberation Mono;monospace" w:cs="Liberation Mono;monospace"/>
      <w:color w:val="F8FAFC"/>
      <w:sz w:val="17"/>
      <w:szCs w:val="17"/>
    </w:rPr>
  </w:style>
  <w:style w:type="paragraph" w:styleId="TableHeading">
    <w:name w:val="Table Heading"/>
    <w:basedOn w:val="TableContents"/>
    <w:qFormat/>
    <w:pPr>
      <w:suppressLineNumbers/>
      <w:jc w:val="center"/>
    </w:pPr>
    <w:rPr>
      <w:b/>
      <w:bCs/>
      <w:color w:val="2E1065"/>
    </w:rPr>
  </w:style>
  <w:style w:type="paragraph" w:styleId="BodyTextcaption">
    <w:name w:val="Body Text.caption"/>
    <w:basedOn w:val="BodyText"/>
    <w:qFormat/>
    <w:pPr>
      <w:jc w:val="center"/>
    </w:pPr>
    <w:rPr>
      <w:color w:val="5B6475"/>
      <w:sz w:val="17"/>
      <w:szCs w:val="17"/>
    </w:rPr>
  </w:style>
  <w:style w:type="paragraph" w:styleId="BodyTextsmall">
    <w:name w:val="Body Text.small"/>
    <w:basedOn w:val="BodyText"/>
    <w:qFormat/>
    <w:pPr/>
    <w:rPr>
      <w:color w:val="5B6475"/>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ioneta.accesscam.org/" TargetMode="External"/><Relationship Id="rId3" Type="http://schemas.openxmlformats.org/officeDocument/2006/relationships/hyperlink" Target="https://github.com/OrionTheProgrammer/Orioneta-Backend" TargetMode="External"/><Relationship Id="rId4" Type="http://schemas.openxmlformats.org/officeDocument/2006/relationships/hyperlink" Target="https://github.com/Panditax727/Orioneta-Frontend"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s://github.com/OrionTheProgrammer/Orioneta-Backend/actions/runs/27922817629" TargetMode="External"/><Relationship Id="rId13" Type="http://schemas.openxmlformats.org/officeDocument/2006/relationships/hyperlink" Target="https://github.com/Panditax727/Orioneta-Frontend/actions/runs/27922798798"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LibreOffice_project/f4d82cf4d44730936b3f1a72d05a6253f577d3e9</Application>
  <AppVersion>15.0000</AppVersion>
  <Pages>11</Pages>
  <Words>1989</Words>
  <Characters>12141</Characters>
  <CharactersWithSpaces>13903</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Informe EFT DevOps - Orioneta</dc:title>
</cp:coreProperties>
</file>

<file path=docProps/custom.xml><?xml version="1.0" encoding="utf-8"?>
<Properties xmlns="http://schemas.openxmlformats.org/officeDocument/2006/custom-properties" xmlns:vt="http://schemas.openxmlformats.org/officeDocument/2006/docPropsVTypes"/>
</file>