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B50" w:rsidRPr="006A15EF" w:rsidRDefault="00043B50" w:rsidP="00106090">
      <w:pPr>
        <w:pStyle w:val="Title"/>
        <w:pBdr>
          <w:bottom w:val="single" w:sz="8" w:space="9" w:color="4F81BD"/>
        </w:pBdr>
        <w:rPr>
          <w:color w:val="1F497D" w:themeColor="text2"/>
        </w:rPr>
      </w:pPr>
      <w:r w:rsidRPr="006A15EF">
        <w:rPr>
          <w:color w:val="1F497D" w:themeColor="text2"/>
        </w:rPr>
        <w:t xml:space="preserve">Farina </w:t>
      </w:r>
      <w:r w:rsidR="00BC7A99" w:rsidRPr="006A15EF">
        <w:rPr>
          <w:color w:val="1F497D" w:themeColor="text2"/>
        </w:rPr>
        <w:t>Zafar</w:t>
      </w:r>
    </w:p>
    <w:p w:rsidR="00043B50" w:rsidRPr="006A15EF" w:rsidRDefault="00043B50" w:rsidP="00106090">
      <w:pPr>
        <w:pStyle w:val="Title"/>
        <w:pBdr>
          <w:bottom w:val="single" w:sz="8" w:space="9" w:color="4F81BD"/>
        </w:pBdr>
        <w:rPr>
          <w:rStyle w:val="SubtleEmphasis"/>
          <w:color w:val="auto"/>
          <w:sz w:val="24"/>
        </w:rPr>
      </w:pPr>
      <w:r w:rsidRPr="006A15EF">
        <w:rPr>
          <w:rStyle w:val="SubtleEmphasis"/>
          <w:b/>
          <w:color w:val="auto"/>
          <w:sz w:val="24"/>
          <w:u w:val="single"/>
        </w:rPr>
        <w:t>Address:</w:t>
      </w:r>
      <w:r w:rsidRPr="006A15EF">
        <w:rPr>
          <w:rStyle w:val="SubtleEmphasis"/>
          <w:color w:val="auto"/>
          <w:sz w:val="24"/>
        </w:rPr>
        <w:t xml:space="preserve"> </w:t>
      </w:r>
      <w:r w:rsidR="0034341F">
        <w:rPr>
          <w:rStyle w:val="SubtleEmphasis"/>
          <w:color w:val="auto"/>
          <w:sz w:val="24"/>
        </w:rPr>
        <w:t xml:space="preserve"> </w:t>
      </w:r>
      <w:r w:rsidRPr="006A15EF">
        <w:rPr>
          <w:rStyle w:val="SubtleEmphasis"/>
          <w:color w:val="auto"/>
          <w:sz w:val="24"/>
        </w:rPr>
        <w:t>House # B-261 Block 10 Gulshan-e-Iqbal, Karachi</w:t>
      </w:r>
      <w:r w:rsidR="0034341F">
        <w:rPr>
          <w:rStyle w:val="SubtleEmphasis"/>
          <w:color w:val="auto"/>
          <w:sz w:val="24"/>
        </w:rPr>
        <w:t>,</w:t>
      </w:r>
      <w:r w:rsidRPr="006A15EF">
        <w:rPr>
          <w:rStyle w:val="SubtleEmphasis"/>
          <w:color w:val="auto"/>
          <w:sz w:val="24"/>
        </w:rPr>
        <w:t xml:space="preserve"> Pakistan </w:t>
      </w:r>
    </w:p>
    <w:p w:rsidR="00043B50" w:rsidRPr="006A15EF" w:rsidRDefault="006A15EF" w:rsidP="00106090">
      <w:pPr>
        <w:pStyle w:val="Title"/>
        <w:pBdr>
          <w:bottom w:val="single" w:sz="8" w:space="9" w:color="4F81BD"/>
        </w:pBdr>
        <w:rPr>
          <w:rStyle w:val="SubtleEmphasis"/>
          <w:color w:val="auto"/>
          <w:sz w:val="24"/>
        </w:rPr>
      </w:pPr>
      <w:r w:rsidRPr="006A15EF">
        <w:rPr>
          <w:rStyle w:val="SubtleEmphasis"/>
          <w:b/>
          <w:color w:val="auto"/>
          <w:sz w:val="24"/>
          <w:u w:val="single"/>
        </w:rPr>
        <w:t>Email:</w:t>
      </w:r>
      <w:r w:rsidR="0034341F">
        <w:rPr>
          <w:rStyle w:val="SubtleEmphasis"/>
          <w:b/>
          <w:color w:val="auto"/>
          <w:sz w:val="24"/>
        </w:rPr>
        <w:t xml:space="preserve">  </w:t>
      </w:r>
      <w:hyperlink r:id="rId8" w:history="1">
        <w:r w:rsidR="00043B50" w:rsidRPr="0034341F">
          <w:rPr>
            <w:rStyle w:val="SubtleEmphasis"/>
            <w:color w:val="1F497D" w:themeColor="text2"/>
            <w:sz w:val="24"/>
            <w:u w:val="single"/>
          </w:rPr>
          <w:t>farinazaffar@hotmail.com</w:t>
        </w:r>
      </w:hyperlink>
    </w:p>
    <w:p w:rsidR="00043B50" w:rsidRPr="006A15EF" w:rsidRDefault="006A15EF" w:rsidP="00106090">
      <w:pPr>
        <w:pStyle w:val="Title"/>
        <w:pBdr>
          <w:bottom w:val="single" w:sz="8" w:space="9" w:color="4F81BD"/>
        </w:pBdr>
        <w:rPr>
          <w:rStyle w:val="SubtleEmphasis"/>
          <w:color w:val="auto"/>
          <w:sz w:val="24"/>
        </w:rPr>
      </w:pPr>
      <w:r w:rsidRPr="006A15EF">
        <w:rPr>
          <w:rStyle w:val="SubtleEmphasis"/>
          <w:b/>
          <w:color w:val="auto"/>
          <w:sz w:val="24"/>
          <w:u w:val="single"/>
        </w:rPr>
        <w:t>Mobile</w:t>
      </w:r>
      <w:r w:rsidRPr="006A15EF">
        <w:rPr>
          <w:rStyle w:val="SubtleEmphasis"/>
          <w:color w:val="auto"/>
          <w:sz w:val="24"/>
        </w:rPr>
        <w:t>:</w:t>
      </w:r>
      <w:r w:rsidR="0034341F">
        <w:rPr>
          <w:rStyle w:val="SubtleEmphasis"/>
          <w:color w:val="auto"/>
          <w:sz w:val="24"/>
        </w:rPr>
        <w:t xml:space="preserve"> </w:t>
      </w:r>
      <w:r w:rsidR="00043B50" w:rsidRPr="006A15EF">
        <w:rPr>
          <w:rStyle w:val="SubtleEmphasis"/>
          <w:color w:val="auto"/>
          <w:sz w:val="24"/>
        </w:rPr>
        <w:t>(+92) 3028297228</w:t>
      </w:r>
    </w:p>
    <w:p w:rsidR="00506004" w:rsidRPr="0034341F" w:rsidRDefault="00043B50" w:rsidP="0034341F">
      <w:pPr>
        <w:pStyle w:val="Heading1"/>
        <w:spacing w:before="0" w:line="240" w:lineRule="auto"/>
        <w:rPr>
          <w:i/>
          <w:sz w:val="24"/>
          <w:u w:val="single"/>
        </w:rPr>
      </w:pPr>
      <w:r w:rsidRPr="0034341F">
        <w:rPr>
          <w:i/>
          <w:sz w:val="24"/>
          <w:u w:val="single"/>
        </w:rPr>
        <w:t>O</w:t>
      </w:r>
      <w:r w:rsidR="00BC7A99" w:rsidRPr="0034341F">
        <w:rPr>
          <w:i/>
          <w:sz w:val="24"/>
          <w:u w:val="single"/>
        </w:rPr>
        <w:t>bjective:</w:t>
      </w:r>
    </w:p>
    <w:p w:rsidR="00506004" w:rsidRDefault="00BC7A99" w:rsidP="0034341F">
      <w:pPr>
        <w:pStyle w:val="NoSpacing"/>
        <w:jc w:val="both"/>
        <w:rPr>
          <w:sz w:val="20"/>
        </w:rPr>
      </w:pPr>
      <w:r w:rsidRPr="006A15EF">
        <w:rPr>
          <w:sz w:val="20"/>
        </w:rPr>
        <w:t xml:space="preserve">To pursue my </w:t>
      </w:r>
      <w:r w:rsidR="00E51ECB" w:rsidRPr="006A15EF">
        <w:rPr>
          <w:sz w:val="20"/>
        </w:rPr>
        <w:t>career in</w:t>
      </w:r>
      <w:r w:rsidRPr="006A15EF">
        <w:rPr>
          <w:sz w:val="20"/>
        </w:rPr>
        <w:t xml:space="preserve"> an organization where ample of opportunities exist for personal development and which furnishes an environment that is conductive for the maximum utilization of my potentials in order to learn and apply. Work in such a reputable organization where I can put my efforts in such a manner that I can serve my profession with sincerity. I am eager to gain knowledge.</w:t>
      </w:r>
    </w:p>
    <w:p w:rsidR="0034341F" w:rsidRPr="006A15EF" w:rsidRDefault="0034341F" w:rsidP="00106090">
      <w:pPr>
        <w:pStyle w:val="NoSpacing"/>
        <w:jc w:val="both"/>
        <w:rPr>
          <w:sz w:val="20"/>
        </w:rPr>
      </w:pPr>
    </w:p>
    <w:p w:rsidR="00506004" w:rsidRPr="0034341F" w:rsidRDefault="00BC7A99" w:rsidP="0034341F">
      <w:pPr>
        <w:pStyle w:val="Heading1"/>
        <w:spacing w:before="0"/>
        <w:rPr>
          <w:i/>
          <w:sz w:val="24"/>
          <w:u w:val="single"/>
        </w:rPr>
      </w:pPr>
      <w:r w:rsidRPr="0034341F">
        <w:rPr>
          <w:i/>
          <w:sz w:val="24"/>
          <w:u w:val="single"/>
        </w:rPr>
        <w:t xml:space="preserve">Educational </w:t>
      </w:r>
      <w:r w:rsidR="00106090" w:rsidRPr="0034341F">
        <w:rPr>
          <w:i/>
          <w:sz w:val="24"/>
          <w:u w:val="single"/>
        </w:rPr>
        <w:t>Background</w:t>
      </w:r>
      <w:r w:rsidRPr="0034341F">
        <w:rPr>
          <w:i/>
          <w:sz w:val="24"/>
          <w:u w:val="single"/>
        </w:rPr>
        <w:t>:</w:t>
      </w:r>
    </w:p>
    <w:tbl>
      <w:tblPr>
        <w:tblStyle w:val="TableGrid"/>
        <w:tblW w:w="0" w:type="auto"/>
        <w:tblLook w:val="04A0" w:firstRow="1" w:lastRow="0" w:firstColumn="1" w:lastColumn="0" w:noHBand="0" w:noVBand="1"/>
      </w:tblPr>
      <w:tblGrid>
        <w:gridCol w:w="2394"/>
        <w:gridCol w:w="3924"/>
        <w:gridCol w:w="2880"/>
      </w:tblGrid>
      <w:tr w:rsidR="00043B50" w:rsidTr="00043B50">
        <w:tc>
          <w:tcPr>
            <w:tcW w:w="2394" w:type="dxa"/>
          </w:tcPr>
          <w:p w:rsidR="00043B50" w:rsidRPr="00D55357" w:rsidRDefault="00043B50" w:rsidP="006A15EF">
            <w:pPr>
              <w:pStyle w:val="Heading2"/>
              <w:jc w:val="both"/>
              <w:outlineLvl w:val="1"/>
              <w:rPr>
                <w:i/>
                <w:color w:val="1F497D" w:themeColor="text2"/>
                <w:sz w:val="28"/>
                <w:u w:val="single"/>
              </w:rPr>
            </w:pPr>
            <w:r w:rsidRPr="00D55357">
              <w:rPr>
                <w:i/>
                <w:color w:val="1F497D" w:themeColor="text2"/>
                <w:sz w:val="28"/>
                <w:u w:val="single"/>
              </w:rPr>
              <w:t>Education</w:t>
            </w:r>
          </w:p>
        </w:tc>
        <w:tc>
          <w:tcPr>
            <w:tcW w:w="3924" w:type="dxa"/>
          </w:tcPr>
          <w:p w:rsidR="00043B50" w:rsidRPr="00D55357" w:rsidRDefault="00043B50" w:rsidP="006A15EF">
            <w:pPr>
              <w:pStyle w:val="Heading2"/>
              <w:jc w:val="both"/>
              <w:outlineLvl w:val="1"/>
              <w:rPr>
                <w:i/>
                <w:color w:val="1F497D" w:themeColor="text2"/>
                <w:sz w:val="28"/>
                <w:u w:val="single"/>
              </w:rPr>
            </w:pPr>
            <w:r w:rsidRPr="00D55357">
              <w:rPr>
                <w:i/>
                <w:color w:val="1F497D" w:themeColor="text2"/>
                <w:sz w:val="28"/>
                <w:u w:val="single"/>
              </w:rPr>
              <w:t>Institute</w:t>
            </w:r>
          </w:p>
        </w:tc>
        <w:tc>
          <w:tcPr>
            <w:tcW w:w="2880" w:type="dxa"/>
          </w:tcPr>
          <w:p w:rsidR="00043B50" w:rsidRPr="00D55357" w:rsidRDefault="00043B50" w:rsidP="006A15EF">
            <w:pPr>
              <w:pStyle w:val="Heading2"/>
              <w:jc w:val="both"/>
              <w:outlineLvl w:val="1"/>
              <w:rPr>
                <w:i/>
                <w:color w:val="1F497D" w:themeColor="text2"/>
                <w:sz w:val="28"/>
                <w:u w:val="single"/>
              </w:rPr>
            </w:pPr>
            <w:r w:rsidRPr="00D55357">
              <w:rPr>
                <w:i/>
                <w:color w:val="1F497D" w:themeColor="text2"/>
                <w:sz w:val="28"/>
                <w:u w:val="single"/>
              </w:rPr>
              <w:t>Passing Year</w:t>
            </w:r>
          </w:p>
        </w:tc>
      </w:tr>
      <w:tr w:rsidR="00043B50" w:rsidTr="00043B50">
        <w:tc>
          <w:tcPr>
            <w:tcW w:w="2394" w:type="dxa"/>
          </w:tcPr>
          <w:p w:rsidR="00043B50" w:rsidRPr="00D55357" w:rsidRDefault="00043B50" w:rsidP="006A15EF">
            <w:pPr>
              <w:pStyle w:val="Heading2"/>
              <w:jc w:val="both"/>
              <w:outlineLvl w:val="1"/>
              <w:rPr>
                <w:b w:val="0"/>
                <w:color w:val="auto"/>
                <w:sz w:val="20"/>
              </w:rPr>
            </w:pPr>
            <w:r w:rsidRPr="00D55357">
              <w:rPr>
                <w:rStyle w:val="Heading2Char"/>
                <w:b/>
                <w:color w:val="auto"/>
                <w:sz w:val="20"/>
              </w:rPr>
              <w:t>Pharm-D</w:t>
            </w:r>
          </w:p>
        </w:tc>
        <w:tc>
          <w:tcPr>
            <w:tcW w:w="3924" w:type="dxa"/>
          </w:tcPr>
          <w:p w:rsidR="00043B50" w:rsidRPr="00D55357" w:rsidRDefault="00043B50" w:rsidP="006A15EF">
            <w:pPr>
              <w:pStyle w:val="Heading2"/>
              <w:jc w:val="both"/>
              <w:outlineLvl w:val="1"/>
              <w:rPr>
                <w:b w:val="0"/>
                <w:color w:val="auto"/>
                <w:sz w:val="20"/>
              </w:rPr>
            </w:pPr>
            <w:r w:rsidRPr="00D55357">
              <w:rPr>
                <w:rStyle w:val="Heading2Char"/>
                <w:b/>
                <w:color w:val="auto"/>
                <w:sz w:val="20"/>
              </w:rPr>
              <w:t>University of Karachi</w:t>
            </w:r>
          </w:p>
        </w:tc>
        <w:tc>
          <w:tcPr>
            <w:tcW w:w="2880" w:type="dxa"/>
          </w:tcPr>
          <w:p w:rsidR="00043B50" w:rsidRPr="00D55357" w:rsidRDefault="00043B50" w:rsidP="006A15EF">
            <w:pPr>
              <w:jc w:val="both"/>
              <w:rPr>
                <w:sz w:val="20"/>
              </w:rPr>
            </w:pPr>
            <w:r w:rsidRPr="00D55357">
              <w:rPr>
                <w:rStyle w:val="Heading2Char"/>
                <w:color w:val="auto"/>
                <w:sz w:val="20"/>
              </w:rPr>
              <w:t>2011 -2015</w:t>
            </w:r>
          </w:p>
          <w:p w:rsidR="00043B50" w:rsidRPr="00D55357" w:rsidRDefault="00043B50" w:rsidP="006A15EF">
            <w:pPr>
              <w:pStyle w:val="Heading2"/>
              <w:jc w:val="both"/>
              <w:outlineLvl w:val="1"/>
              <w:rPr>
                <w:color w:val="auto"/>
                <w:sz w:val="20"/>
              </w:rPr>
            </w:pPr>
          </w:p>
        </w:tc>
      </w:tr>
      <w:tr w:rsidR="00043B50" w:rsidTr="00043B50">
        <w:tc>
          <w:tcPr>
            <w:tcW w:w="2394" w:type="dxa"/>
          </w:tcPr>
          <w:p w:rsidR="00043B50" w:rsidRPr="00D55357" w:rsidRDefault="00043B50" w:rsidP="006A15EF">
            <w:pPr>
              <w:pStyle w:val="Heading2"/>
              <w:jc w:val="both"/>
              <w:outlineLvl w:val="1"/>
              <w:rPr>
                <w:color w:val="auto"/>
                <w:sz w:val="20"/>
              </w:rPr>
            </w:pPr>
            <w:r w:rsidRPr="00D55357">
              <w:rPr>
                <w:color w:val="auto"/>
                <w:sz w:val="20"/>
              </w:rPr>
              <w:t>Intermediate</w:t>
            </w:r>
          </w:p>
        </w:tc>
        <w:tc>
          <w:tcPr>
            <w:tcW w:w="3924" w:type="dxa"/>
          </w:tcPr>
          <w:p w:rsidR="00043B50" w:rsidRPr="00D55357" w:rsidRDefault="00043B50" w:rsidP="006A15EF">
            <w:pPr>
              <w:pStyle w:val="Heading2"/>
              <w:jc w:val="both"/>
              <w:outlineLvl w:val="1"/>
              <w:rPr>
                <w:color w:val="auto"/>
                <w:sz w:val="20"/>
              </w:rPr>
            </w:pPr>
            <w:r w:rsidRPr="00D55357">
              <w:rPr>
                <w:color w:val="auto"/>
                <w:sz w:val="20"/>
              </w:rPr>
              <w:t>St.josephs’s college for women Karachi</w:t>
            </w:r>
          </w:p>
        </w:tc>
        <w:tc>
          <w:tcPr>
            <w:tcW w:w="2880" w:type="dxa"/>
          </w:tcPr>
          <w:p w:rsidR="00043B50" w:rsidRPr="00D55357" w:rsidRDefault="00043B50" w:rsidP="006A15EF">
            <w:pPr>
              <w:pStyle w:val="Heading2"/>
              <w:jc w:val="both"/>
              <w:outlineLvl w:val="1"/>
              <w:rPr>
                <w:color w:val="auto"/>
                <w:sz w:val="20"/>
              </w:rPr>
            </w:pPr>
            <w:r w:rsidRPr="00D55357">
              <w:rPr>
                <w:color w:val="auto"/>
                <w:sz w:val="20"/>
              </w:rPr>
              <w:t>2008-2010</w:t>
            </w:r>
          </w:p>
        </w:tc>
      </w:tr>
      <w:tr w:rsidR="00043B50" w:rsidTr="00043B50">
        <w:tc>
          <w:tcPr>
            <w:tcW w:w="2394" w:type="dxa"/>
          </w:tcPr>
          <w:p w:rsidR="00043B50" w:rsidRPr="00D55357" w:rsidRDefault="00043B50" w:rsidP="006A15EF">
            <w:pPr>
              <w:pStyle w:val="Heading2"/>
              <w:jc w:val="both"/>
              <w:outlineLvl w:val="1"/>
              <w:rPr>
                <w:color w:val="auto"/>
                <w:sz w:val="20"/>
              </w:rPr>
            </w:pPr>
            <w:r w:rsidRPr="00D55357">
              <w:rPr>
                <w:color w:val="auto"/>
                <w:sz w:val="20"/>
              </w:rPr>
              <w:t>Matriculation</w:t>
            </w:r>
          </w:p>
        </w:tc>
        <w:tc>
          <w:tcPr>
            <w:tcW w:w="3924" w:type="dxa"/>
          </w:tcPr>
          <w:p w:rsidR="00043B50" w:rsidRPr="00D55357" w:rsidRDefault="00043B50" w:rsidP="006A15EF">
            <w:pPr>
              <w:pStyle w:val="Heading2"/>
              <w:jc w:val="both"/>
              <w:outlineLvl w:val="1"/>
              <w:rPr>
                <w:color w:val="auto"/>
                <w:sz w:val="20"/>
              </w:rPr>
            </w:pPr>
            <w:r w:rsidRPr="00D55357">
              <w:rPr>
                <w:color w:val="auto"/>
                <w:sz w:val="20"/>
              </w:rPr>
              <w:t>Anglo Model School</w:t>
            </w:r>
          </w:p>
        </w:tc>
        <w:tc>
          <w:tcPr>
            <w:tcW w:w="2880" w:type="dxa"/>
          </w:tcPr>
          <w:p w:rsidR="00043B50" w:rsidRPr="00D55357" w:rsidRDefault="00043B50" w:rsidP="006A15EF">
            <w:pPr>
              <w:pStyle w:val="Heading2"/>
              <w:jc w:val="both"/>
              <w:outlineLvl w:val="1"/>
              <w:rPr>
                <w:color w:val="auto"/>
                <w:sz w:val="20"/>
              </w:rPr>
            </w:pPr>
            <w:r w:rsidRPr="00D55357">
              <w:rPr>
                <w:color w:val="auto"/>
                <w:sz w:val="20"/>
              </w:rPr>
              <w:t>2008</w:t>
            </w:r>
          </w:p>
        </w:tc>
      </w:tr>
    </w:tbl>
    <w:p w:rsidR="0034341F" w:rsidRDefault="0034341F" w:rsidP="0034341F">
      <w:pPr>
        <w:pStyle w:val="Heading1"/>
        <w:spacing w:before="0" w:line="240" w:lineRule="auto"/>
        <w:rPr>
          <w:i/>
          <w:sz w:val="24"/>
          <w:u w:val="single"/>
        </w:rPr>
      </w:pPr>
    </w:p>
    <w:p w:rsidR="00506004" w:rsidRPr="00106090" w:rsidRDefault="00151FCB" w:rsidP="0034341F">
      <w:pPr>
        <w:pStyle w:val="Heading1"/>
        <w:spacing w:before="0" w:line="240" w:lineRule="auto"/>
        <w:rPr>
          <w:i/>
          <w:sz w:val="24"/>
          <w:u w:val="single"/>
        </w:rPr>
      </w:pPr>
      <w:r w:rsidRPr="00106090">
        <w:rPr>
          <w:i/>
          <w:sz w:val="24"/>
          <w:u w:val="single"/>
        </w:rPr>
        <w:t xml:space="preserve">Professional </w:t>
      </w:r>
      <w:r w:rsidR="00261BC4" w:rsidRPr="00106090">
        <w:rPr>
          <w:i/>
          <w:sz w:val="24"/>
          <w:u w:val="single"/>
        </w:rPr>
        <w:t>Experience:</w:t>
      </w:r>
    </w:p>
    <w:p w:rsidR="00151FCB" w:rsidRPr="006A15EF" w:rsidRDefault="00043B50" w:rsidP="0034341F">
      <w:pPr>
        <w:pStyle w:val="ListParagraph"/>
        <w:numPr>
          <w:ilvl w:val="0"/>
          <w:numId w:val="2"/>
        </w:numPr>
        <w:spacing w:line="240" w:lineRule="auto"/>
        <w:rPr>
          <w:sz w:val="20"/>
        </w:rPr>
      </w:pPr>
      <w:r w:rsidRPr="006A15EF">
        <w:rPr>
          <w:sz w:val="20"/>
        </w:rPr>
        <w:t xml:space="preserve">Deputy Drug Safety Responsible (DSR) at HRSI deputed at Novartis Pharma Pakistan (Feb 2016) </w:t>
      </w:r>
    </w:p>
    <w:p w:rsidR="00506004" w:rsidRPr="006A15EF" w:rsidRDefault="00BC7A99" w:rsidP="0034341F">
      <w:pPr>
        <w:pStyle w:val="ListParagraph"/>
        <w:numPr>
          <w:ilvl w:val="0"/>
          <w:numId w:val="2"/>
        </w:numPr>
        <w:spacing w:line="240" w:lineRule="auto"/>
        <w:rPr>
          <w:sz w:val="20"/>
        </w:rPr>
      </w:pPr>
      <w:r w:rsidRPr="006A15EF">
        <w:rPr>
          <w:sz w:val="20"/>
        </w:rPr>
        <w:t xml:space="preserve">Internship at ABBASSI SHAHEED HOSPITAL </w:t>
      </w:r>
      <w:r w:rsidR="00261BC4" w:rsidRPr="006A15EF">
        <w:rPr>
          <w:sz w:val="20"/>
        </w:rPr>
        <w:t>Karachi.</w:t>
      </w:r>
    </w:p>
    <w:p w:rsidR="00506004" w:rsidRPr="006A15EF" w:rsidRDefault="00BC7A99" w:rsidP="0034341F">
      <w:pPr>
        <w:pStyle w:val="ListParagraph"/>
        <w:numPr>
          <w:ilvl w:val="0"/>
          <w:numId w:val="2"/>
        </w:numPr>
        <w:spacing w:line="240" w:lineRule="auto"/>
        <w:rPr>
          <w:sz w:val="20"/>
        </w:rPr>
      </w:pPr>
      <w:r w:rsidRPr="006A15EF">
        <w:rPr>
          <w:sz w:val="20"/>
        </w:rPr>
        <w:t xml:space="preserve">Internship at </w:t>
      </w:r>
      <w:r w:rsidR="00261BC4" w:rsidRPr="006A15EF">
        <w:rPr>
          <w:sz w:val="20"/>
        </w:rPr>
        <w:t>DUHS OJHA, Karachi.</w:t>
      </w:r>
    </w:p>
    <w:p w:rsidR="00151FCB" w:rsidRPr="006A15EF" w:rsidRDefault="00BC7A99" w:rsidP="0034341F">
      <w:pPr>
        <w:pStyle w:val="ListParagraph"/>
        <w:numPr>
          <w:ilvl w:val="0"/>
          <w:numId w:val="2"/>
        </w:numPr>
        <w:spacing w:line="240" w:lineRule="auto"/>
        <w:rPr>
          <w:sz w:val="20"/>
        </w:rPr>
      </w:pPr>
      <w:r w:rsidRPr="006A15EF">
        <w:rPr>
          <w:sz w:val="20"/>
        </w:rPr>
        <w:t>Inter</w:t>
      </w:r>
      <w:r w:rsidR="00151FCB" w:rsidRPr="006A15EF">
        <w:rPr>
          <w:sz w:val="20"/>
        </w:rPr>
        <w:t>nship at NIBD hospital Karachi.</w:t>
      </w:r>
    </w:p>
    <w:p w:rsidR="00261BC4" w:rsidRPr="00106090" w:rsidRDefault="00261BC4" w:rsidP="0034341F">
      <w:pPr>
        <w:pStyle w:val="Heading1"/>
        <w:spacing w:before="0" w:line="240" w:lineRule="auto"/>
        <w:rPr>
          <w:i/>
          <w:sz w:val="24"/>
          <w:u w:val="single"/>
        </w:rPr>
      </w:pPr>
      <w:r w:rsidRPr="00106090">
        <w:rPr>
          <w:i/>
          <w:sz w:val="24"/>
          <w:u w:val="single"/>
        </w:rPr>
        <w:t>Current Role &amp; Responsibilities:</w:t>
      </w:r>
    </w:p>
    <w:p w:rsidR="00D203CE" w:rsidRPr="006A15EF" w:rsidRDefault="00D203CE" w:rsidP="00106090">
      <w:pPr>
        <w:pStyle w:val="NoSpacing"/>
        <w:numPr>
          <w:ilvl w:val="0"/>
          <w:numId w:val="9"/>
        </w:numPr>
        <w:jc w:val="both"/>
        <w:rPr>
          <w:rFonts w:eastAsia="Calibri" w:cs="Times New Roman"/>
          <w:color w:val="000000"/>
          <w:sz w:val="20"/>
        </w:rPr>
      </w:pPr>
      <w:r w:rsidRPr="006A15EF">
        <w:rPr>
          <w:rFonts w:eastAsia="Calibri" w:cs="Times New Roman"/>
          <w:color w:val="000000"/>
          <w:sz w:val="20"/>
        </w:rPr>
        <w:t xml:space="preserve">Responsible for ensuring that local pharmacovigilance requirements are met within Novartis, Global Patient Safety oversee pharmacovigilance activities at an international level, and provides input to this process as per the local Patient Safety working procedures. </w:t>
      </w:r>
    </w:p>
    <w:p w:rsidR="00D203CE" w:rsidRPr="006A15EF" w:rsidRDefault="00D203CE" w:rsidP="00106090">
      <w:pPr>
        <w:pStyle w:val="NoSpacing"/>
        <w:numPr>
          <w:ilvl w:val="0"/>
          <w:numId w:val="9"/>
        </w:numPr>
        <w:jc w:val="both"/>
        <w:rPr>
          <w:rFonts w:eastAsia="Calibri" w:cs="Times New Roman"/>
          <w:color w:val="000000"/>
          <w:sz w:val="20"/>
        </w:rPr>
      </w:pPr>
      <w:r w:rsidRPr="006A15EF">
        <w:rPr>
          <w:rFonts w:eastAsia="Calibri" w:cs="Times New Roman"/>
          <w:color w:val="000000"/>
          <w:sz w:val="20"/>
        </w:rPr>
        <w:t>Should maintain current overall knowledge of systems / procedures / regulations related to pharmacovigilance through training and attendance of meetings, including Global or Regional meetings and training specific to Patient Safety/DSR/Deputy DSR role.</w:t>
      </w:r>
    </w:p>
    <w:p w:rsidR="00D203CE" w:rsidRPr="006A15EF" w:rsidRDefault="00D203CE" w:rsidP="00106090">
      <w:pPr>
        <w:pStyle w:val="NoSpacing"/>
        <w:numPr>
          <w:ilvl w:val="0"/>
          <w:numId w:val="9"/>
        </w:numPr>
        <w:jc w:val="both"/>
        <w:rPr>
          <w:rFonts w:eastAsia="Times New Roman" w:cs="Times New Roman"/>
          <w:color w:val="000000"/>
          <w:sz w:val="20"/>
        </w:rPr>
      </w:pPr>
      <w:r w:rsidRPr="006A15EF">
        <w:rPr>
          <w:rFonts w:eastAsia="Times New Roman" w:cs="Times New Roman"/>
          <w:color w:val="000000"/>
          <w:sz w:val="20"/>
        </w:rPr>
        <w:t>Ensure QC Check of all ADR’s/FU ongoing basis and enter QC Id’s in Argus.</w:t>
      </w:r>
    </w:p>
    <w:p w:rsidR="00D203CE" w:rsidRPr="006A15EF" w:rsidRDefault="00D203CE" w:rsidP="00106090">
      <w:pPr>
        <w:pStyle w:val="NoSpacing"/>
        <w:numPr>
          <w:ilvl w:val="0"/>
          <w:numId w:val="9"/>
        </w:numPr>
        <w:jc w:val="both"/>
        <w:rPr>
          <w:rFonts w:eastAsia="Times New Roman" w:cs="Times New Roman"/>
          <w:color w:val="000000"/>
          <w:sz w:val="20"/>
        </w:rPr>
      </w:pPr>
      <w:r w:rsidRPr="006A15EF">
        <w:rPr>
          <w:rFonts w:eastAsia="Times New Roman" w:cs="Times New Roman"/>
          <w:color w:val="000000"/>
          <w:sz w:val="20"/>
        </w:rPr>
        <w:t xml:space="preserve">Ensure Reconciliation for all ADR’s ongoing basis with all relevant stake holders. </w:t>
      </w:r>
    </w:p>
    <w:p w:rsidR="00D203CE" w:rsidRPr="006A15EF" w:rsidRDefault="00D203CE" w:rsidP="00106090">
      <w:pPr>
        <w:pStyle w:val="NoSpacing"/>
        <w:numPr>
          <w:ilvl w:val="0"/>
          <w:numId w:val="9"/>
        </w:numPr>
        <w:jc w:val="both"/>
        <w:rPr>
          <w:rFonts w:eastAsia="Times New Roman" w:cs="Times New Roman"/>
          <w:color w:val="000000"/>
          <w:sz w:val="20"/>
        </w:rPr>
      </w:pPr>
      <w:r w:rsidRPr="006A15EF">
        <w:rPr>
          <w:rFonts w:eastAsia="Times New Roman" w:cs="Times New Roman"/>
          <w:color w:val="000000"/>
          <w:sz w:val="20"/>
        </w:rPr>
        <w:t>Act as a backup (mandatory) for DSR.</w:t>
      </w:r>
    </w:p>
    <w:p w:rsidR="00D203CE" w:rsidRPr="006A15EF" w:rsidRDefault="00D203CE" w:rsidP="00106090">
      <w:pPr>
        <w:pStyle w:val="NoSpacing"/>
        <w:numPr>
          <w:ilvl w:val="0"/>
          <w:numId w:val="9"/>
        </w:numPr>
        <w:jc w:val="both"/>
        <w:rPr>
          <w:rFonts w:eastAsia="Calibri" w:cs="Times New Roman"/>
          <w:sz w:val="20"/>
          <w:lang w:val="en-AU"/>
        </w:rPr>
      </w:pPr>
      <w:r w:rsidRPr="006A15EF">
        <w:rPr>
          <w:rFonts w:eastAsia="Calibri" w:cs="Times New Roman"/>
          <w:sz w:val="20"/>
          <w:lang w:val="en-AU"/>
        </w:rPr>
        <w:t>Consolidate the PV training records of Pharma, Sandoz, Head Office, POP Vendors and Distributors.</w:t>
      </w:r>
    </w:p>
    <w:p w:rsidR="00D203CE" w:rsidRPr="006A15EF" w:rsidRDefault="00D203CE" w:rsidP="00106090">
      <w:pPr>
        <w:pStyle w:val="NoSpacing"/>
        <w:numPr>
          <w:ilvl w:val="0"/>
          <w:numId w:val="9"/>
        </w:numPr>
        <w:jc w:val="both"/>
        <w:rPr>
          <w:rFonts w:eastAsia="Calibri" w:cs="Times New Roman"/>
          <w:sz w:val="20"/>
          <w:lang w:val="en-AU"/>
        </w:rPr>
      </w:pPr>
      <w:r w:rsidRPr="006A15EF">
        <w:rPr>
          <w:rFonts w:eastAsia="Calibri" w:cs="Times New Roman"/>
          <w:sz w:val="20"/>
          <w:lang w:val="en-AU"/>
        </w:rPr>
        <w:t>Organize the training of those who were/ are not trained. (Initial or refresher Training).</w:t>
      </w:r>
    </w:p>
    <w:p w:rsidR="00D203CE" w:rsidRPr="006A15EF" w:rsidRDefault="00D203CE" w:rsidP="00106090">
      <w:pPr>
        <w:pStyle w:val="NoSpacing"/>
        <w:numPr>
          <w:ilvl w:val="0"/>
          <w:numId w:val="9"/>
        </w:numPr>
        <w:jc w:val="both"/>
        <w:rPr>
          <w:rFonts w:eastAsia="Calibri" w:cs="Times New Roman"/>
          <w:sz w:val="20"/>
          <w:lang w:val="en-AU"/>
        </w:rPr>
      </w:pPr>
      <w:r w:rsidRPr="006A15EF">
        <w:rPr>
          <w:rFonts w:eastAsia="Calibri" w:cs="Times New Roman"/>
          <w:sz w:val="20"/>
          <w:lang w:val="en-AU"/>
        </w:rPr>
        <w:t>Assist in preparation of forthcoming audit by the regional and Global Auditors.</w:t>
      </w:r>
    </w:p>
    <w:p w:rsidR="00D203CE" w:rsidRPr="006A15EF" w:rsidRDefault="00D203CE" w:rsidP="00106090">
      <w:pPr>
        <w:pStyle w:val="NoSpacing"/>
        <w:numPr>
          <w:ilvl w:val="0"/>
          <w:numId w:val="9"/>
        </w:numPr>
        <w:jc w:val="both"/>
        <w:rPr>
          <w:rFonts w:eastAsia="Calibri" w:cs="Times New Roman"/>
          <w:sz w:val="20"/>
          <w:lang w:val="en-AU"/>
        </w:rPr>
      </w:pPr>
      <w:r w:rsidRPr="006A15EF">
        <w:rPr>
          <w:rFonts w:eastAsia="Calibri" w:cs="Times New Roman"/>
          <w:sz w:val="20"/>
          <w:lang w:val="en-AU"/>
        </w:rPr>
        <w:t>Manage local PV tracking tool of Adverse Events.</w:t>
      </w:r>
    </w:p>
    <w:p w:rsidR="00D203CE" w:rsidRPr="006A15EF" w:rsidRDefault="00D203CE" w:rsidP="00106090">
      <w:pPr>
        <w:pStyle w:val="NoSpacing"/>
        <w:numPr>
          <w:ilvl w:val="0"/>
          <w:numId w:val="9"/>
        </w:numPr>
        <w:jc w:val="both"/>
        <w:rPr>
          <w:rFonts w:eastAsia="Calibri" w:cs="Times New Roman"/>
          <w:sz w:val="20"/>
          <w:lang w:val="en-AU"/>
        </w:rPr>
      </w:pPr>
      <w:r w:rsidRPr="006A15EF">
        <w:rPr>
          <w:rFonts w:eastAsia="Calibri" w:cs="Times New Roman"/>
          <w:sz w:val="20"/>
          <w:lang w:val="en-AU"/>
        </w:rPr>
        <w:t>Organize the DS&amp;E records available in the Medical Archive room.</w:t>
      </w:r>
    </w:p>
    <w:p w:rsidR="00D203CE" w:rsidRPr="006A15EF" w:rsidRDefault="00D203CE" w:rsidP="00106090">
      <w:pPr>
        <w:pStyle w:val="NoSpacing"/>
        <w:numPr>
          <w:ilvl w:val="0"/>
          <w:numId w:val="9"/>
        </w:numPr>
        <w:jc w:val="both"/>
        <w:rPr>
          <w:rFonts w:eastAsia="Calibri" w:cs="Times New Roman"/>
          <w:sz w:val="20"/>
          <w:lang w:val="en-AU"/>
        </w:rPr>
      </w:pPr>
      <w:r w:rsidRPr="006A15EF">
        <w:rPr>
          <w:rFonts w:eastAsia="Calibri" w:cs="Times New Roman"/>
          <w:sz w:val="20"/>
          <w:lang w:val="en-AU"/>
        </w:rPr>
        <w:t>Assist in follow up of Adverse Events with the reporters/ Pregnancy Follow up cases.</w:t>
      </w:r>
    </w:p>
    <w:p w:rsidR="00D203CE" w:rsidRPr="006A15EF" w:rsidRDefault="00D203CE" w:rsidP="00106090">
      <w:pPr>
        <w:pStyle w:val="NoSpacing"/>
        <w:numPr>
          <w:ilvl w:val="0"/>
          <w:numId w:val="9"/>
        </w:numPr>
        <w:jc w:val="both"/>
        <w:rPr>
          <w:rFonts w:eastAsia="Calibri" w:cs="Times New Roman"/>
          <w:sz w:val="20"/>
          <w:lang w:val="en-AU"/>
        </w:rPr>
      </w:pPr>
      <w:r w:rsidRPr="006A15EF">
        <w:rPr>
          <w:rFonts w:eastAsia="Calibri" w:cs="Times New Roman"/>
          <w:sz w:val="20"/>
          <w:lang w:val="en-AU"/>
        </w:rPr>
        <w:t>Timely submission of CIOMS to local HA and enter status of submission of CIOMS in Argus.</w:t>
      </w:r>
    </w:p>
    <w:p w:rsidR="00D203CE" w:rsidRPr="006A15EF" w:rsidRDefault="00D203CE" w:rsidP="00106090">
      <w:pPr>
        <w:pStyle w:val="NoSpacing"/>
        <w:numPr>
          <w:ilvl w:val="0"/>
          <w:numId w:val="9"/>
        </w:numPr>
        <w:jc w:val="both"/>
        <w:rPr>
          <w:rFonts w:eastAsia="Calibri" w:cs="Times New Roman"/>
          <w:sz w:val="20"/>
          <w:lang w:val="en-AU"/>
        </w:rPr>
      </w:pPr>
      <w:r w:rsidRPr="006A15EF">
        <w:rPr>
          <w:rFonts w:eastAsia="Calibri" w:cs="Times New Roman"/>
          <w:sz w:val="20"/>
          <w:lang w:val="en-AU"/>
        </w:rPr>
        <w:t>Timely request of TFU from the reporter and to be filled by the treating physician.</w:t>
      </w:r>
    </w:p>
    <w:p w:rsidR="00D203CE" w:rsidRPr="006A15EF" w:rsidRDefault="00D203CE" w:rsidP="00106090">
      <w:pPr>
        <w:pStyle w:val="NoSpacing"/>
        <w:numPr>
          <w:ilvl w:val="0"/>
          <w:numId w:val="9"/>
        </w:numPr>
        <w:jc w:val="both"/>
        <w:rPr>
          <w:rFonts w:eastAsia="Calibri" w:cs="Times New Roman"/>
          <w:sz w:val="20"/>
          <w:lang w:val="en-AU"/>
        </w:rPr>
      </w:pPr>
      <w:r w:rsidRPr="006A15EF">
        <w:rPr>
          <w:rFonts w:eastAsia="Calibri" w:cs="Times New Roman"/>
          <w:sz w:val="20"/>
          <w:lang w:val="en-AU"/>
        </w:rPr>
        <w:t>Timely enter TFU in Argus as &amp; when received.</w:t>
      </w:r>
    </w:p>
    <w:p w:rsidR="00D203CE" w:rsidRPr="006A15EF" w:rsidRDefault="00D203CE" w:rsidP="00106090">
      <w:pPr>
        <w:pStyle w:val="NoSpacing"/>
        <w:numPr>
          <w:ilvl w:val="0"/>
          <w:numId w:val="9"/>
        </w:numPr>
        <w:jc w:val="both"/>
        <w:rPr>
          <w:rFonts w:eastAsia="Calibri" w:cs="Times New Roman"/>
          <w:sz w:val="20"/>
          <w:lang w:val="en-AU"/>
        </w:rPr>
      </w:pPr>
      <w:r w:rsidRPr="006A15EF">
        <w:rPr>
          <w:rFonts w:eastAsia="Calibri" w:cs="Times New Roman"/>
          <w:sz w:val="20"/>
          <w:lang w:val="en-AU"/>
        </w:rPr>
        <w:t>Timely Literature Screening of local medical journals as &amp; when received and reporting of ADR’s if identified.</w:t>
      </w:r>
    </w:p>
    <w:p w:rsidR="00D203CE" w:rsidRPr="006A15EF" w:rsidRDefault="00D203CE" w:rsidP="00D203CE">
      <w:pPr>
        <w:ind w:left="720"/>
        <w:contextualSpacing/>
        <w:rPr>
          <w:rFonts w:asciiTheme="majorHAnsi" w:eastAsia="Times New Roman" w:hAnsiTheme="majorHAnsi" w:cs="Times New Roman"/>
          <w:color w:val="000000"/>
          <w:sz w:val="20"/>
          <w:lang w:val="en-AU"/>
        </w:rPr>
      </w:pPr>
    </w:p>
    <w:p w:rsidR="00D203CE" w:rsidRPr="00D203CE" w:rsidRDefault="00D203CE" w:rsidP="00106090">
      <w:pPr>
        <w:shd w:val="clear" w:color="auto" w:fill="FFFFFF"/>
        <w:spacing w:before="240" w:after="0"/>
        <w:ind w:left="360"/>
        <w:contextualSpacing/>
        <w:textAlignment w:val="baseline"/>
        <w:rPr>
          <w:rFonts w:asciiTheme="majorHAnsi" w:eastAsia="Times New Roman" w:hAnsiTheme="majorHAnsi" w:cs="Times New Roman"/>
          <w:b/>
          <w:color w:val="000000"/>
        </w:rPr>
      </w:pPr>
      <w:r w:rsidRPr="00D203CE">
        <w:rPr>
          <w:rFonts w:asciiTheme="majorHAnsi" w:eastAsia="Times New Roman" w:hAnsiTheme="majorHAnsi" w:cs="Times New Roman"/>
          <w:b/>
          <w:color w:val="000000"/>
        </w:rPr>
        <w:t xml:space="preserve">       POP related tasks (POP coordinator)</w:t>
      </w:r>
    </w:p>
    <w:p w:rsidR="00D203CE" w:rsidRPr="006A15EF" w:rsidRDefault="00D203CE" w:rsidP="00106090">
      <w:pPr>
        <w:pStyle w:val="NoSpacing"/>
        <w:numPr>
          <w:ilvl w:val="0"/>
          <w:numId w:val="10"/>
        </w:numPr>
        <w:jc w:val="both"/>
        <w:rPr>
          <w:rFonts w:eastAsia="Times New Roman"/>
          <w:sz w:val="20"/>
        </w:rPr>
      </w:pPr>
      <w:r w:rsidRPr="006A15EF">
        <w:rPr>
          <w:rFonts w:eastAsia="Times New Roman"/>
          <w:sz w:val="20"/>
          <w:lang w:val="en-GB"/>
        </w:rPr>
        <w:t>As POP Coordinator ensures accurate &amp; timely entry of Novartis &amp; ESP -related activities into POPsys, which includes periodic reconciliations with ESPs.</w:t>
      </w:r>
    </w:p>
    <w:p w:rsidR="00261BC4" w:rsidRPr="006A15EF" w:rsidRDefault="00D203CE" w:rsidP="00106090">
      <w:pPr>
        <w:pStyle w:val="NoSpacing"/>
        <w:numPr>
          <w:ilvl w:val="0"/>
          <w:numId w:val="10"/>
        </w:numPr>
        <w:jc w:val="both"/>
        <w:rPr>
          <w:rFonts w:eastAsia="Times New Roman"/>
          <w:sz w:val="20"/>
        </w:rPr>
      </w:pPr>
      <w:r w:rsidRPr="006A15EF">
        <w:rPr>
          <w:rFonts w:eastAsia="Times New Roman"/>
          <w:sz w:val="20"/>
        </w:rPr>
        <w:t>Will carry out PV training of ESPs (Onboarding &amp; refresher) on an ongoing basis with maintenance of training records for all vendors.</w:t>
      </w:r>
    </w:p>
    <w:p w:rsidR="00151FCB" w:rsidRPr="00106090" w:rsidRDefault="00151FCB" w:rsidP="00106090">
      <w:pPr>
        <w:pStyle w:val="Heading1"/>
        <w:spacing w:before="240"/>
        <w:rPr>
          <w:i/>
          <w:sz w:val="24"/>
          <w:u w:val="single"/>
        </w:rPr>
      </w:pPr>
      <w:r w:rsidRPr="00106090">
        <w:rPr>
          <w:i/>
          <w:sz w:val="24"/>
          <w:u w:val="single"/>
        </w:rPr>
        <w:t>Responsibilities</w:t>
      </w:r>
      <w:r w:rsidR="00261BC4" w:rsidRPr="00106090">
        <w:rPr>
          <w:i/>
          <w:sz w:val="24"/>
          <w:u w:val="single"/>
        </w:rPr>
        <w:t xml:space="preserve"> at NIBD</w:t>
      </w:r>
      <w:r w:rsidRPr="00106090">
        <w:rPr>
          <w:i/>
          <w:sz w:val="24"/>
          <w:u w:val="single"/>
        </w:rPr>
        <w:t>:</w:t>
      </w:r>
    </w:p>
    <w:p w:rsidR="00151FCB" w:rsidRPr="006A15EF" w:rsidRDefault="00151FCB" w:rsidP="00106090">
      <w:pPr>
        <w:pStyle w:val="NoSpacing"/>
        <w:numPr>
          <w:ilvl w:val="0"/>
          <w:numId w:val="10"/>
        </w:numPr>
        <w:jc w:val="both"/>
        <w:rPr>
          <w:sz w:val="20"/>
        </w:rPr>
      </w:pPr>
      <w:r w:rsidRPr="006A15EF">
        <w:rPr>
          <w:sz w:val="20"/>
        </w:rPr>
        <w:t>Under the supervision of a licensed pharmacist, make daily ward rounds</w:t>
      </w:r>
    </w:p>
    <w:p w:rsidR="00151FCB" w:rsidRPr="006A15EF" w:rsidRDefault="00151FCB" w:rsidP="00106090">
      <w:pPr>
        <w:pStyle w:val="NoSpacing"/>
        <w:numPr>
          <w:ilvl w:val="0"/>
          <w:numId w:val="10"/>
        </w:numPr>
        <w:jc w:val="both"/>
        <w:rPr>
          <w:sz w:val="20"/>
        </w:rPr>
      </w:pPr>
      <w:r w:rsidRPr="006A15EF">
        <w:rPr>
          <w:sz w:val="20"/>
        </w:rPr>
        <w:t>Record patient history and monitor patients’ prescriptions as per their condition and history</w:t>
      </w:r>
    </w:p>
    <w:p w:rsidR="00151FCB" w:rsidRPr="006A15EF" w:rsidRDefault="00151FCB" w:rsidP="00106090">
      <w:pPr>
        <w:pStyle w:val="NoSpacing"/>
        <w:numPr>
          <w:ilvl w:val="0"/>
          <w:numId w:val="10"/>
        </w:numPr>
        <w:jc w:val="both"/>
        <w:rPr>
          <w:sz w:val="20"/>
        </w:rPr>
      </w:pPr>
      <w:r w:rsidRPr="006A15EF">
        <w:rPr>
          <w:sz w:val="20"/>
        </w:rPr>
        <w:t>Promote cost effective, evidence based prescribing in conjunction with hospital medication list</w:t>
      </w:r>
    </w:p>
    <w:p w:rsidR="00106090" w:rsidRPr="006A15EF" w:rsidRDefault="00151FCB" w:rsidP="00106090">
      <w:pPr>
        <w:pStyle w:val="NoSpacing"/>
        <w:numPr>
          <w:ilvl w:val="0"/>
          <w:numId w:val="10"/>
        </w:numPr>
        <w:jc w:val="both"/>
        <w:rPr>
          <w:sz w:val="20"/>
        </w:rPr>
      </w:pPr>
      <w:r w:rsidRPr="006A15EF">
        <w:rPr>
          <w:sz w:val="20"/>
        </w:rPr>
        <w:t xml:space="preserve">Monitor medication profiles of patient and give appropriate advice to promote drug utilization </w:t>
      </w:r>
      <w:r w:rsidR="00106090" w:rsidRPr="006A15EF">
        <w:rPr>
          <w:sz w:val="20"/>
        </w:rPr>
        <w:t xml:space="preserve">   </w:t>
      </w:r>
    </w:p>
    <w:p w:rsidR="00151FCB" w:rsidRPr="006A15EF" w:rsidRDefault="006A15EF" w:rsidP="00106090">
      <w:pPr>
        <w:pStyle w:val="NoSpacing"/>
        <w:ind w:left="720"/>
        <w:jc w:val="both"/>
        <w:rPr>
          <w:sz w:val="20"/>
        </w:rPr>
      </w:pPr>
      <w:r w:rsidRPr="006A15EF">
        <w:rPr>
          <w:sz w:val="20"/>
        </w:rPr>
        <w:t>Commensurate</w:t>
      </w:r>
      <w:r w:rsidR="00151FCB" w:rsidRPr="006A15EF">
        <w:rPr>
          <w:sz w:val="20"/>
        </w:rPr>
        <w:t xml:space="preserve"> with best patient care</w:t>
      </w:r>
    </w:p>
    <w:p w:rsidR="00151FCB" w:rsidRPr="006A15EF" w:rsidRDefault="00151FCB" w:rsidP="00106090">
      <w:pPr>
        <w:pStyle w:val="NoSpacing"/>
        <w:numPr>
          <w:ilvl w:val="0"/>
          <w:numId w:val="11"/>
        </w:numPr>
        <w:jc w:val="both"/>
        <w:rPr>
          <w:sz w:val="20"/>
        </w:rPr>
      </w:pPr>
      <w:r w:rsidRPr="006A15EF">
        <w:rPr>
          <w:sz w:val="20"/>
        </w:rPr>
        <w:t>Provide medication counseling to patients to improve understanding, compliance and tolerance</w:t>
      </w:r>
    </w:p>
    <w:p w:rsidR="00151FCB" w:rsidRPr="006A15EF" w:rsidRDefault="00151FCB" w:rsidP="00106090">
      <w:pPr>
        <w:pStyle w:val="NoSpacing"/>
        <w:numPr>
          <w:ilvl w:val="0"/>
          <w:numId w:val="11"/>
        </w:numPr>
        <w:jc w:val="both"/>
        <w:rPr>
          <w:sz w:val="20"/>
        </w:rPr>
      </w:pPr>
      <w:r w:rsidRPr="006A15EF">
        <w:rPr>
          <w:sz w:val="20"/>
        </w:rPr>
        <w:t>Checking for possible contraindications, interferenc</w:t>
      </w:r>
      <w:r w:rsidR="00D203CE" w:rsidRPr="006A15EF">
        <w:rPr>
          <w:sz w:val="20"/>
        </w:rPr>
        <w:t>e with laboratory test results, drug</w:t>
      </w:r>
      <w:r w:rsidRPr="006A15EF">
        <w:rPr>
          <w:sz w:val="20"/>
        </w:rPr>
        <w:t xml:space="preserve"> interactions, adverse reactions, allergies, toxicity and cost during patient counseling</w:t>
      </w:r>
      <w:r w:rsidR="00261BC4" w:rsidRPr="006A15EF">
        <w:rPr>
          <w:sz w:val="20"/>
        </w:rPr>
        <w:t>.</w:t>
      </w:r>
    </w:p>
    <w:p w:rsidR="0034341F" w:rsidRDefault="0034341F" w:rsidP="006A15EF">
      <w:pPr>
        <w:pStyle w:val="Heading1"/>
        <w:spacing w:before="0"/>
        <w:rPr>
          <w:i/>
          <w:sz w:val="24"/>
          <w:u w:val="single"/>
        </w:rPr>
      </w:pPr>
    </w:p>
    <w:p w:rsidR="00506004" w:rsidRPr="00106090" w:rsidRDefault="00D203CE" w:rsidP="006A15EF">
      <w:pPr>
        <w:pStyle w:val="Heading1"/>
        <w:spacing w:before="0"/>
        <w:rPr>
          <w:i/>
          <w:sz w:val="24"/>
          <w:u w:val="single"/>
        </w:rPr>
      </w:pPr>
      <w:r w:rsidRPr="00106090">
        <w:rPr>
          <w:i/>
          <w:sz w:val="24"/>
          <w:u w:val="single"/>
        </w:rPr>
        <w:t>Research:</w:t>
      </w:r>
    </w:p>
    <w:p w:rsidR="00506004" w:rsidRPr="0034341F" w:rsidRDefault="00D203CE" w:rsidP="006A15EF">
      <w:pPr>
        <w:pStyle w:val="NoSpacing"/>
        <w:numPr>
          <w:ilvl w:val="0"/>
          <w:numId w:val="13"/>
        </w:numPr>
        <w:rPr>
          <w:sz w:val="20"/>
        </w:rPr>
      </w:pPr>
      <w:r w:rsidRPr="0034341F">
        <w:rPr>
          <w:sz w:val="20"/>
        </w:rPr>
        <w:t>Tuberculosis</w:t>
      </w:r>
      <w:r w:rsidR="00BC7A99" w:rsidRPr="0034341F">
        <w:rPr>
          <w:sz w:val="20"/>
        </w:rPr>
        <w:t xml:space="preserve">, its </w:t>
      </w:r>
      <w:r w:rsidRPr="0034341F">
        <w:rPr>
          <w:sz w:val="20"/>
        </w:rPr>
        <w:t>regimen,</w:t>
      </w:r>
      <w:r w:rsidR="00BC7A99" w:rsidRPr="0034341F">
        <w:rPr>
          <w:sz w:val="20"/>
        </w:rPr>
        <w:t xml:space="preserve"> </w:t>
      </w:r>
      <w:r w:rsidRPr="0034341F">
        <w:rPr>
          <w:sz w:val="20"/>
        </w:rPr>
        <w:t>stages.</w:t>
      </w:r>
    </w:p>
    <w:p w:rsidR="006A15EF" w:rsidRDefault="006A15EF" w:rsidP="006A15EF">
      <w:pPr>
        <w:pStyle w:val="NoSpacing"/>
        <w:ind w:left="720"/>
      </w:pPr>
    </w:p>
    <w:p w:rsidR="00506004" w:rsidRPr="00106090" w:rsidRDefault="00D203CE" w:rsidP="006A15EF">
      <w:pPr>
        <w:pStyle w:val="Heading1"/>
        <w:spacing w:before="0"/>
        <w:rPr>
          <w:i/>
          <w:sz w:val="24"/>
          <w:u w:val="single"/>
        </w:rPr>
      </w:pPr>
      <w:r w:rsidRPr="00106090">
        <w:rPr>
          <w:i/>
          <w:sz w:val="24"/>
          <w:u w:val="single"/>
        </w:rPr>
        <w:t>Extracurricular</w:t>
      </w:r>
      <w:r w:rsidR="00BC7A99" w:rsidRPr="00106090">
        <w:rPr>
          <w:i/>
          <w:sz w:val="24"/>
          <w:u w:val="single"/>
        </w:rPr>
        <w:t xml:space="preserve"> </w:t>
      </w:r>
      <w:r w:rsidRPr="00106090">
        <w:rPr>
          <w:i/>
          <w:sz w:val="24"/>
          <w:u w:val="single"/>
        </w:rPr>
        <w:t>activities:</w:t>
      </w:r>
    </w:p>
    <w:p w:rsidR="00506004" w:rsidRPr="0034341F" w:rsidRDefault="00BC7A99" w:rsidP="00106090">
      <w:pPr>
        <w:pStyle w:val="NoSpacing"/>
        <w:numPr>
          <w:ilvl w:val="0"/>
          <w:numId w:val="4"/>
        </w:numPr>
        <w:jc w:val="both"/>
        <w:rPr>
          <w:sz w:val="20"/>
        </w:rPr>
      </w:pPr>
      <w:r w:rsidRPr="0034341F">
        <w:rPr>
          <w:sz w:val="20"/>
        </w:rPr>
        <w:t>Coordinator events and logistics, pharmacy literary club, KUPSA ( Karachi University Pharmacy Students Association )</w:t>
      </w:r>
    </w:p>
    <w:p w:rsidR="00506004" w:rsidRPr="0034341F" w:rsidRDefault="00BC7A99" w:rsidP="00106090">
      <w:pPr>
        <w:pStyle w:val="NoSpacing"/>
        <w:numPr>
          <w:ilvl w:val="0"/>
          <w:numId w:val="4"/>
        </w:numPr>
        <w:jc w:val="both"/>
        <w:rPr>
          <w:sz w:val="20"/>
        </w:rPr>
      </w:pPr>
      <w:r w:rsidRPr="0034341F">
        <w:rPr>
          <w:sz w:val="20"/>
        </w:rPr>
        <w:t xml:space="preserve">Participated in Pharma Analyticon, worked on the model apparatus of disintegration. </w:t>
      </w:r>
    </w:p>
    <w:p w:rsidR="00506004" w:rsidRPr="0034341F" w:rsidRDefault="00BC7A99" w:rsidP="00106090">
      <w:pPr>
        <w:pStyle w:val="NoSpacing"/>
        <w:numPr>
          <w:ilvl w:val="0"/>
          <w:numId w:val="4"/>
        </w:numPr>
        <w:jc w:val="both"/>
        <w:rPr>
          <w:sz w:val="20"/>
        </w:rPr>
      </w:pPr>
      <w:r w:rsidRPr="0034341F">
        <w:rPr>
          <w:sz w:val="20"/>
        </w:rPr>
        <w:t>Participated in the Throwsal Championship, as a team member throwbal.</w:t>
      </w:r>
    </w:p>
    <w:p w:rsidR="00506004" w:rsidRPr="0034341F" w:rsidRDefault="00BC7A99" w:rsidP="00106090">
      <w:pPr>
        <w:pStyle w:val="NoSpacing"/>
        <w:numPr>
          <w:ilvl w:val="0"/>
          <w:numId w:val="4"/>
        </w:numPr>
        <w:jc w:val="both"/>
        <w:rPr>
          <w:sz w:val="20"/>
        </w:rPr>
      </w:pPr>
      <w:r w:rsidRPr="0034341F">
        <w:rPr>
          <w:sz w:val="20"/>
        </w:rPr>
        <w:t xml:space="preserve">Reading, writing, music, painting, </w:t>
      </w:r>
      <w:r w:rsidR="00D203CE" w:rsidRPr="0034341F">
        <w:rPr>
          <w:sz w:val="20"/>
        </w:rPr>
        <w:t>poetry.</w:t>
      </w:r>
    </w:p>
    <w:p w:rsidR="006A15EF" w:rsidRPr="00D203CE" w:rsidRDefault="006A15EF" w:rsidP="006A15EF">
      <w:pPr>
        <w:pStyle w:val="NoSpacing"/>
        <w:ind w:left="720"/>
        <w:jc w:val="both"/>
      </w:pPr>
    </w:p>
    <w:p w:rsidR="00506004" w:rsidRPr="00106090" w:rsidRDefault="00BC7A99" w:rsidP="006A15EF">
      <w:pPr>
        <w:pStyle w:val="Heading1"/>
        <w:spacing w:before="0"/>
        <w:rPr>
          <w:i/>
          <w:sz w:val="24"/>
          <w:u w:val="single"/>
        </w:rPr>
      </w:pPr>
      <w:r w:rsidRPr="00106090">
        <w:rPr>
          <w:i/>
          <w:sz w:val="24"/>
          <w:u w:val="single"/>
        </w:rPr>
        <w:t>Skills and attributes:</w:t>
      </w:r>
    </w:p>
    <w:p w:rsidR="00506004" w:rsidRPr="0034341F" w:rsidRDefault="00BC7A99" w:rsidP="006A15EF">
      <w:pPr>
        <w:pStyle w:val="NoSpacing"/>
        <w:numPr>
          <w:ilvl w:val="0"/>
          <w:numId w:val="12"/>
        </w:numPr>
        <w:jc w:val="both"/>
        <w:rPr>
          <w:sz w:val="20"/>
        </w:rPr>
      </w:pPr>
      <w:r w:rsidRPr="0034341F">
        <w:rPr>
          <w:sz w:val="20"/>
        </w:rPr>
        <w:t>Proficient in MS office applications e.g.</w:t>
      </w:r>
      <w:r w:rsidR="0034341F" w:rsidRPr="0034341F">
        <w:rPr>
          <w:sz w:val="20"/>
        </w:rPr>
        <w:t>( MS word, Power Point  , excel</w:t>
      </w:r>
      <w:r w:rsidRPr="0034341F">
        <w:rPr>
          <w:sz w:val="20"/>
        </w:rPr>
        <w:t>)</w:t>
      </w:r>
    </w:p>
    <w:p w:rsidR="006A15EF" w:rsidRPr="0034341F" w:rsidRDefault="006A15EF" w:rsidP="00106090">
      <w:pPr>
        <w:pStyle w:val="Heading1"/>
        <w:spacing w:before="0" w:line="240" w:lineRule="auto"/>
        <w:contextualSpacing/>
        <w:rPr>
          <w:sz w:val="24"/>
        </w:rPr>
      </w:pPr>
    </w:p>
    <w:p w:rsidR="00E51ECB" w:rsidRPr="0034341F" w:rsidRDefault="00E51ECB" w:rsidP="006A15EF">
      <w:pPr>
        <w:pStyle w:val="Heading1"/>
        <w:spacing w:before="0" w:line="240" w:lineRule="auto"/>
        <w:contextualSpacing/>
        <w:jc w:val="both"/>
        <w:rPr>
          <w:i/>
          <w:color w:val="1F497D" w:themeColor="text2"/>
          <w:u w:val="single"/>
        </w:rPr>
      </w:pPr>
      <w:r w:rsidRPr="0034341F">
        <w:rPr>
          <w:i/>
          <w:color w:val="1F497D" w:themeColor="text2"/>
          <w:sz w:val="24"/>
          <w:u w:val="single"/>
        </w:rPr>
        <w:t>Personal information:</w:t>
      </w:r>
    </w:p>
    <w:p w:rsidR="00E51ECB" w:rsidRPr="00D203CE" w:rsidRDefault="00E51ECB" w:rsidP="006A15EF">
      <w:pPr>
        <w:pStyle w:val="NoSpacing"/>
        <w:rPr>
          <w:rFonts w:asciiTheme="majorHAnsi" w:hAnsiTheme="majorHAnsi"/>
        </w:rPr>
      </w:pPr>
      <w:r w:rsidRPr="0034341F">
        <w:rPr>
          <w:b/>
        </w:rPr>
        <w:t>Father’s name:</w:t>
      </w:r>
      <w:r>
        <w:t xml:space="preserve">   </w:t>
      </w:r>
      <w:r w:rsidRPr="0034341F">
        <w:rPr>
          <w:rFonts w:asciiTheme="majorHAnsi" w:hAnsiTheme="majorHAnsi"/>
          <w:sz w:val="20"/>
        </w:rPr>
        <w:t xml:space="preserve">Muhammad Zafar </w:t>
      </w:r>
    </w:p>
    <w:p w:rsidR="00E51ECB" w:rsidRPr="00D203CE" w:rsidRDefault="00E51ECB" w:rsidP="006A15EF">
      <w:pPr>
        <w:pStyle w:val="NoSpacing"/>
        <w:rPr>
          <w:rFonts w:asciiTheme="majorHAnsi" w:hAnsiTheme="majorHAnsi"/>
        </w:rPr>
      </w:pPr>
      <w:r w:rsidRPr="0034341F">
        <w:rPr>
          <w:b/>
        </w:rPr>
        <w:t>Date of birth:</w:t>
      </w:r>
      <w:r>
        <w:t xml:space="preserve"> </w:t>
      </w:r>
      <w:r w:rsidRPr="0034341F">
        <w:rPr>
          <w:rFonts w:asciiTheme="majorHAnsi" w:hAnsiTheme="majorHAnsi"/>
          <w:sz w:val="20"/>
        </w:rPr>
        <w:t>August 26 1992</w:t>
      </w:r>
    </w:p>
    <w:p w:rsidR="00E51ECB" w:rsidRPr="00D203CE" w:rsidRDefault="00E51ECB" w:rsidP="006A15EF">
      <w:pPr>
        <w:pStyle w:val="NoSpacing"/>
        <w:rPr>
          <w:rFonts w:asciiTheme="majorHAnsi" w:hAnsiTheme="majorHAnsi"/>
        </w:rPr>
      </w:pPr>
      <w:r w:rsidRPr="0034341F">
        <w:rPr>
          <w:b/>
        </w:rPr>
        <w:t>Nationality:</w:t>
      </w:r>
      <w:r w:rsidR="006A15EF">
        <w:t xml:space="preserve"> </w:t>
      </w:r>
      <w:r w:rsidRPr="0034341F">
        <w:rPr>
          <w:rFonts w:asciiTheme="majorHAnsi" w:hAnsiTheme="majorHAnsi"/>
          <w:sz w:val="20"/>
        </w:rPr>
        <w:t xml:space="preserve">Pakistani </w:t>
      </w:r>
    </w:p>
    <w:p w:rsidR="00261BC4" w:rsidRPr="00D203CE" w:rsidRDefault="00E51ECB" w:rsidP="006A15EF">
      <w:pPr>
        <w:pStyle w:val="NoSpacing"/>
        <w:rPr>
          <w:rFonts w:asciiTheme="majorHAnsi" w:hAnsiTheme="majorHAnsi"/>
        </w:rPr>
      </w:pPr>
      <w:r w:rsidRPr="0034341F">
        <w:rPr>
          <w:b/>
        </w:rPr>
        <w:t>Religion:</w:t>
      </w:r>
      <w:r w:rsidR="006A15EF">
        <w:t xml:space="preserve"> </w:t>
      </w:r>
      <w:r w:rsidRPr="0034341F">
        <w:rPr>
          <w:rFonts w:asciiTheme="majorHAnsi" w:hAnsiTheme="majorHAnsi"/>
          <w:sz w:val="20"/>
        </w:rPr>
        <w:t>Islam</w:t>
      </w:r>
    </w:p>
    <w:p w:rsidR="00E51ECB" w:rsidRDefault="00E51ECB" w:rsidP="006A15EF">
      <w:pPr>
        <w:pStyle w:val="NoSpacing"/>
      </w:pPr>
      <w:r w:rsidRPr="0034341F">
        <w:rPr>
          <w:b/>
        </w:rPr>
        <w:t xml:space="preserve">CNIC </w:t>
      </w:r>
      <w:r w:rsidR="00D203CE" w:rsidRPr="0034341F">
        <w:rPr>
          <w:b/>
        </w:rPr>
        <w:t>No:</w:t>
      </w:r>
      <w:r w:rsidRPr="0034341F">
        <w:t xml:space="preserve">  </w:t>
      </w:r>
      <w:r w:rsidRPr="0034341F">
        <w:rPr>
          <w:rFonts w:asciiTheme="majorHAnsi" w:hAnsiTheme="majorHAnsi"/>
          <w:sz w:val="20"/>
        </w:rPr>
        <w:t xml:space="preserve">42101 - 4172666 </w:t>
      </w:r>
      <w:r w:rsidR="00C97BDD" w:rsidRPr="0034341F">
        <w:rPr>
          <w:rFonts w:asciiTheme="majorHAnsi" w:hAnsiTheme="majorHAnsi"/>
          <w:sz w:val="20"/>
        </w:rPr>
        <w:t>–</w:t>
      </w:r>
      <w:r w:rsidRPr="0034341F">
        <w:rPr>
          <w:rFonts w:asciiTheme="majorHAnsi" w:hAnsiTheme="majorHAnsi"/>
          <w:sz w:val="20"/>
        </w:rPr>
        <w:t xml:space="preserve"> 2</w:t>
      </w:r>
    </w:p>
    <w:p w:rsidR="00E51ECB" w:rsidRPr="00D203CE" w:rsidRDefault="00E51ECB" w:rsidP="006A15EF">
      <w:pPr>
        <w:pStyle w:val="NoSpacing"/>
        <w:rPr>
          <w:rFonts w:asciiTheme="majorHAnsi" w:hAnsiTheme="majorHAnsi"/>
        </w:rPr>
      </w:pPr>
      <w:r w:rsidRPr="0034341F">
        <w:rPr>
          <w:b/>
        </w:rPr>
        <w:t>Languages:</w:t>
      </w:r>
      <w:r w:rsidR="0034341F">
        <w:t xml:space="preserve"> </w:t>
      </w:r>
      <w:r w:rsidR="00D203CE" w:rsidRPr="0034341F">
        <w:rPr>
          <w:rFonts w:asciiTheme="majorHAnsi" w:hAnsiTheme="majorHAnsi"/>
          <w:sz w:val="20"/>
        </w:rPr>
        <w:t>English,</w:t>
      </w:r>
      <w:r w:rsidRPr="0034341F">
        <w:rPr>
          <w:rFonts w:asciiTheme="majorHAnsi" w:hAnsiTheme="majorHAnsi"/>
          <w:sz w:val="20"/>
        </w:rPr>
        <w:t xml:space="preserve"> Urdu </w:t>
      </w:r>
      <w:r w:rsidR="00D203CE" w:rsidRPr="0034341F">
        <w:rPr>
          <w:rFonts w:asciiTheme="majorHAnsi" w:hAnsiTheme="majorHAnsi"/>
          <w:sz w:val="20"/>
        </w:rPr>
        <w:t>(native)</w:t>
      </w:r>
      <w:r w:rsidRPr="0034341F">
        <w:rPr>
          <w:rFonts w:asciiTheme="majorHAnsi" w:hAnsiTheme="majorHAnsi"/>
          <w:sz w:val="20"/>
        </w:rPr>
        <w:t>, French (learning)</w:t>
      </w:r>
    </w:p>
    <w:p w:rsidR="0034341F" w:rsidRDefault="0034341F" w:rsidP="0034341F">
      <w:pPr>
        <w:pStyle w:val="Heading1"/>
        <w:spacing w:before="0" w:line="240" w:lineRule="auto"/>
        <w:contextualSpacing/>
        <w:jc w:val="both"/>
        <w:rPr>
          <w:i/>
          <w:color w:val="1F497D" w:themeColor="text2"/>
          <w:sz w:val="24"/>
          <w:u w:val="single"/>
        </w:rPr>
      </w:pPr>
    </w:p>
    <w:p w:rsidR="0034341F" w:rsidRPr="0034341F" w:rsidRDefault="0034341F" w:rsidP="0034341F">
      <w:pPr>
        <w:pStyle w:val="Heading1"/>
        <w:spacing w:before="0" w:line="240" w:lineRule="auto"/>
        <w:contextualSpacing/>
        <w:jc w:val="both"/>
        <w:rPr>
          <w:i/>
          <w:color w:val="1F497D" w:themeColor="text2"/>
          <w:u w:val="single"/>
        </w:rPr>
      </w:pPr>
      <w:r>
        <w:rPr>
          <w:i/>
          <w:color w:val="1F497D" w:themeColor="text2"/>
          <w:sz w:val="24"/>
          <w:u w:val="single"/>
        </w:rPr>
        <w:t>Reference</w:t>
      </w:r>
      <w:r w:rsidRPr="0034341F">
        <w:rPr>
          <w:i/>
          <w:color w:val="1F497D" w:themeColor="text2"/>
          <w:sz w:val="24"/>
          <w:u w:val="single"/>
        </w:rPr>
        <w:t>:</w:t>
      </w:r>
    </w:p>
    <w:p w:rsidR="00506004" w:rsidRPr="0034341F" w:rsidRDefault="0034341F">
      <w:pPr>
        <w:rPr>
          <w:rFonts w:asciiTheme="majorHAnsi" w:hAnsiTheme="majorHAnsi"/>
          <w:sz w:val="20"/>
        </w:rPr>
      </w:pPr>
      <w:r>
        <w:rPr>
          <w:rFonts w:asciiTheme="majorHAnsi" w:hAnsiTheme="majorHAnsi"/>
          <w:sz w:val="20"/>
        </w:rPr>
        <w:t>Reference w</w:t>
      </w:r>
      <w:r w:rsidRPr="0034341F">
        <w:rPr>
          <w:rFonts w:asciiTheme="majorHAnsi" w:hAnsiTheme="majorHAnsi"/>
          <w:sz w:val="20"/>
        </w:rPr>
        <w:t xml:space="preserve">ill </w:t>
      </w:r>
      <w:r>
        <w:rPr>
          <w:rFonts w:asciiTheme="majorHAnsi" w:hAnsiTheme="majorHAnsi"/>
          <w:sz w:val="20"/>
        </w:rPr>
        <w:t>b</w:t>
      </w:r>
      <w:r w:rsidRPr="0034341F">
        <w:rPr>
          <w:rFonts w:asciiTheme="majorHAnsi" w:hAnsiTheme="majorHAnsi"/>
          <w:sz w:val="20"/>
        </w:rPr>
        <w:t xml:space="preserve">e </w:t>
      </w:r>
      <w:r>
        <w:rPr>
          <w:rFonts w:asciiTheme="majorHAnsi" w:hAnsiTheme="majorHAnsi"/>
          <w:sz w:val="20"/>
        </w:rPr>
        <w:t>f</w:t>
      </w:r>
      <w:r w:rsidRPr="0034341F">
        <w:rPr>
          <w:rFonts w:asciiTheme="majorHAnsi" w:hAnsiTheme="majorHAnsi"/>
          <w:sz w:val="20"/>
        </w:rPr>
        <w:t xml:space="preserve">urnished </w:t>
      </w:r>
      <w:r>
        <w:rPr>
          <w:rFonts w:asciiTheme="majorHAnsi" w:hAnsiTheme="majorHAnsi"/>
          <w:sz w:val="20"/>
        </w:rPr>
        <w:t>o</w:t>
      </w:r>
      <w:r w:rsidRPr="0034341F">
        <w:rPr>
          <w:rFonts w:asciiTheme="majorHAnsi" w:hAnsiTheme="majorHAnsi"/>
          <w:sz w:val="20"/>
        </w:rPr>
        <w:t xml:space="preserve">n </w:t>
      </w:r>
      <w:r>
        <w:rPr>
          <w:rFonts w:asciiTheme="majorHAnsi" w:hAnsiTheme="majorHAnsi"/>
          <w:sz w:val="20"/>
        </w:rPr>
        <w:t>d</w:t>
      </w:r>
      <w:r w:rsidRPr="0034341F">
        <w:rPr>
          <w:rFonts w:asciiTheme="majorHAnsi" w:hAnsiTheme="majorHAnsi"/>
          <w:sz w:val="20"/>
        </w:rPr>
        <w:t>emand.</w:t>
      </w:r>
    </w:p>
    <w:sectPr w:rsidR="00506004" w:rsidRPr="003434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7EF4" w:rsidRDefault="006D7EF4" w:rsidP="00043B50">
      <w:pPr>
        <w:spacing w:after="0" w:line="240" w:lineRule="auto"/>
      </w:pPr>
      <w:r>
        <w:separator/>
      </w:r>
    </w:p>
  </w:endnote>
  <w:endnote w:type="continuationSeparator" w:id="0">
    <w:p w:rsidR="006D7EF4" w:rsidRDefault="006D7EF4" w:rsidP="0004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7EF4" w:rsidRDefault="006D7EF4" w:rsidP="00043B50">
      <w:pPr>
        <w:spacing w:after="0" w:line="240" w:lineRule="auto"/>
      </w:pPr>
      <w:r>
        <w:separator/>
      </w:r>
    </w:p>
  </w:footnote>
  <w:footnote w:type="continuationSeparator" w:id="0">
    <w:p w:rsidR="006D7EF4" w:rsidRDefault="006D7EF4" w:rsidP="00043B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3B4A0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21219D"/>
    <w:multiLevelType w:val="hybridMultilevel"/>
    <w:tmpl w:val="9DC28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4F412A"/>
    <w:multiLevelType w:val="hybridMultilevel"/>
    <w:tmpl w:val="CAF46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F11A66"/>
    <w:multiLevelType w:val="hybridMultilevel"/>
    <w:tmpl w:val="513A7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917B57"/>
    <w:multiLevelType w:val="hybridMultilevel"/>
    <w:tmpl w:val="EADED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580C33"/>
    <w:multiLevelType w:val="hybridMultilevel"/>
    <w:tmpl w:val="5A1C4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D64ACF"/>
    <w:multiLevelType w:val="hybridMultilevel"/>
    <w:tmpl w:val="B5F2AD2C"/>
    <w:lvl w:ilvl="0" w:tplc="F526547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0A6A4B"/>
    <w:multiLevelType w:val="hybridMultilevel"/>
    <w:tmpl w:val="34FC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385BE5"/>
    <w:multiLevelType w:val="hybridMultilevel"/>
    <w:tmpl w:val="58DEC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F17AC8"/>
    <w:multiLevelType w:val="hybridMultilevel"/>
    <w:tmpl w:val="E0B4E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9C094E"/>
    <w:multiLevelType w:val="hybridMultilevel"/>
    <w:tmpl w:val="4C105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7B0082"/>
    <w:multiLevelType w:val="hybridMultilevel"/>
    <w:tmpl w:val="7136A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6972B5"/>
    <w:multiLevelType w:val="hybridMultilevel"/>
    <w:tmpl w:val="CDD29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1"/>
  </w:num>
  <w:num w:numId="4">
    <w:abstractNumId w:val="4"/>
  </w:num>
  <w:num w:numId="5">
    <w:abstractNumId w:val="3"/>
  </w:num>
  <w:num w:numId="6">
    <w:abstractNumId w:val="1"/>
  </w:num>
  <w:num w:numId="7">
    <w:abstractNumId w:val="6"/>
  </w:num>
  <w:num w:numId="8">
    <w:abstractNumId w:val="8"/>
  </w:num>
  <w:num w:numId="9">
    <w:abstractNumId w:val="2"/>
  </w:num>
  <w:num w:numId="10">
    <w:abstractNumId w:val="5"/>
  </w:num>
  <w:num w:numId="11">
    <w:abstractNumId w:val="7"/>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004"/>
    <w:rsid w:val="00043B50"/>
    <w:rsid w:val="00106090"/>
    <w:rsid w:val="00151FCB"/>
    <w:rsid w:val="00261BC4"/>
    <w:rsid w:val="00270AA8"/>
    <w:rsid w:val="0034341F"/>
    <w:rsid w:val="004C0AAC"/>
    <w:rsid w:val="00506004"/>
    <w:rsid w:val="006A15EF"/>
    <w:rsid w:val="006B75D9"/>
    <w:rsid w:val="006D7EF4"/>
    <w:rsid w:val="00B06404"/>
    <w:rsid w:val="00BC7A99"/>
    <w:rsid w:val="00C97BDD"/>
    <w:rsid w:val="00CF5FD3"/>
    <w:rsid w:val="00D203CE"/>
    <w:rsid w:val="00D55357"/>
    <w:rsid w:val="00E51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sz w:val="28"/>
      <w:szCs w:val="28"/>
    </w:rPr>
  </w:style>
  <w:style w:type="paragraph" w:styleId="Heading2">
    <w:name w:val="heading 2"/>
    <w:basedOn w:val="Normal"/>
    <w:next w:val="Normal"/>
    <w:link w:val="Heading2Char"/>
    <w:uiPriority w:val="9"/>
    <w:qFormat/>
    <w:pPr>
      <w:keepNext/>
      <w:keepLines/>
      <w:spacing w:before="200" w:after="0"/>
      <w:outlineLvl w:val="1"/>
    </w:pPr>
    <w:rPr>
      <w:rFonts w:asciiTheme="majorHAnsi" w:eastAsiaTheme="majorEastAsia" w:hAnsiTheme="majorHAnsi" w:cstheme="majorBid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Theme="majorHAnsi" w:eastAsiaTheme="majorEastAsia" w:hAnsiTheme="majorHAnsi" w:cstheme="majorBidi"/>
      <w:color w:val="17365D"/>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sz w:val="28"/>
      <w:szCs w:val="28"/>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4F81BD"/>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spacing w:val="15"/>
      <w:sz w:val="24"/>
      <w:szCs w:val="24"/>
    </w:rPr>
  </w:style>
  <w:style w:type="character" w:styleId="Hyperlink">
    <w:name w:val="Hyperlink"/>
    <w:basedOn w:val="DefaultParagraphFont"/>
    <w:uiPriority w:val="99"/>
    <w:rPr>
      <w:color w:val="0000FF"/>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sz w:val="26"/>
      <w:szCs w:val="26"/>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04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B50"/>
  </w:style>
  <w:style w:type="paragraph" w:styleId="Footer">
    <w:name w:val="footer"/>
    <w:basedOn w:val="Normal"/>
    <w:link w:val="FooterChar"/>
    <w:uiPriority w:val="99"/>
    <w:unhideWhenUsed/>
    <w:rsid w:val="0004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B50"/>
  </w:style>
  <w:style w:type="table" w:styleId="TableGrid">
    <w:name w:val="Table Grid"/>
    <w:basedOn w:val="TableNormal"/>
    <w:uiPriority w:val="59"/>
    <w:rsid w:val="00043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06090"/>
    <w:pPr>
      <w:spacing w:after="0" w:line="240" w:lineRule="auto"/>
    </w:pPr>
  </w:style>
  <w:style w:type="character" w:styleId="SubtleEmphasis">
    <w:name w:val="Subtle Emphasis"/>
    <w:basedOn w:val="DefaultParagraphFont"/>
    <w:uiPriority w:val="19"/>
    <w:qFormat/>
    <w:rsid w:val="006A15EF"/>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sz w:val="28"/>
      <w:szCs w:val="28"/>
    </w:rPr>
  </w:style>
  <w:style w:type="paragraph" w:styleId="Heading2">
    <w:name w:val="heading 2"/>
    <w:basedOn w:val="Normal"/>
    <w:next w:val="Normal"/>
    <w:link w:val="Heading2Char"/>
    <w:uiPriority w:val="9"/>
    <w:qFormat/>
    <w:pPr>
      <w:keepNext/>
      <w:keepLines/>
      <w:spacing w:before="200" w:after="0"/>
      <w:outlineLvl w:val="1"/>
    </w:pPr>
    <w:rPr>
      <w:rFonts w:asciiTheme="majorHAnsi" w:eastAsiaTheme="majorEastAsia" w:hAnsiTheme="majorHAnsi" w:cstheme="majorBid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Theme="majorHAnsi" w:eastAsiaTheme="majorEastAsia" w:hAnsiTheme="majorHAnsi" w:cstheme="majorBidi"/>
      <w:color w:val="17365D"/>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sz w:val="28"/>
      <w:szCs w:val="28"/>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4F81BD"/>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spacing w:val="15"/>
      <w:sz w:val="24"/>
      <w:szCs w:val="24"/>
    </w:rPr>
  </w:style>
  <w:style w:type="character" w:styleId="Hyperlink">
    <w:name w:val="Hyperlink"/>
    <w:basedOn w:val="DefaultParagraphFont"/>
    <w:uiPriority w:val="99"/>
    <w:rPr>
      <w:color w:val="0000FF"/>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sz w:val="26"/>
      <w:szCs w:val="26"/>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04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B50"/>
  </w:style>
  <w:style w:type="paragraph" w:styleId="Footer">
    <w:name w:val="footer"/>
    <w:basedOn w:val="Normal"/>
    <w:link w:val="FooterChar"/>
    <w:uiPriority w:val="99"/>
    <w:unhideWhenUsed/>
    <w:rsid w:val="0004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B50"/>
  </w:style>
  <w:style w:type="table" w:styleId="TableGrid">
    <w:name w:val="Table Grid"/>
    <w:basedOn w:val="TableNormal"/>
    <w:uiPriority w:val="59"/>
    <w:rsid w:val="00043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06090"/>
    <w:pPr>
      <w:spacing w:after="0" w:line="240" w:lineRule="auto"/>
    </w:pPr>
  </w:style>
  <w:style w:type="character" w:styleId="SubtleEmphasis">
    <w:name w:val="Subtle Emphasis"/>
    <w:basedOn w:val="DefaultParagraphFont"/>
    <w:uiPriority w:val="19"/>
    <w:qFormat/>
    <w:rsid w:val="006A15EF"/>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farinazaffar@hot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Novartis</Company>
  <LinksUpToDate>false</LinksUpToDate>
  <CharactersWithSpaces>4336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Utrade</dc:creator>
  <cp:lastModifiedBy>Baig, Mirza Muzammil</cp:lastModifiedBy>
  <cp:revision>4</cp:revision>
  <dcterms:created xsi:type="dcterms:W3CDTF">2017-01-30T09:55:00Z</dcterms:created>
  <dcterms:modified xsi:type="dcterms:W3CDTF">2017-01-30T09:58:00Z</dcterms:modified>
</cp:coreProperties>
</file>