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1DF" w:rsidRDefault="00151CAB">
      <w:pPr>
        <w:pStyle w:val="2"/>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of Mini Project in Bioinformatics</w:t>
      </w:r>
    </w:p>
    <w:p w:rsidR="003E21DF" w:rsidRDefault="003E21DF">
      <w:pPr>
        <w:jc w:val="center"/>
        <w:rPr>
          <w:rFonts w:ascii="Times New Roman" w:eastAsia="Times New Roman" w:hAnsi="Times New Roman" w:cs="Times New Roman"/>
          <w:b/>
          <w:sz w:val="24"/>
          <w:szCs w:val="24"/>
        </w:rPr>
      </w:pPr>
    </w:p>
    <w:p w:rsidR="003E21DF" w:rsidRDefault="00151CA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rsidR="003E21DF" w:rsidRDefault="003E21DF">
      <w:pPr>
        <w:pBdr>
          <w:top w:val="nil"/>
          <w:left w:val="nil"/>
          <w:bottom w:val="nil"/>
          <w:right w:val="nil"/>
          <w:between w:val="nil"/>
        </w:pBdr>
        <w:jc w:val="both"/>
        <w:rPr>
          <w:rFonts w:ascii="Times New Roman" w:eastAsia="Times New Roman" w:hAnsi="Times New Roman" w:cs="Times New Roman"/>
          <w:sz w:val="24"/>
          <w:szCs w:val="24"/>
          <w:highlight w:val="white"/>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Next-generation sequencing (NGS) has made a significance change in science, particularly in biology and molecular biology. It is widely used in genetic, epigenetic and transcriptomic research.</w:t>
      </w: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NGS RNA-Sequencing (RNA-Seq) enables transcriptomic analys</w:t>
      </w:r>
      <w:r>
        <w:rPr>
          <w:rFonts w:ascii="Times New Roman" w:eastAsia="Times New Roman" w:hAnsi="Times New Roman" w:cs="Times New Roman"/>
          <w:sz w:val="24"/>
          <w:szCs w:val="24"/>
        </w:rPr>
        <w:t>is that enable quantifying the expression of the genes or other cellular molecules. Nowadays there are several commercial platforms available to perform RNA-Seq.</w:t>
      </w: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Studies based on RNA-Seq are usually published in two complementary databases of the NCBI: (a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 a database of abstracts and manuscripts in life sciences and biomedical topics, and (b) GEO - a public repository that archives high-throughput functional genomics data submitted by the research community.</w:t>
      </w:r>
    </w:p>
    <w:p w:rsidR="003E21DF" w:rsidRDefault="00151CAB">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sz w:val="24"/>
          <w:szCs w:val="24"/>
        </w:rPr>
        <w:t>In order to complete the picture of dat</w:t>
      </w:r>
      <w:r>
        <w:rPr>
          <w:rFonts w:ascii="Times New Roman" w:eastAsia="Times New Roman" w:hAnsi="Times New Roman" w:cs="Times New Roman"/>
          <w:sz w:val="24"/>
          <w:szCs w:val="24"/>
        </w:rPr>
        <w:t xml:space="preserve">a related to RNA-Seq, SRA was searched as an additional database. </w:t>
      </w:r>
      <w:r>
        <w:t>The SRA stores raw sequencing data and alignment information from high-throughput sequencing platforms.</w:t>
      </w: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used database analysis tools and text mining in order to analyze the</w:t>
      </w:r>
      <w:r>
        <w:rPr>
          <w:rFonts w:ascii="Times New Roman" w:eastAsia="Times New Roman" w:hAnsi="Times New Roman" w:cs="Times New Roman"/>
          <w:sz w:val="24"/>
          <w:szCs w:val="24"/>
        </w:rPr>
        <w:t xml:space="preserve"> trends in recent years in transcriptome studies, specifically RNA-seq. We focused on different transcriptomic approaches, on diseases studied using RNA-Seq and on molecules sequenced in this technology.  </w:t>
      </w: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may give a foresight of how RNA-Seq wi</w:t>
      </w:r>
      <w:r>
        <w:rPr>
          <w:rFonts w:ascii="Times New Roman" w:eastAsia="Times New Roman" w:hAnsi="Times New Roman" w:cs="Times New Roman"/>
          <w:sz w:val="24"/>
          <w:szCs w:val="24"/>
        </w:rPr>
        <w:t>ll be used in clinical and scientific researches in the coming years.</w:t>
      </w:r>
    </w:p>
    <w:p w:rsidR="003E21DF" w:rsidRDefault="003E21DF">
      <w:pPr>
        <w:rPr>
          <w:rFonts w:ascii="Times New Roman" w:eastAsia="Times New Roman" w:hAnsi="Times New Roman" w:cs="Times New Roman"/>
          <w:sz w:val="24"/>
          <w:szCs w:val="24"/>
        </w:rPr>
      </w:pPr>
    </w:p>
    <w:p w:rsidR="003E21DF" w:rsidRDefault="003E21DF">
      <w:pPr>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Methods: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scanned the GEO and the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databases for manuscripts/studies conducted in the last decade (2010-2018).</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GEO was scanned for the types of experiments. All the GE</w:t>
      </w:r>
      <w:r>
        <w:rPr>
          <w:rFonts w:ascii="Times New Roman" w:eastAsia="Times New Roman" w:hAnsi="Times New Roman" w:cs="Times New Roman"/>
          <w:sz w:val="24"/>
          <w:szCs w:val="24"/>
        </w:rPr>
        <w:t>O entries were downloaded manually and then text mined in order to search for different keywords. We focused on the ‘Experiment Type’ field in each GEO entry. The number of GEO entries was calculated using each category. Subcategories were merged into high</w:t>
      </w:r>
      <w:r>
        <w:rPr>
          <w:rFonts w:ascii="Times New Roman" w:eastAsia="Times New Roman" w:hAnsi="Times New Roman" w:cs="Times New Roman"/>
          <w:sz w:val="24"/>
          <w:szCs w:val="24"/>
        </w:rPr>
        <w:t>er-class categories. A similar analysis was performed for the different platforms used in the studies.</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Searching SRA might give data that is more reliable than the data of GEO since all the data related to high throughput sequencing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submitted to </w:t>
      </w:r>
      <w:r>
        <w:rPr>
          <w:rFonts w:ascii="Times New Roman" w:eastAsia="Times New Roman" w:hAnsi="Times New Roman" w:cs="Times New Roman"/>
          <w:sz w:val="24"/>
          <w:szCs w:val="24"/>
        </w:rPr>
        <w:t>SRA and only some of it is uploaded to GEO, according to its submission processes.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was searched in two different ways: (a) We used the R package </w:t>
      </w:r>
      <w:proofErr w:type="spellStart"/>
      <w:r>
        <w:rPr>
          <w:rFonts w:ascii="Times New Roman" w:eastAsia="Times New Roman" w:hAnsi="Times New Roman" w:cs="Times New Roman"/>
          <w:sz w:val="24"/>
          <w:szCs w:val="24"/>
        </w:rPr>
        <w:t>RISmed</w:t>
      </w:r>
      <w:proofErr w:type="spellEnd"/>
      <w:r>
        <w:rPr>
          <w:rFonts w:ascii="Times New Roman" w:eastAsia="Times New Roman" w:hAnsi="Times New Roman" w:cs="Times New Roman"/>
          <w:sz w:val="24"/>
          <w:szCs w:val="24"/>
        </w:rPr>
        <w:t xml:space="preserve"> to contact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and download relevant abstracts in order to search for keywords, and (b) we created specific queries in our code using the R package </w:t>
      </w:r>
      <w:proofErr w:type="spellStart"/>
      <w:r>
        <w:rPr>
          <w:rFonts w:ascii="Times New Roman" w:eastAsia="Times New Roman" w:hAnsi="Times New Roman" w:cs="Times New Roman"/>
          <w:sz w:val="24"/>
          <w:szCs w:val="24"/>
        </w:rPr>
        <w:t>rentrez</w:t>
      </w:r>
      <w:proofErr w:type="spellEnd"/>
      <w:r>
        <w:rPr>
          <w:rFonts w:ascii="Times New Roman" w:eastAsia="Times New Roman" w:hAnsi="Times New Roman" w:cs="Times New Roman"/>
          <w:sz w:val="24"/>
          <w:szCs w:val="24"/>
        </w:rPr>
        <w:t>, send them to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and directly got the number of the relevant abstracts.</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looked at abstracts of RNA-seq related to: </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diseases - PubMed was searched for RNA-seq manuscripts containing words associated with 18 different disease categories. For the different di</w:t>
      </w:r>
      <w:r>
        <w:rPr>
          <w:rFonts w:ascii="Times New Roman" w:eastAsia="Times New Roman" w:hAnsi="Times New Roman" w:cs="Times New Roman"/>
          <w:sz w:val="24"/>
          <w:szCs w:val="24"/>
        </w:rPr>
        <w:t xml:space="preserve">seases, we used the </w:t>
      </w:r>
      <w:proofErr w:type="spellStart"/>
      <w:r>
        <w:rPr>
          <w:rFonts w:ascii="Times New Roman" w:eastAsia="Times New Roman" w:hAnsi="Times New Roman" w:cs="Times New Roman"/>
          <w:sz w:val="24"/>
          <w:szCs w:val="24"/>
        </w:rPr>
        <w:t>mineR</w:t>
      </w:r>
      <w:proofErr w:type="spellEnd"/>
      <w:r>
        <w:rPr>
          <w:rFonts w:ascii="Times New Roman" w:eastAsia="Times New Roman" w:hAnsi="Times New Roman" w:cs="Times New Roman"/>
          <w:sz w:val="24"/>
          <w:szCs w:val="24"/>
        </w:rPr>
        <w:t xml:space="preserve"> package to extract the diseases and their associated words using text mining. The results were then manually filtered. The regression lines in the illustrating plot were added using the </w:t>
      </w:r>
      <w:proofErr w:type="spellStart"/>
      <w:r>
        <w:rPr>
          <w:rFonts w:ascii="Times New Roman" w:eastAsia="Times New Roman" w:hAnsi="Times New Roman" w:cs="Times New Roman"/>
          <w:i/>
          <w:sz w:val="24"/>
          <w:szCs w:val="24"/>
        </w:rPr>
        <w:t>lm</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function. Univariate regression models we</w:t>
      </w:r>
      <w:r>
        <w:rPr>
          <w:rFonts w:ascii="Times New Roman" w:eastAsia="Times New Roman" w:hAnsi="Times New Roman" w:cs="Times New Roman"/>
          <w:sz w:val="24"/>
          <w:szCs w:val="24"/>
        </w:rPr>
        <w:t>re fitted to the number of diseases studied using RNA-Seq (using the year as the independent variable).</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cancer types - The cancer types were classified by the type of cell that the tumor cells originated from. We extracted all cancer and RNA-Seq rela</w:t>
      </w:r>
      <w:r>
        <w:rPr>
          <w:rFonts w:ascii="Times New Roman" w:eastAsia="Times New Roman" w:hAnsi="Times New Roman" w:cs="Times New Roman"/>
          <w:sz w:val="24"/>
          <w:szCs w:val="24"/>
        </w:rPr>
        <w:t>ted abstracts and searched for the cancer types or the organs in which each cancer type mostly occurs.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cancers in different locations of the body - The division of body systems/locations into categories was made based on </w:t>
      </w:r>
      <w:hyperlink r:id="rId7">
        <w:r>
          <w:rPr>
            <w:rFonts w:ascii="Times New Roman" w:eastAsia="Times New Roman" w:hAnsi="Times New Roman" w:cs="Times New Roman"/>
            <w:color w:val="0000FF"/>
            <w:sz w:val="24"/>
            <w:szCs w:val="24"/>
            <w:u w:val="single"/>
          </w:rPr>
          <w:t>https://www.cancer.gov/types/by-body-location</w:t>
        </w:r>
      </w:hyperlink>
      <w:r>
        <w:rPr>
          <w:rFonts w:ascii="Times New Roman" w:eastAsia="Times New Roman" w:hAnsi="Times New Roman" w:cs="Times New Roman"/>
          <w:sz w:val="24"/>
          <w:szCs w:val="24"/>
        </w:rPr>
        <w:t xml:space="preserve">. For each category, we created a query based on all the subcategories, namely all the cancers related to a </w:t>
      </w:r>
      <w:proofErr w:type="gramStart"/>
      <w:r>
        <w:rPr>
          <w:rFonts w:ascii="Times New Roman" w:eastAsia="Times New Roman" w:hAnsi="Times New Roman" w:cs="Times New Roman"/>
          <w:sz w:val="24"/>
          <w:szCs w:val="24"/>
        </w:rPr>
        <w:t>particular system/location</w:t>
      </w:r>
      <w:proofErr w:type="gramEnd"/>
      <w:r>
        <w:rPr>
          <w:rFonts w:ascii="Times New Roman" w:eastAsia="Times New Roman" w:hAnsi="Times New Roman" w:cs="Times New Roman"/>
          <w:sz w:val="24"/>
          <w:szCs w:val="24"/>
        </w:rPr>
        <w:t xml:space="preserve">. We send the </w:t>
      </w:r>
      <w:r>
        <w:rPr>
          <w:rFonts w:ascii="Times New Roman" w:eastAsia="Times New Roman" w:hAnsi="Times New Roman" w:cs="Times New Roman"/>
          <w:sz w:val="24"/>
          <w:szCs w:val="24"/>
        </w:rPr>
        <w:t xml:space="preserve">query to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and counted the number of the relevant abstracts.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Cancers in population vs. in research - The percentages of each cancer type in the population was compared </w:t>
      </w:r>
      <w:proofErr w:type="gramStart"/>
      <w:r>
        <w:rPr>
          <w:rFonts w:ascii="Times New Roman" w:eastAsia="Times New Roman" w:hAnsi="Times New Roman" w:cs="Times New Roman"/>
          <w:sz w:val="24"/>
          <w:szCs w:val="24"/>
        </w:rPr>
        <w:t>to  the</w:t>
      </w:r>
      <w:proofErr w:type="gramEnd"/>
      <w:r>
        <w:rPr>
          <w:rFonts w:ascii="Times New Roman" w:eastAsia="Times New Roman" w:hAnsi="Times New Roman" w:cs="Times New Roman"/>
          <w:sz w:val="24"/>
          <w:szCs w:val="24"/>
        </w:rPr>
        <w:t xml:space="preserve"> percentages of abstracts discussing RNA-Seq and the same cancer type.</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non-coding RNA </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The relations between diseases and non-coding RNA were examined. For each non-coding </w:t>
      </w:r>
      <w:proofErr w:type="gramStart"/>
      <w:r>
        <w:rPr>
          <w:rFonts w:ascii="Times New Roman" w:eastAsia="Times New Roman" w:hAnsi="Times New Roman" w:cs="Times New Roman"/>
          <w:sz w:val="24"/>
          <w:szCs w:val="24"/>
        </w:rPr>
        <w:t>RNA</w:t>
      </w:r>
      <w:proofErr w:type="gramEnd"/>
      <w:r>
        <w:rPr>
          <w:rFonts w:ascii="Times New Roman" w:eastAsia="Times New Roman" w:hAnsi="Times New Roman" w:cs="Times New Roman"/>
          <w:sz w:val="24"/>
          <w:szCs w:val="24"/>
        </w:rPr>
        <w:t xml:space="preserve"> we searched which diseases are most studied in the context of this specific molecule and vice versa.  Chi-square test was used for goodness</w:t>
      </w:r>
      <w:r>
        <w:rPr>
          <w:rFonts w:ascii="Times New Roman" w:eastAsia="Times New Roman" w:hAnsi="Times New Roman" w:cs="Times New Roman"/>
          <w:sz w:val="24"/>
          <w:szCs w:val="24"/>
        </w:rPr>
        <w:t xml:space="preserve"> of fit in order to compare the expected distribution of molecules related to diseases to the observed distribution. P</w:t>
      </w:r>
      <w:r>
        <w:rPr>
          <w:rFonts w:ascii="Times New Roman" w:eastAsia="Times New Roman" w:hAnsi="Times New Roman" w:cs="Times New Roman"/>
          <w:sz w:val="24"/>
          <w:szCs w:val="24"/>
          <w:highlight w:val="white"/>
        </w:rPr>
        <w:t>-value was computed by Monte Carlo simulation</w:t>
      </w:r>
      <w:r>
        <w:rPr>
          <w:rFonts w:ascii="Times New Roman" w:eastAsia="Times New Roman" w:hAnsi="Times New Roman" w:cs="Times New Roman"/>
          <w:sz w:val="24"/>
          <w:szCs w:val="24"/>
        </w:rPr>
        <w:t>.</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(vii) Additional uses and subcategories of RNA-Seq.</w:t>
      </w: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keyword selection for the queri</w:t>
      </w:r>
      <w:r>
        <w:rPr>
          <w:rFonts w:ascii="Times New Roman" w:eastAsia="Times New Roman" w:hAnsi="Times New Roman" w:cs="Times New Roman"/>
          <w:sz w:val="24"/>
          <w:szCs w:val="24"/>
        </w:rPr>
        <w:t xml:space="preserve">es was fine-tuned manually. </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retrieval and statistical analyses were performed in R version 3.5.3. Graphs were created using the ggplot2 R package.</w:t>
      </w: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Results:</w:t>
      </w:r>
    </w:p>
    <w:p w:rsidR="003E21DF" w:rsidRDefault="003E21DF">
      <w:pPr>
        <w:jc w:val="both"/>
        <w:rPr>
          <w:rFonts w:ascii="Times New Roman" w:eastAsia="Times New Roman" w:hAnsi="Times New Roman" w:cs="Times New Roman"/>
          <w:b/>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was a dramatic increase in the number of papers published in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in the years </w:t>
      </w:r>
      <w:r>
        <w:rPr>
          <w:rFonts w:ascii="Times New Roman" w:eastAsia="Times New Roman" w:hAnsi="Times New Roman" w:cs="Times New Roman"/>
          <w:sz w:val="24"/>
          <w:szCs w:val="24"/>
        </w:rPr>
        <w:t xml:space="preserve">2010-2018 (Fig. 1a). However, the increase in the number of RNA-Seq papers published in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in these years was even higher (Fig. 1b). This is in accord with the significant increase in GEO entries of expression profiling (4615 in 2010 to 10664 in 2018, </w:t>
      </w:r>
      <w:r>
        <w:rPr>
          <w:rFonts w:ascii="Times New Roman" w:eastAsia="Times New Roman" w:hAnsi="Times New Roman" w:cs="Times New Roman"/>
          <w:sz w:val="24"/>
          <w:szCs w:val="24"/>
        </w:rPr>
        <w:t xml:space="preserve">Fig. 1c), and rise in entries sourced in RNA uploaded to </w:t>
      </w:r>
      <w:proofErr w:type="gramStart"/>
      <w:r>
        <w:rPr>
          <w:rFonts w:ascii="Times New Roman" w:eastAsia="Times New Roman" w:hAnsi="Times New Roman" w:cs="Times New Roman"/>
          <w:sz w:val="24"/>
          <w:szCs w:val="24"/>
        </w:rPr>
        <w:t>SRA(</w:t>
      </w:r>
      <w:proofErr w:type="gramEnd"/>
      <w:r>
        <w:rPr>
          <w:rFonts w:ascii="Times New Roman" w:eastAsia="Times New Roman" w:hAnsi="Times New Roman" w:cs="Times New Roman"/>
          <w:sz w:val="24"/>
          <w:szCs w:val="24"/>
        </w:rPr>
        <w:t>Fig. 1d and 1c)..</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78544" cy="2147888"/>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778544" cy="21478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765124" cy="213836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765124" cy="2138363"/>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1a</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Figure 1b</w:t>
      </w:r>
    </w:p>
    <w:p w:rsidR="003E21DF" w:rsidRDefault="003E21DF">
      <w:pPr>
        <w:jc w:val="both"/>
        <w:rPr>
          <w:rFonts w:ascii="Times New Roman" w:eastAsia="Times New Roman" w:hAnsi="Times New Roman" w:cs="Times New Roman"/>
          <w:i/>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32716" cy="31880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032716" cy="3188068"/>
                    </a:xfrm>
                    <a:prstGeom prst="rect">
                      <a:avLst/>
                    </a:prstGeom>
                    <a:ln/>
                  </pic:spPr>
                </pic:pic>
              </a:graphicData>
            </a:graphic>
          </wp:inline>
        </w:drawing>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i/>
        </w:rPr>
        <w:t xml:space="preserve">Figure 1c </w:t>
      </w:r>
      <w:proofErr w:type="gramStart"/>
      <w:r>
        <w:rPr>
          <w:rFonts w:ascii="Times New Roman" w:eastAsia="Times New Roman" w:hAnsi="Times New Roman" w:cs="Times New Roman"/>
        </w:rPr>
        <w:t>As</w:t>
      </w:r>
      <w:proofErr w:type="gramEnd"/>
      <w:r>
        <w:rPr>
          <w:rFonts w:ascii="Times New Roman" w:eastAsia="Times New Roman" w:hAnsi="Times New Roman" w:cs="Times New Roman"/>
        </w:rPr>
        <w:t xml:space="preserve"> mentioned above, this may not fully reflect the real picture of all published experiments, hence for example the SNP genotyping experiments are mostly updated to SRA and not to GEO. </w:t>
      </w:r>
      <w:proofErr w:type="gramStart"/>
      <w:r>
        <w:rPr>
          <w:rFonts w:ascii="Times New Roman" w:eastAsia="Times New Roman" w:hAnsi="Times New Roman" w:cs="Times New Roman"/>
        </w:rPr>
        <w:t>But yet</w:t>
      </w:r>
      <w:proofErr w:type="gramEnd"/>
      <w:r>
        <w:rPr>
          <w:rFonts w:ascii="Times New Roman" w:eastAsia="Times New Roman" w:hAnsi="Times New Roman" w:cs="Times New Roman"/>
        </w:rPr>
        <w:t xml:space="preserve"> it shows the rise of expression profiling.</w:t>
      </w:r>
    </w:p>
    <w:p w:rsidR="003E21DF" w:rsidRDefault="003E21DF">
      <w:pPr>
        <w:jc w:val="both"/>
        <w:rPr>
          <w:rFonts w:ascii="Times New Roman" w:eastAsia="Times New Roman" w:hAnsi="Times New Roman" w:cs="Times New Roman"/>
          <w:i/>
        </w:rPr>
      </w:pP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1d</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rPr>
        <w:t>Figure 1e</w:t>
      </w:r>
      <w:r>
        <w:rPr>
          <w:noProof/>
        </w:rPr>
        <w:drawing>
          <wp:anchor distT="114300" distB="114300" distL="114300" distR="114300" simplePos="0" relativeHeight="251658240" behindDoc="0" locked="0" layoutInCell="1" hidden="0" allowOverlap="1">
            <wp:simplePos x="0" y="0"/>
            <wp:positionH relativeFrom="column">
              <wp:posOffset>3124200</wp:posOffset>
            </wp:positionH>
            <wp:positionV relativeFrom="paragraph">
              <wp:posOffset>114300</wp:posOffset>
            </wp:positionV>
            <wp:extent cx="2505075" cy="1924050"/>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2505075" cy="1924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76201</wp:posOffset>
            </wp:positionH>
            <wp:positionV relativeFrom="paragraph">
              <wp:posOffset>114300</wp:posOffset>
            </wp:positionV>
            <wp:extent cx="2505075" cy="1948392"/>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505075" cy="1948392"/>
                    </a:xfrm>
                    <a:prstGeom prst="rect">
                      <a:avLst/>
                    </a:prstGeom>
                    <a:ln/>
                  </pic:spPr>
                </pic:pic>
              </a:graphicData>
            </a:graphic>
          </wp:anchor>
        </w:drawing>
      </w: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the types of expression profiling reveals that throughout the last decade, high throughput sequencing has significantly increased while the use of arrays has decreases,</w:t>
      </w:r>
      <w:r>
        <w:rPr>
          <w:rFonts w:ascii="Times New Roman" w:eastAsia="Times New Roman" w:hAnsi="Times New Roman" w:cs="Times New Roman"/>
          <w:sz w:val="24"/>
          <w:szCs w:val="24"/>
        </w:rPr>
        <w:t xml:space="preserve"> but still play a significant role (Fig 2a). Focusing on the different array platforms reveals a gradual decrease in the use of Affymetrix© since 2013 and sharp decrease in non-commercial arrays (Fig 2b).</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19298" cy="35671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19298" cy="3567113"/>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2a</w:t>
      </w:r>
    </w:p>
    <w:p w:rsidR="003E21DF" w:rsidRDefault="003E21DF">
      <w:pPr>
        <w:bidi/>
        <w:jc w:val="both"/>
        <w:rPr>
          <w:rFonts w:ascii="Times New Roman" w:eastAsia="Times New Roman" w:hAnsi="Times New Roman" w:cs="Times New Roman"/>
          <w:sz w:val="24"/>
          <w:szCs w:val="24"/>
        </w:rPr>
      </w:pPr>
    </w:p>
    <w:p w:rsidR="003E21DF" w:rsidRDefault="003E21DF">
      <w:pPr>
        <w:bidi/>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81132" cy="32908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281132" cy="3290888"/>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2b</w:t>
      </w:r>
    </w:p>
    <w:p w:rsidR="003E21DF" w:rsidRDefault="003E21DF">
      <w:pPr>
        <w:jc w:val="both"/>
        <w:rPr>
          <w:rFonts w:ascii="Times New Roman" w:eastAsia="Times New Roman" w:hAnsi="Times New Roman" w:cs="Times New Roman"/>
          <w:sz w:val="24"/>
          <w:szCs w:val="24"/>
          <w:u w:val="single"/>
        </w:rPr>
      </w:pPr>
    </w:p>
    <w:p w:rsidR="003E21DF" w:rsidRDefault="003E21DF">
      <w:pPr>
        <w:jc w:val="both"/>
        <w:rPr>
          <w:rFonts w:ascii="Times New Roman" w:eastAsia="Times New Roman" w:hAnsi="Times New Roman" w:cs="Times New Roman"/>
          <w:sz w:val="24"/>
          <w:szCs w:val="24"/>
          <w:u w:val="single"/>
        </w:rPr>
      </w:pPr>
    </w:p>
    <w:p w:rsidR="003E21DF" w:rsidRDefault="00151CA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Diseases and cancers s</w:t>
      </w:r>
      <w:r>
        <w:rPr>
          <w:rFonts w:ascii="Times New Roman" w:eastAsia="Times New Roman" w:hAnsi="Times New Roman" w:cs="Times New Roman"/>
          <w:sz w:val="24"/>
          <w:szCs w:val="24"/>
          <w:u w:val="single"/>
        </w:rPr>
        <w:t>tudied by RNA-Seq</w:t>
      </w:r>
    </w:p>
    <w:p w:rsidR="003E21DF" w:rsidRDefault="003E21DF">
      <w:pPr>
        <w:jc w:val="both"/>
        <w:rPr>
          <w:rFonts w:ascii="Times New Roman" w:eastAsia="Times New Roman" w:hAnsi="Times New Roman" w:cs="Times New Roman"/>
          <w:sz w:val="24"/>
          <w:szCs w:val="24"/>
          <w:u w:val="single"/>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RNA-Seq has become highly popular in scientific and clinical research. It has become a major tool in the research of a variety of diseases, mostly genetic diseases, cancers, brain diseases and bacterial induced diseases (Fig 3a). Additio</w:t>
      </w:r>
      <w:r>
        <w:rPr>
          <w:rFonts w:ascii="Times New Roman" w:eastAsia="Times New Roman" w:hAnsi="Times New Roman" w:cs="Times New Roman"/>
          <w:sz w:val="24"/>
          <w:szCs w:val="24"/>
        </w:rPr>
        <w:t xml:space="preserve">nally, after combining some of the disease classifications (e.g. ‘Cardiac’ and ‘Lungs’ into ‘Cardio-Respiratory’ group), the order of magnitude almost hasn't changed - the Genetic, Bacterial and Cancer diseases are still the most studied in RNA sequencing </w:t>
      </w:r>
      <w:r>
        <w:rPr>
          <w:rFonts w:ascii="Times New Roman" w:eastAsia="Times New Roman" w:hAnsi="Times New Roman" w:cs="Times New Roman"/>
          <w:sz w:val="24"/>
          <w:szCs w:val="24"/>
        </w:rPr>
        <w:t>(Fig 3b).</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Quantifying the dependencies between number of publications of diseases based on RNA-Seq and the year revealed high betas (Fig 3c).</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Focusing on the different types of cancers and body systems reveals that most of the cancer publications based on </w:t>
      </w:r>
      <w:r>
        <w:rPr>
          <w:rFonts w:ascii="Times New Roman" w:eastAsia="Times New Roman" w:hAnsi="Times New Roman" w:cs="Times New Roman"/>
          <w:sz w:val="24"/>
          <w:szCs w:val="24"/>
        </w:rPr>
        <w:t>RNA-Seq are of carcinomas, which is the most common type of cancer in human (Fig 3d) .The most studied cancered organ (by RNA-Seq) is the breast (Fig 3e).</w:t>
      </w: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45230" cy="350043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545230" cy="3500438"/>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3a</w:t>
      </w:r>
    </w:p>
    <w:p w:rsidR="003E21DF" w:rsidRDefault="003E21DF">
      <w:pPr>
        <w:jc w:val="both"/>
        <w:rPr>
          <w:rFonts w:ascii="Times New Roman" w:eastAsia="Times New Roman" w:hAnsi="Times New Roman" w:cs="Times New Roman"/>
          <w:i/>
        </w:rPr>
      </w:pP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4491038" cy="346480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491038" cy="3464805"/>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3b</w:t>
      </w:r>
    </w:p>
    <w:p w:rsidR="003E21DF" w:rsidRDefault="003E21DF">
      <w:pPr>
        <w:jc w:val="both"/>
        <w:rPr>
          <w:rFonts w:ascii="Times New Roman" w:eastAsia="Times New Roman" w:hAnsi="Times New Roman" w:cs="Times New Roman"/>
          <w:sz w:val="24"/>
          <w:szCs w:val="24"/>
          <w:u w:val="single"/>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54486" cy="3357563"/>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354486" cy="3357563"/>
                    </a:xfrm>
                    <a:prstGeom prst="rect">
                      <a:avLst/>
                    </a:prstGeom>
                    <a:ln/>
                  </pic:spPr>
                </pic:pic>
              </a:graphicData>
            </a:graphic>
          </wp:inline>
        </w:drawing>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i/>
        </w:rPr>
        <w:t xml:space="preserve">Figure 3c: </w:t>
      </w:r>
      <w:r>
        <w:rPr>
          <w:rFonts w:ascii="Times New Roman" w:eastAsia="Times New Roman" w:hAnsi="Times New Roman" w:cs="Times New Roman"/>
          <w:sz w:val="24"/>
          <w:szCs w:val="24"/>
        </w:rPr>
        <w:t>R-squared for each category</w:t>
      </w:r>
      <w:r>
        <w:rPr>
          <w:rFonts w:ascii="Times New Roman" w:eastAsia="Times New Roman" w:hAnsi="Times New Roman" w:cs="Times New Roman"/>
          <w:sz w:val="24"/>
          <w:szCs w:val="24"/>
          <w:shd w:val="clear" w:color="auto" w:fill="F1F3F4"/>
        </w:rPr>
        <w:t xml:space="preserve"> </w:t>
      </w:r>
      <w:r>
        <w:rPr>
          <w:rFonts w:ascii="Times New Roman" w:eastAsia="Times New Roman" w:hAnsi="Times New Roman" w:cs="Times New Roman"/>
          <w:sz w:val="24"/>
          <w:szCs w:val="24"/>
        </w:rPr>
        <w:t>of disease: Cancer – 0.9247, Genetic Diseases – 0.9789, Brain Diseases – 0.9265, Bacterial Induced Diseases – 0.9811, Hematological Diseases – 0.9291, Immune Diseases – 0.8753.</w:t>
      </w:r>
    </w:p>
    <w:p w:rsidR="003E21DF" w:rsidRDefault="003E21DF">
      <w:pPr>
        <w:jc w:val="both"/>
        <w:rPr>
          <w:rFonts w:ascii="Times New Roman" w:eastAsia="Times New Roman" w:hAnsi="Times New Roman" w:cs="Times New Roman"/>
          <w:sz w:val="24"/>
          <w:szCs w:val="24"/>
          <w:highlight w:val="yellow"/>
        </w:rPr>
      </w:pP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extent cx="4945397" cy="289083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945397" cy="2890838"/>
                    </a:xfrm>
                    <a:prstGeom prst="rect">
                      <a:avLst/>
                    </a:prstGeom>
                    <a:ln/>
                  </pic:spPr>
                </pic:pic>
              </a:graphicData>
            </a:graphic>
          </wp:inline>
        </w:drawing>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i/>
        </w:rPr>
        <w:t>Figure 3d</w:t>
      </w: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sz w:val="24"/>
          <w:szCs w:val="24"/>
        </w:rPr>
      </w:pPr>
    </w:p>
    <w:p w:rsidR="003E21DF" w:rsidRDefault="003E21DF">
      <w:pPr>
        <w:jc w:val="both"/>
        <w:rPr>
          <w:rFonts w:ascii="Times New Roman" w:eastAsia="Times New Roman" w:hAnsi="Times New Roman" w:cs="Times New Roman"/>
        </w:rPr>
      </w:pPr>
    </w:p>
    <w:p w:rsidR="003E21DF" w:rsidRDefault="003E21DF">
      <w:pPr>
        <w:jc w:val="both"/>
        <w:rPr>
          <w:rFonts w:ascii="Times New Roman" w:eastAsia="Times New Roman" w:hAnsi="Times New Roman" w:cs="Times New Roman"/>
        </w:rPr>
      </w:pPr>
    </w:p>
    <w:p w:rsidR="003E21DF" w:rsidRDefault="00151CAB">
      <w:pPr>
        <w:jc w:val="both"/>
        <w:rPr>
          <w:rFonts w:ascii="Times New Roman" w:eastAsia="Times New Roman" w:hAnsi="Times New Roman" w:cs="Times New Roman"/>
        </w:rPr>
      </w:pPr>
      <w:r>
        <w:rPr>
          <w:rFonts w:ascii="Times New Roman" w:eastAsia="Times New Roman" w:hAnsi="Times New Roman" w:cs="Times New Roman"/>
          <w:noProof/>
          <w:sz w:val="24"/>
          <w:szCs w:val="24"/>
        </w:rPr>
        <w:drawing>
          <wp:inline distT="114300" distB="114300" distL="114300" distR="114300">
            <wp:extent cx="5254722" cy="304323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254722" cy="3043238"/>
                    </a:xfrm>
                    <a:prstGeom prst="rect">
                      <a:avLst/>
                    </a:prstGeom>
                    <a:ln/>
                  </pic:spPr>
                </pic:pic>
              </a:graphicData>
            </a:graphic>
          </wp:inline>
        </w:drawing>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i/>
        </w:rPr>
        <w:t>Figure 3e</w:t>
      </w:r>
    </w:p>
    <w:p w:rsidR="003E21DF" w:rsidRDefault="003E21DF">
      <w:pPr>
        <w:jc w:val="both"/>
        <w:rPr>
          <w:rFonts w:ascii="Times New Roman" w:eastAsia="Times New Roman" w:hAnsi="Times New Roman" w:cs="Times New Roman"/>
        </w:rPr>
      </w:pPr>
    </w:p>
    <w:p w:rsidR="003E21DF" w:rsidRDefault="003E21DF">
      <w:pPr>
        <w:jc w:val="both"/>
        <w:rPr>
          <w:rFonts w:ascii="Times New Roman" w:eastAsia="Times New Roman" w:hAnsi="Times New Roman" w:cs="Times New Roman"/>
        </w:rPr>
      </w:pPr>
    </w:p>
    <w:p w:rsidR="003E21DF" w:rsidRDefault="003E21DF">
      <w:pPr>
        <w:jc w:val="both"/>
        <w:rPr>
          <w:rFonts w:ascii="Times New Roman" w:eastAsia="Times New Roman" w:hAnsi="Times New Roman" w:cs="Times New Roman"/>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1a and Figures 3e, 3</w:t>
      </w:r>
      <w:proofErr w:type="gramStart"/>
      <w:r>
        <w:rPr>
          <w:rFonts w:ascii="Times New Roman" w:eastAsia="Times New Roman" w:hAnsi="Times New Roman" w:cs="Times New Roman"/>
          <w:sz w:val="24"/>
          <w:szCs w:val="24"/>
        </w:rPr>
        <w:t>f  show</w:t>
      </w:r>
      <w:proofErr w:type="gramEnd"/>
      <w:r>
        <w:rPr>
          <w:rFonts w:ascii="Times New Roman" w:eastAsia="Times New Roman" w:hAnsi="Times New Roman" w:cs="Times New Roman"/>
          <w:sz w:val="24"/>
          <w:szCs w:val="24"/>
        </w:rPr>
        <w:t xml:space="preserve"> the relation</w:t>
      </w:r>
      <w:r>
        <w:rPr>
          <w:rFonts w:ascii="Times New Roman" w:eastAsia="Times New Roman" w:hAnsi="Times New Roman" w:cs="Times New Roman"/>
          <w:sz w:val="24"/>
          <w:szCs w:val="24"/>
        </w:rPr>
        <w:t xml:space="preserve"> between the occurrence of different cancer types in the population and the frequency of the same types in researches related to RNA-Seq. </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5"/>
        <w:bidiVisual/>
        <w:tblW w:w="801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1830"/>
        <w:gridCol w:w="2535"/>
      </w:tblGrid>
      <w:tr w:rsidR="003E21DF">
        <w:trPr>
          <w:trHeight w:val="1560"/>
        </w:trPr>
        <w:tc>
          <w:tcPr>
            <w:tcW w:w="364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3E21DF" w:rsidRDefault="00151CAB">
            <w:pPr>
              <w:ind w:lef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Cancer Types</w:t>
            </w:r>
          </w:p>
        </w:tc>
        <w:tc>
          <w:tcPr>
            <w:tcW w:w="183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3E21DF" w:rsidRDefault="00151CAB">
            <w:pPr>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RNA-Seq abstracts of cancer type (in % to other cancers)</w:t>
            </w:r>
          </w:p>
        </w:tc>
        <w:tc>
          <w:tcPr>
            <w:tcW w:w="253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3E21DF" w:rsidRDefault="00151CAB">
            <w:pPr>
              <w:bidi/>
              <w:ind w:lef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Cancer </w:t>
            </w:r>
            <w:proofErr w:type="spellStart"/>
            <w:r>
              <w:rPr>
                <w:rFonts w:ascii="Times New Roman" w:eastAsia="Times New Roman" w:hAnsi="Times New Roman" w:cs="Times New Roman"/>
                <w:sz w:val="24"/>
                <w:szCs w:val="24"/>
              </w:rPr>
              <w:t>occurence</w:t>
            </w:r>
            <w:proofErr w:type="spellEnd"/>
            <w:r>
              <w:rPr>
                <w:rFonts w:ascii="Times New Roman" w:eastAsia="Times New Roman" w:hAnsi="Times New Roman" w:cs="Times New Roman"/>
                <w:sz w:val="24"/>
                <w:szCs w:val="24"/>
              </w:rPr>
              <w:t xml:space="preserve"> in population (in % to other cancers)</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Lung</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17.881</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Breast</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16.289</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Thyroid</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3.307</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Ovary</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3.429</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myeloma</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1.164</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Mesothelioma</w:t>
            </w:r>
          </w:p>
        </w:tc>
        <w:tc>
          <w:tcPr>
            <w:tcW w:w="183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0.306</w:t>
            </w:r>
          </w:p>
        </w:tc>
        <w:tc>
          <w:tcPr>
            <w:tcW w:w="25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Colorectal cancer </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7.777</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Prostate</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6.307</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Stomach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2.633</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Liver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Oesophagus</w:t>
            </w:r>
            <w:proofErr w:type="spellEnd"/>
            <w:r>
              <w:rPr>
                <w:rFonts w:ascii="Times New Roman" w:eastAsia="Times New Roman" w:hAnsi="Times New Roman" w:cs="Times New Roman"/>
                <w:sz w:val="24"/>
                <w:szCs w:val="24"/>
              </w:rPr>
              <w:t xml:space="preserve">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Cervix uteri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3E21DF">
        <w:trPr>
          <w:trHeight w:val="74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Bladder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2.449</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Non-Hodgkin lymphoma</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Pancreas</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2.082</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Leukaemia</w:t>
            </w:r>
            <w:proofErr w:type="spellEnd"/>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0.612</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Kidney Tumors </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0.551</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Corpus uteri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Lip and Oral Cavity </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0.061</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Brain Cancer / central nervous system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0.245</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Melanoma of skin</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Gallbladder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Larynx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Nasopharynx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Oropharynx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0.061</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Hypopharynx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3E21DF">
        <w:trPr>
          <w:trHeight w:val="74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Hodgkin lymphoma</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0.061</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Testis cancer </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0.122</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Salivary glands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Anus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3E21DF">
        <w:trPr>
          <w:trHeight w:val="48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Vulva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r>
      <w:tr w:rsidR="003E21DF">
        <w:trPr>
          <w:trHeight w:val="20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Kaposi sarcoma</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0.122</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3E21DF">
        <w:trPr>
          <w:trHeight w:val="20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Penis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r>
      <w:tr w:rsidR="003E21DF">
        <w:trPr>
          <w:trHeight w:val="200"/>
        </w:trPr>
        <w:tc>
          <w:tcPr>
            <w:tcW w:w="364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vaginal cancer</w:t>
            </w:r>
          </w:p>
        </w:tc>
        <w:tc>
          <w:tcPr>
            <w:tcW w:w="1830"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53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tcPr>
          <w:p w:rsidR="003E21DF" w:rsidRDefault="00151CAB">
            <w:pPr>
              <w:ind w:left="-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r>
    </w:tbl>
    <w:p w:rsidR="003E21DF" w:rsidRDefault="00151CAB">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i/>
        </w:rPr>
        <w:t xml:space="preserve">Table 1a. </w:t>
      </w:r>
      <w:r>
        <w:rPr>
          <w:rFonts w:ascii="Times New Roman" w:eastAsia="Times New Roman" w:hAnsi="Times New Roman" w:cs="Times New Roman"/>
        </w:rPr>
        <w:t xml:space="preserve">The green background in the table shows the cancer types which have a higher percentage in research than </w:t>
      </w:r>
      <w:proofErr w:type="spellStart"/>
      <w:r>
        <w:rPr>
          <w:rFonts w:ascii="Times New Roman" w:eastAsia="Times New Roman" w:hAnsi="Times New Roman" w:cs="Times New Roman"/>
        </w:rPr>
        <w:t>occurence</w:t>
      </w:r>
      <w:proofErr w:type="spellEnd"/>
      <w:r>
        <w:rPr>
          <w:rFonts w:ascii="Times New Roman" w:eastAsia="Times New Roman" w:hAnsi="Times New Roman" w:cs="Times New Roman"/>
        </w:rPr>
        <w:t xml:space="preserve"> in the population. The red background shows the types that are more common than researched, relative to other cancer types. </w:t>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3e</w:t>
      </w:r>
      <w:r>
        <w:rPr>
          <w:noProof/>
        </w:rPr>
        <w:drawing>
          <wp:anchor distT="114300" distB="114300" distL="114300" distR="114300" simplePos="0" relativeHeight="251660288" behindDoc="0" locked="0" layoutInCell="1" hidden="0" allowOverlap="1">
            <wp:simplePos x="0" y="0"/>
            <wp:positionH relativeFrom="column">
              <wp:posOffset>333375</wp:posOffset>
            </wp:positionH>
            <wp:positionV relativeFrom="paragraph">
              <wp:posOffset>247650</wp:posOffset>
            </wp:positionV>
            <wp:extent cx="4824413" cy="3464511"/>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824413" cy="3464511"/>
                    </a:xfrm>
                    <a:prstGeom prst="rect">
                      <a:avLst/>
                    </a:prstGeom>
                    <a:ln/>
                  </pic:spPr>
                </pic:pic>
              </a:graphicData>
            </a:graphic>
          </wp:anchor>
        </w:drawing>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rPr>
        <w:t>Cancers with highest percentages in population.</w:t>
      </w:r>
    </w:p>
    <w:p w:rsidR="003E21DF" w:rsidRDefault="003E21DF">
      <w:pPr>
        <w:jc w:val="both"/>
        <w:rPr>
          <w:rFonts w:ascii="Times New Roman" w:eastAsia="Times New Roman" w:hAnsi="Times New Roman" w:cs="Times New Roman"/>
        </w:rPr>
      </w:pPr>
    </w:p>
    <w:p w:rsidR="003E21DF" w:rsidRDefault="00151CAB">
      <w:pPr>
        <w:jc w:val="both"/>
        <w:rPr>
          <w:rFonts w:ascii="Times New Roman" w:eastAsia="Times New Roman" w:hAnsi="Times New Roman" w:cs="Times New Roman"/>
        </w:rPr>
      </w:pPr>
      <w:r>
        <w:rPr>
          <w:rFonts w:ascii="Times New Roman" w:eastAsia="Times New Roman" w:hAnsi="Times New Roman" w:cs="Times New Roman"/>
        </w:rPr>
        <w:t xml:space="preserve">  </w:t>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3f</w:t>
      </w:r>
      <w:r>
        <w:rPr>
          <w:noProof/>
        </w:rPr>
        <w:drawing>
          <wp:anchor distT="114300" distB="114300" distL="114300" distR="114300" simplePos="0" relativeHeight="251661312" behindDoc="0" locked="0" layoutInCell="1" hidden="0" allowOverlap="1">
            <wp:simplePos x="0" y="0"/>
            <wp:positionH relativeFrom="column">
              <wp:posOffset>609600</wp:posOffset>
            </wp:positionH>
            <wp:positionV relativeFrom="paragraph">
              <wp:posOffset>247650</wp:posOffset>
            </wp:positionV>
            <wp:extent cx="4205288" cy="3257889"/>
            <wp:effectExtent l="0" t="0" r="0" b="0"/>
            <wp:wrapTopAndBottom distT="114300" distB="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205288" cy="3257889"/>
                    </a:xfrm>
                    <a:prstGeom prst="rect">
                      <a:avLst/>
                    </a:prstGeom>
                    <a:ln/>
                  </pic:spPr>
                </pic:pic>
              </a:graphicData>
            </a:graphic>
          </wp:anchor>
        </w:drawing>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rPr>
        <w:t>Cancers with higher percentages in RNA-Seq.</w:t>
      </w:r>
    </w:p>
    <w:p w:rsidR="003E21DF" w:rsidRDefault="003E21DF">
      <w:pPr>
        <w:jc w:val="both"/>
        <w:rPr>
          <w:rFonts w:ascii="Times New Roman" w:eastAsia="Times New Roman" w:hAnsi="Times New Roman" w:cs="Times New Roman"/>
          <w:sz w:val="24"/>
          <w:szCs w:val="24"/>
          <w:u w:val="single"/>
        </w:rPr>
      </w:pPr>
    </w:p>
    <w:p w:rsidR="003E21DF" w:rsidRDefault="003E21DF">
      <w:pPr>
        <w:jc w:val="both"/>
        <w:rPr>
          <w:rFonts w:ascii="Times New Roman" w:eastAsia="Times New Roman" w:hAnsi="Times New Roman" w:cs="Times New Roman"/>
          <w:sz w:val="24"/>
          <w:szCs w:val="24"/>
          <w:u w:val="single"/>
        </w:rPr>
      </w:pPr>
    </w:p>
    <w:p w:rsidR="003E21DF" w:rsidRDefault="003E21DF">
      <w:pPr>
        <w:jc w:val="both"/>
        <w:rPr>
          <w:rFonts w:ascii="Times New Roman" w:eastAsia="Times New Roman" w:hAnsi="Times New Roman" w:cs="Times New Roman"/>
          <w:sz w:val="24"/>
          <w:szCs w:val="24"/>
          <w:u w:val="single"/>
        </w:rPr>
      </w:pPr>
    </w:p>
    <w:p w:rsidR="003E21DF" w:rsidRDefault="00151CA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Molecules studied by RNA-Seq</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looked at which molecules were studied using RNA-Seq. As can be seen in Fig. 4a, miRNAs are the most s</w:t>
      </w:r>
      <w:r>
        <w:rPr>
          <w:rFonts w:ascii="Times New Roman" w:eastAsia="Times New Roman" w:hAnsi="Times New Roman" w:cs="Times New Roman"/>
          <w:sz w:val="24"/>
          <w:szCs w:val="24"/>
        </w:rPr>
        <w:t>tudied non-coding RNAs, and there is a dramatic increase in the studies that used these molecules (11 in 2010 to 290</w:t>
      </w:r>
      <w:r>
        <w:rPr>
          <w:rFonts w:ascii="Times New Roman" w:eastAsia="Times New Roman" w:hAnsi="Times New Roman" w:cs="Times New Roman"/>
          <w:color w:val="980000"/>
          <w:sz w:val="24"/>
          <w:szCs w:val="24"/>
        </w:rPr>
        <w:t xml:space="preserve"> </w:t>
      </w:r>
      <w:r>
        <w:rPr>
          <w:rFonts w:ascii="Times New Roman" w:eastAsia="Times New Roman" w:hAnsi="Times New Roman" w:cs="Times New Roman"/>
          <w:sz w:val="24"/>
          <w:szCs w:val="24"/>
        </w:rPr>
        <w:t>in 2018). In addition, more and more non-coding molecules have been discovered since 2010 and are also studied in these technologies.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86263" cy="335593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386263" cy="3355932"/>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w:t>
      </w:r>
      <w:r>
        <w:rPr>
          <w:rFonts w:ascii="Times New Roman" w:eastAsia="Times New Roman" w:hAnsi="Times New Roman" w:cs="Times New Roman"/>
          <w:i/>
        </w:rPr>
        <w:t>gure 4a</w:t>
      </w:r>
    </w:p>
    <w:p w:rsidR="003E21DF" w:rsidRDefault="003E21DF">
      <w:pPr>
        <w:jc w:val="both"/>
        <w:rPr>
          <w:rFonts w:ascii="Times New Roman" w:eastAsia="Times New Roman" w:hAnsi="Times New Roman" w:cs="Times New Roman"/>
          <w:i/>
        </w:rPr>
      </w:pPr>
    </w:p>
    <w:p w:rsidR="003E21DF" w:rsidRDefault="003E21DF">
      <w:pPr>
        <w:jc w:val="both"/>
        <w:rPr>
          <w:rFonts w:ascii="Times New Roman" w:eastAsia="Times New Roman" w:hAnsi="Times New Roman" w:cs="Times New Roman"/>
          <w:i/>
        </w:rPr>
      </w:pPr>
    </w:p>
    <w:p w:rsidR="003E21DF" w:rsidRDefault="00151CA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Diseases/Cancers and non-coding RNA in RNA-Seq</w:t>
      </w:r>
    </w:p>
    <w:p w:rsidR="003E21DF" w:rsidRDefault="003E21DF">
      <w:pPr>
        <w:jc w:val="both"/>
        <w:rPr>
          <w:rFonts w:ascii="Times New Roman" w:eastAsia="Times New Roman" w:hAnsi="Times New Roman" w:cs="Times New Roman"/>
          <w:sz w:val="24"/>
          <w:szCs w:val="24"/>
          <w:u w:val="single"/>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analyzed the interplay in RNA-Seq studies between diseases and molecules: which diseases are studied using expression quantification of which molecules. We compared these findings to the distribu</w:t>
      </w:r>
      <w:r>
        <w:rPr>
          <w:rFonts w:ascii="Times New Roman" w:eastAsia="Times New Roman" w:hAnsi="Times New Roman" w:cs="Times New Roman"/>
          <w:sz w:val="24"/>
          <w:szCs w:val="24"/>
        </w:rPr>
        <w:t>tion of molecules used in all RNA-Seq studies (not necessarily for disease research) in order to get the statistical significance of the results.</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u w:val="single"/>
        </w:rPr>
      </w:pPr>
      <w:bookmarkStart w:id="0" w:name="_GoBack"/>
      <w:r>
        <w:rPr>
          <w:rFonts w:ascii="Times New Roman" w:eastAsia="Times New Roman" w:hAnsi="Times New Roman" w:cs="Times New Roman"/>
          <w:noProof/>
          <w:sz w:val="24"/>
          <w:szCs w:val="24"/>
          <w:u w:val="single"/>
        </w:rPr>
        <w:drawing>
          <wp:inline distT="114300" distB="114300" distL="114300" distR="114300">
            <wp:extent cx="4433888" cy="3392732"/>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433888" cy="3392732"/>
                    </a:xfrm>
                    <a:prstGeom prst="rect">
                      <a:avLst/>
                    </a:prstGeom>
                    <a:ln/>
                  </pic:spPr>
                </pic:pic>
              </a:graphicData>
            </a:graphic>
          </wp:inline>
        </w:drawing>
      </w:r>
      <w:bookmarkEnd w:id="0"/>
    </w:p>
    <w:p w:rsidR="003E21DF" w:rsidRDefault="00151CAB">
      <w:pPr>
        <w:jc w:val="both"/>
        <w:rPr>
          <w:rFonts w:ascii="Times New Roman" w:eastAsia="Times New Roman" w:hAnsi="Times New Roman" w:cs="Times New Roman"/>
        </w:rPr>
      </w:pPr>
      <w:r>
        <w:rPr>
          <w:rFonts w:ascii="Times New Roman" w:eastAsia="Times New Roman" w:hAnsi="Times New Roman" w:cs="Times New Roman"/>
          <w:i/>
        </w:rPr>
        <w:t xml:space="preserve">Figure 5a. </w:t>
      </w:r>
      <w:r>
        <w:rPr>
          <w:rFonts w:ascii="Times New Roman" w:eastAsia="Times New Roman" w:hAnsi="Times New Roman" w:cs="Times New Roman"/>
        </w:rPr>
        <w:t>The molecules marked in yellow are highly significant.</w:t>
      </w:r>
    </w:p>
    <w:p w:rsidR="003E21DF" w:rsidRDefault="003E21DF">
      <w:pPr>
        <w:pBdr>
          <w:top w:val="nil"/>
          <w:left w:val="nil"/>
          <w:bottom w:val="nil"/>
          <w:right w:val="nil"/>
          <w:between w:val="nil"/>
        </w:pBdr>
        <w:jc w:val="both"/>
        <w:rPr>
          <w:rFonts w:ascii="Times New Roman" w:eastAsia="Times New Roman" w:hAnsi="Times New Roman" w:cs="Times New Roman"/>
          <w:b/>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5a: The significant molecules with their p-values </w:t>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rRNA – 0.0005, tRNA – 0.0005, siRNA – 0.0005, lincRNA – 0.0005, microRNA – 0.0005, </w:t>
      </w:r>
      <w:proofErr w:type="spellStart"/>
      <w:r>
        <w:rPr>
          <w:rFonts w:ascii="Times New Roman" w:eastAsia="Times New Roman" w:hAnsi="Times New Roman" w:cs="Times New Roman"/>
          <w:sz w:val="24"/>
          <w:szCs w:val="24"/>
        </w:rPr>
        <w:t>scRNA</w:t>
      </w:r>
      <w:proofErr w:type="spellEnd"/>
      <w:r>
        <w:rPr>
          <w:rFonts w:ascii="Times New Roman" w:eastAsia="Times New Roman" w:hAnsi="Times New Roman" w:cs="Times New Roman"/>
          <w:sz w:val="24"/>
          <w:szCs w:val="24"/>
        </w:rPr>
        <w:t xml:space="preserve"> – 0.001, sRNA - 0.0005, snoRNA – 0.03, </w:t>
      </w:r>
      <w:proofErr w:type="spellStart"/>
      <w:r>
        <w:rPr>
          <w:rFonts w:ascii="Times New Roman" w:eastAsia="Times New Roman" w:hAnsi="Times New Roman" w:cs="Times New Roman"/>
          <w:sz w:val="24"/>
          <w:szCs w:val="24"/>
        </w:rPr>
        <w:t>circRNA</w:t>
      </w:r>
      <w:proofErr w:type="spellEnd"/>
      <w:r>
        <w:rPr>
          <w:rFonts w:ascii="Times New Roman" w:eastAsia="Times New Roman" w:hAnsi="Times New Roman" w:cs="Times New Roman"/>
          <w:sz w:val="24"/>
          <w:szCs w:val="24"/>
        </w:rPr>
        <w:t xml:space="preserve"> – 0.0005, </w:t>
      </w:r>
      <w:proofErr w:type="spellStart"/>
      <w:r>
        <w:rPr>
          <w:rFonts w:ascii="Times New Roman" w:eastAsia="Times New Roman" w:hAnsi="Times New Roman" w:cs="Times New Roman"/>
          <w:sz w:val="24"/>
          <w:szCs w:val="24"/>
        </w:rPr>
        <w:t>piRNA</w:t>
      </w:r>
      <w:proofErr w:type="spellEnd"/>
      <w:r>
        <w:rPr>
          <w:rFonts w:ascii="Times New Roman" w:eastAsia="Times New Roman" w:hAnsi="Times New Roman" w:cs="Times New Roman"/>
          <w:sz w:val="24"/>
          <w:szCs w:val="24"/>
        </w:rPr>
        <w:t xml:space="preserve"> = 0.02, </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29163" cy="365002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729163" cy="3650025"/>
                    </a:xfrm>
                    <a:prstGeom prst="rect">
                      <a:avLst/>
                    </a:prstGeom>
                    <a:ln/>
                  </pic:spPr>
                </pic:pic>
              </a:graphicData>
            </a:graphic>
          </wp:inline>
        </w:drawing>
      </w: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i/>
        </w:rPr>
        <w:t xml:space="preserve">Figure 5b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molecule marked in yellow was statistically significant (using chi-square test</w:t>
      </w:r>
      <w:r>
        <w:rPr>
          <w:rFonts w:ascii="Times New Roman" w:eastAsia="Times New Roman" w:hAnsi="Times New Roman" w:cs="Times New Roman"/>
        </w:rPr>
        <w:t xml:space="preserve"> for goodness of fit). Significant results: lincRNA with p-</w:t>
      </w:r>
      <w:proofErr w:type="gramStart"/>
      <w:r>
        <w:rPr>
          <w:rFonts w:ascii="Times New Roman" w:eastAsia="Times New Roman" w:hAnsi="Times New Roman" w:cs="Times New Roman"/>
        </w:rPr>
        <w:t>value  0.0005</w:t>
      </w:r>
      <w:proofErr w:type="gramEnd"/>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Additional uses and subcategories of RNA-Seq:</w:t>
      </w:r>
    </w:p>
    <w:p w:rsidR="003E21DF" w:rsidRDefault="003E21DF">
      <w:pPr>
        <w:jc w:val="both"/>
        <w:rPr>
          <w:rFonts w:ascii="Times New Roman" w:eastAsia="Times New Roman" w:hAnsi="Times New Roman" w:cs="Times New Roman"/>
          <w:sz w:val="24"/>
          <w:szCs w:val="24"/>
          <w:u w:val="single"/>
        </w:rPr>
      </w:pPr>
    </w:p>
    <w:p w:rsidR="003E21DF" w:rsidRDefault="00151CAB">
      <w:pPr>
        <w:jc w:val="both"/>
        <w:rPr>
          <w:rFonts w:ascii="Times New Roman" w:eastAsia="Times New Roman" w:hAnsi="Times New Roman" w:cs="Times New Roman"/>
        </w:rPr>
      </w:pPr>
      <w:r>
        <w:rPr>
          <w:rFonts w:ascii="Times New Roman" w:eastAsia="Times New Roman" w:hAnsi="Times New Roman" w:cs="Times New Roman"/>
          <w:sz w:val="24"/>
          <w:szCs w:val="24"/>
        </w:rPr>
        <w:t>There are many more fields where RNA-Seq can be applied to. Searching 3 types of these fields (Alternative Splicing, Gene Fusion, Vari</w:t>
      </w:r>
      <w:r>
        <w:rPr>
          <w:rFonts w:ascii="Times New Roman" w:eastAsia="Times New Roman" w:hAnsi="Times New Roman" w:cs="Times New Roman"/>
          <w:sz w:val="24"/>
          <w:szCs w:val="24"/>
        </w:rPr>
        <w:t>ants Calling) showed a rise in the number of articles in the last decade, though not as expected.</w:t>
      </w:r>
    </w:p>
    <w:p w:rsidR="003E21DF" w:rsidRDefault="00151CAB">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700588" cy="326726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700588" cy="3267264"/>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6a</w:t>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extent cx="4500563" cy="3166325"/>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500563" cy="3166325"/>
                    </a:xfrm>
                    <a:prstGeom prst="rect">
                      <a:avLst/>
                    </a:prstGeom>
                    <a:ln/>
                  </pic:spPr>
                </pic:pic>
              </a:graphicData>
            </a:graphic>
          </wp:inline>
        </w:drawing>
      </w:r>
    </w:p>
    <w:p w:rsidR="003E21DF" w:rsidRDefault="00151CAB">
      <w:pPr>
        <w:jc w:val="both"/>
        <w:rPr>
          <w:rFonts w:ascii="Times New Roman" w:eastAsia="Times New Roman" w:hAnsi="Times New Roman" w:cs="Times New Roman"/>
          <w:i/>
        </w:rPr>
      </w:pPr>
      <w:r>
        <w:rPr>
          <w:rFonts w:ascii="Times New Roman" w:eastAsia="Times New Roman" w:hAnsi="Times New Roman" w:cs="Times New Roman"/>
          <w:i/>
        </w:rPr>
        <w:t>Figure 6b</w:t>
      </w:r>
    </w:p>
    <w:p w:rsidR="003E21DF" w:rsidRDefault="003E21DF">
      <w:pPr>
        <w:jc w:val="both"/>
        <w:rPr>
          <w:rFonts w:ascii="Times New Roman" w:eastAsia="Times New Roman" w:hAnsi="Times New Roman" w:cs="Times New Roman"/>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color w:val="000000"/>
          <w:sz w:val="24"/>
          <w:szCs w:val="24"/>
        </w:rPr>
        <w:t>Discussion</w:t>
      </w:r>
    </w:p>
    <w:p w:rsidR="003E21DF" w:rsidRDefault="003E21D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show a significant rise in the use of RNA-seq, this was significantly observed both in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and in GEO. This rise originates from the rapidly progressing development in technology and from the decrease in expenses of sequencing.</w:t>
      </w:r>
    </w:p>
    <w:p w:rsidR="003E21DF" w:rsidRDefault="003E21D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Surpris</w:t>
      </w:r>
      <w:r>
        <w:rPr>
          <w:rFonts w:ascii="Times New Roman" w:eastAsia="Times New Roman" w:hAnsi="Times New Roman" w:cs="Times New Roman"/>
          <w:sz w:val="24"/>
          <w:szCs w:val="24"/>
        </w:rPr>
        <w:t>ingly, there is still a vast use in RNA arrays for Expression Profiling…</w:t>
      </w:r>
    </w:p>
    <w:p w:rsidR="003E21DF" w:rsidRDefault="003E21DF">
      <w:pPr>
        <w:jc w:val="both"/>
        <w:rPr>
          <w:rFonts w:ascii="Times New Roman" w:eastAsia="Times New Roman" w:hAnsi="Times New Roman" w:cs="Times New Roman"/>
          <w:sz w:val="24"/>
          <w:szCs w:val="24"/>
        </w:rPr>
      </w:pPr>
    </w:p>
    <w:p w:rsidR="003E21DF" w:rsidRDefault="00151CA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work we show that several cancer types, such as breast cancer are widely studied using RNA-Seq…</w:t>
      </w:r>
    </w:p>
    <w:p w:rsidR="003E21DF" w:rsidRDefault="003E21DF">
      <w:pPr>
        <w:pBdr>
          <w:top w:val="nil"/>
          <w:left w:val="nil"/>
          <w:bottom w:val="nil"/>
          <w:right w:val="nil"/>
          <w:between w:val="nil"/>
        </w:pBdr>
        <w:jc w:val="both"/>
        <w:rPr>
          <w:rFonts w:ascii="Times New Roman" w:eastAsia="Times New Roman" w:hAnsi="Times New Roman" w:cs="Times New Roman"/>
          <w:color w:val="000000"/>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of the significant advantages in the use of next-generation sequencing is</w:t>
      </w:r>
      <w:r>
        <w:rPr>
          <w:rFonts w:ascii="Times New Roman" w:eastAsia="Times New Roman" w:hAnsi="Times New Roman" w:cs="Times New Roman"/>
          <w:color w:val="000000"/>
          <w:sz w:val="24"/>
          <w:szCs w:val="24"/>
        </w:rPr>
        <w:t xml:space="preserve"> the fact that these technologies are unbiased and enable finding novel molecules. Therefore, as the use in RNA-Seq increases, more and more novel molecules are being discovered and enhance the additional RNA-Seq studies of these molecules (positive feedba</w:t>
      </w:r>
      <w:r>
        <w:rPr>
          <w:rFonts w:ascii="Times New Roman" w:eastAsia="Times New Roman" w:hAnsi="Times New Roman" w:cs="Times New Roman"/>
          <w:color w:val="000000"/>
          <w:sz w:val="24"/>
          <w:szCs w:val="24"/>
        </w:rPr>
        <w:t>ck loop).</w:t>
      </w:r>
    </w:p>
    <w:p w:rsidR="003E21DF" w:rsidRDefault="003E21DF">
      <w:pPr>
        <w:pBdr>
          <w:top w:val="nil"/>
          <w:left w:val="nil"/>
          <w:bottom w:val="nil"/>
          <w:right w:val="nil"/>
          <w:between w:val="nil"/>
        </w:pBdr>
        <w:jc w:val="both"/>
        <w:rPr>
          <w:rFonts w:ascii="Times New Roman" w:eastAsia="Times New Roman" w:hAnsi="Times New Roman" w:cs="Times New Roman"/>
          <w:color w:val="000000"/>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limitations</w:t>
      </w:r>
    </w:p>
    <w:p w:rsidR="003E21DF" w:rsidRDefault="00151CAB">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Some of the analyses were based on text mining. Since the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xml:space="preserve"> was searched using certain keywords such as RNA-Seq the results consist of all the abstracts containing this keyword although the case might be that the word was only mentioned and not actual</w:t>
      </w:r>
      <w:r>
        <w:rPr>
          <w:rFonts w:ascii="Times New Roman" w:eastAsia="Times New Roman" w:hAnsi="Times New Roman" w:cs="Times New Roman"/>
          <w:sz w:val="24"/>
          <w:szCs w:val="24"/>
        </w:rPr>
        <w:t>ly studied in the research, or if an important key word is not mentioned in the abstract but only in the article.</w:t>
      </w:r>
    </w:p>
    <w:p w:rsidR="003E21DF" w:rsidRDefault="003E21DF">
      <w:pPr>
        <w:pBdr>
          <w:top w:val="nil"/>
          <w:left w:val="nil"/>
          <w:bottom w:val="nil"/>
          <w:right w:val="nil"/>
          <w:between w:val="nil"/>
        </w:pBdr>
        <w:jc w:val="both"/>
        <w:rPr>
          <w:rFonts w:ascii="Times New Roman" w:eastAsia="Times New Roman" w:hAnsi="Times New Roman" w:cs="Times New Roman"/>
          <w:i/>
          <w:color w:val="000000"/>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Additional thoughts and analyses:</w:t>
      </w:r>
    </w:p>
    <w:p w:rsidR="003E21DF" w:rsidRDefault="00151CAB">
      <w:pPr>
        <w:numPr>
          <w:ilvl w:val="0"/>
          <w:numId w:val="1"/>
        </w:numPr>
        <w:pBdr>
          <w:top w:val="nil"/>
          <w:left w:val="nil"/>
          <w:bottom w:val="nil"/>
          <w:right w:val="nil"/>
          <w:between w:val="nil"/>
        </w:pBdr>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Calculate some of these parameters for 2005, 2000?</w:t>
      </w:r>
    </w:p>
    <w:p w:rsidR="003E21DF" w:rsidRDefault="00151CAB">
      <w:pPr>
        <w:numPr>
          <w:ilvl w:val="0"/>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 xml:space="preserve">Molecules - it is important to calculate the baseline, meaning what was the total of paper (not necessarily RNA-Seq) for each of the molecules (miRNA, </w:t>
      </w:r>
      <w:proofErr w:type="spellStart"/>
      <w:r>
        <w:rPr>
          <w:rFonts w:ascii="Times New Roman" w:eastAsia="Times New Roman" w:hAnsi="Times New Roman" w:cs="Times New Roman"/>
          <w:i/>
          <w:color w:val="000000"/>
          <w:sz w:val="24"/>
          <w:szCs w:val="24"/>
        </w:rPr>
        <w:t>piRNA</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etc</w:t>
      </w:r>
      <w:proofErr w:type="spellEnd"/>
      <w:r>
        <w:rPr>
          <w:rFonts w:ascii="Times New Roman" w:eastAsia="Times New Roman" w:hAnsi="Times New Roman" w:cs="Times New Roman"/>
          <w:i/>
          <w:color w:val="000000"/>
          <w:sz w:val="24"/>
          <w:szCs w:val="24"/>
        </w:rPr>
        <w:t>…)</w:t>
      </w:r>
    </w:p>
    <w:p w:rsidR="003E21DF" w:rsidRDefault="00151CAB">
      <w:pPr>
        <w:numPr>
          <w:ilvl w:val="0"/>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Track sub-technologies / approaches:</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targeted </w:t>
      </w:r>
      <w:proofErr w:type="spellStart"/>
      <w:r>
        <w:rPr>
          <w:rFonts w:ascii="Times New Roman" w:eastAsia="Times New Roman" w:hAnsi="Times New Roman" w:cs="Times New Roman"/>
          <w:i/>
          <w:sz w:val="24"/>
          <w:szCs w:val="24"/>
        </w:rPr>
        <w:t>RNAseq</w:t>
      </w:r>
      <w:proofErr w:type="spellEnd"/>
      <w:r>
        <w:rPr>
          <w:rFonts w:ascii="Times New Roman" w:eastAsia="Times New Roman" w:hAnsi="Times New Roman" w:cs="Times New Roman"/>
          <w:i/>
          <w:sz w:val="24"/>
          <w:szCs w:val="24"/>
        </w:rPr>
        <w:t xml:space="preserve">  </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miRNA-seq</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qtl</w:t>
      </w:r>
      <w:proofErr w:type="spellEnd"/>
      <w:r>
        <w:rPr>
          <w:rFonts w:ascii="Times New Roman" w:eastAsia="Times New Roman" w:hAnsi="Times New Roman" w:cs="Times New Roman"/>
          <w:i/>
          <w:sz w:val="24"/>
          <w:szCs w:val="24"/>
        </w:rPr>
        <w:t>-seq</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Single-Cell RNA-Seq  </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DGE-Seq (Digital Gene Expression)</w:t>
      </w:r>
    </w:p>
    <w:p w:rsidR="003E21DF" w:rsidRDefault="00151CAB">
      <w:pPr>
        <w:numPr>
          <w:ilvl w:val="0"/>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Additional uses of RNA-Seq</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variants calling</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fusion gene</w:t>
      </w:r>
    </w:p>
    <w:p w:rsidR="003E21DF" w:rsidRDefault="00151CAB">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Alternative Splicing  </w:t>
      </w:r>
    </w:p>
    <w:p w:rsidR="003E21DF" w:rsidRDefault="00151CAB">
      <w:pPr>
        <w:numPr>
          <w:ilvl w:val="1"/>
          <w:numId w:val="1"/>
        </w:numPr>
        <w:spacing w:before="100" w:line="342" w:lineRule="auto"/>
        <w:rPr>
          <w:rFonts w:ascii="Times New Roman" w:eastAsia="Times New Roman" w:hAnsi="Times New Roman" w:cs="Times New Roman"/>
          <w:i/>
          <w:sz w:val="24"/>
          <w:szCs w:val="24"/>
        </w:rPr>
      </w:pPr>
      <w:proofErr w:type="spellStart"/>
      <w:r>
        <w:rPr>
          <w:i/>
          <w:color w:val="3C4043"/>
          <w:sz w:val="21"/>
          <w:szCs w:val="21"/>
        </w:rPr>
        <w:t>denovo</w:t>
      </w:r>
      <w:proofErr w:type="spellEnd"/>
      <w:r>
        <w:rPr>
          <w:i/>
          <w:color w:val="3C4043"/>
          <w:sz w:val="21"/>
          <w:szCs w:val="21"/>
        </w:rPr>
        <w:t xml:space="preserve"> transcriptome</w:t>
      </w:r>
    </w:p>
    <w:p w:rsidR="003E21DF" w:rsidRDefault="003E21DF">
      <w:pPr>
        <w:numPr>
          <w:ilvl w:val="1"/>
          <w:numId w:val="1"/>
        </w:numPr>
        <w:pBdr>
          <w:top w:val="nil"/>
          <w:left w:val="nil"/>
          <w:bottom w:val="nil"/>
          <w:right w:val="nil"/>
          <w:between w:val="nil"/>
        </w:pBdr>
        <w:jc w:val="both"/>
        <w:rPr>
          <w:rFonts w:ascii="Times New Roman" w:eastAsia="Times New Roman" w:hAnsi="Times New Roman" w:cs="Times New Roman"/>
          <w:i/>
          <w:sz w:val="24"/>
          <w:szCs w:val="24"/>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3E21DF">
      <w:pPr>
        <w:pBdr>
          <w:top w:val="nil"/>
          <w:left w:val="nil"/>
          <w:bottom w:val="nil"/>
          <w:right w:val="nil"/>
          <w:between w:val="nil"/>
        </w:pBdr>
        <w:jc w:val="both"/>
        <w:rPr>
          <w:rFonts w:ascii="Times New Roman" w:eastAsia="Times New Roman" w:hAnsi="Times New Roman" w:cs="Times New Roman"/>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Acknowledgments</w:t>
      </w:r>
    </w:p>
    <w:p w:rsidR="003E21DF" w:rsidRDefault="003E21DF">
      <w:pPr>
        <w:pBdr>
          <w:top w:val="nil"/>
          <w:left w:val="nil"/>
          <w:bottom w:val="nil"/>
          <w:right w:val="nil"/>
          <w:between w:val="nil"/>
        </w:pBdr>
        <w:jc w:val="both"/>
        <w:rPr>
          <w:rFonts w:ascii="Times New Roman" w:eastAsia="Times New Roman" w:hAnsi="Times New Roman" w:cs="Times New Roman"/>
          <w:b/>
          <w:sz w:val="24"/>
          <w:szCs w:val="24"/>
        </w:rPr>
      </w:pPr>
    </w:p>
    <w:p w:rsidR="003E21DF" w:rsidRDefault="00151CAB">
      <w:p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thank Dr. Gigli Friedlander for her helpful comments.</w:t>
      </w:r>
    </w:p>
    <w:sectPr w:rsidR="003E21DF">
      <w:headerReference w:type="default" r:id="rId27"/>
      <w:footerReference w:type="default" r:id="rId28"/>
      <w:headerReference w:type="first" r:id="rId29"/>
      <w:footerReference w:type="first" r:id="rId30"/>
      <w:pgSz w:w="11909" w:h="16834"/>
      <w:pgMar w:top="1440" w:right="153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CAB" w:rsidRDefault="00151CAB">
      <w:pPr>
        <w:spacing w:line="240" w:lineRule="auto"/>
      </w:pPr>
      <w:r>
        <w:separator/>
      </w:r>
    </w:p>
  </w:endnote>
  <w:endnote w:type="continuationSeparator" w:id="0">
    <w:p w:rsidR="00151CAB" w:rsidRDefault="00151C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1DF" w:rsidRDefault="003E21DF">
    <w:pPr>
      <w:bid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1DF" w:rsidRDefault="003E21DF">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CAB" w:rsidRDefault="00151CAB">
      <w:pPr>
        <w:spacing w:line="240" w:lineRule="auto"/>
      </w:pPr>
      <w:r>
        <w:separator/>
      </w:r>
    </w:p>
  </w:footnote>
  <w:footnote w:type="continuationSeparator" w:id="0">
    <w:p w:rsidR="00151CAB" w:rsidRDefault="00151C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1DF" w:rsidRDefault="00151CAB">
    <w:pPr>
      <w:bidi/>
    </w:pPr>
    <w:r>
      <w:rPr>
        <w:rtl/>
      </w:rPr>
      <w:t>ב"ה</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1DF" w:rsidRDefault="00151CAB">
    <w:pPr>
      <w:bidi/>
    </w:pPr>
    <w:r>
      <w:rPr>
        <w:rtl/>
      </w:rPr>
      <w:t>ב"ה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32DC3"/>
    <w:multiLevelType w:val="multilevel"/>
    <w:tmpl w:val="899228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504F5C"/>
    <w:multiLevelType w:val="multilevel"/>
    <w:tmpl w:val="A88EE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1DF"/>
    <w:rsid w:val="00151CAB"/>
    <w:rsid w:val="003E21DF"/>
    <w:rsid w:val="007B06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13B5"/>
  <w15:docId w15:val="{5EA25468-FCC6-49DB-BEEA-04AE26380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annotation text"/>
    <w:basedOn w:val="a"/>
    <w:link w:val="a7"/>
    <w:uiPriority w:val="99"/>
    <w:semiHidden/>
    <w:unhideWhenUsed/>
    <w:pPr>
      <w:spacing w:line="240" w:lineRule="auto"/>
    </w:pPr>
    <w:rPr>
      <w:sz w:val="20"/>
      <w:szCs w:val="20"/>
    </w:rPr>
  </w:style>
  <w:style w:type="character" w:customStyle="1" w:styleId="a7">
    <w:name w:val="טקסט הערה תו"/>
    <w:basedOn w:val="a0"/>
    <w:link w:val="a6"/>
    <w:uiPriority w:val="99"/>
    <w:semiHidden/>
    <w:rPr>
      <w:sz w:val="20"/>
      <w:szCs w:val="20"/>
    </w:rPr>
  </w:style>
  <w:style w:type="character" w:styleId="a8">
    <w:name w:val="annotation reference"/>
    <w:basedOn w:val="a0"/>
    <w:uiPriority w:val="99"/>
    <w:semiHidden/>
    <w:unhideWhenUsed/>
    <w:rPr>
      <w:sz w:val="16"/>
      <w:szCs w:val="16"/>
    </w:rPr>
  </w:style>
  <w:style w:type="paragraph" w:styleId="a9">
    <w:name w:val="Balloon Text"/>
    <w:basedOn w:val="a"/>
    <w:link w:val="aa"/>
    <w:uiPriority w:val="99"/>
    <w:semiHidden/>
    <w:unhideWhenUsed/>
    <w:rsid w:val="007B06B5"/>
    <w:pPr>
      <w:spacing w:line="240" w:lineRule="auto"/>
    </w:pPr>
    <w:rPr>
      <w:rFonts w:ascii="Tahoma" w:hAnsi="Tahoma" w:cs="Tahoma"/>
      <w:sz w:val="18"/>
      <w:szCs w:val="18"/>
    </w:rPr>
  </w:style>
  <w:style w:type="character" w:customStyle="1" w:styleId="aa">
    <w:name w:val="טקסט בלונים תו"/>
    <w:basedOn w:val="a0"/>
    <w:link w:val="a9"/>
    <w:uiPriority w:val="99"/>
    <w:semiHidden/>
    <w:rsid w:val="007B06B5"/>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cancer.gov/types/by-body-loc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1983</Words>
  <Characters>9919</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אוריה</dc:creator>
  <cp:lastModifiedBy>oriya keshet</cp:lastModifiedBy>
  <cp:revision>2</cp:revision>
  <dcterms:created xsi:type="dcterms:W3CDTF">2020-02-23T12:01:00Z</dcterms:created>
  <dcterms:modified xsi:type="dcterms:W3CDTF">2020-02-23T12:01:00Z</dcterms:modified>
</cp:coreProperties>
</file>