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DED730C" w14:textId="77777777" w:rsidR="00272D13" w:rsidRPr="000B254C" w:rsidRDefault="00272D13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FE44DD2" w14:textId="77777777" w:rsidR="008158AC" w:rsidRDefault="009118E2" w:rsidP="008158A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</w:t>
      </w:r>
    </w:p>
    <w:p w14:paraId="44F6B873" w14:textId="12A50603" w:rsidR="001A6308" w:rsidRPr="008158AC" w:rsidRDefault="001A6308" w:rsidP="008158A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06320B5" w:rsidR="00DB1C8F" w:rsidRPr="00822CC7" w:rsidRDefault="00886F2B" w:rsidP="00D556DB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 w:rsidR="00522CAF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9E02B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384B5BB3" w14:textId="77777777" w:rsidR="00D556DB" w:rsidRPr="00822CC7" w:rsidRDefault="00DB1C8F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Science &amp; Analysis</w:t>
            </w:r>
            <w:r w:rsidR="00B31695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15DD6228" w14:textId="4CE640A8" w:rsidR="009118E2" w:rsidRPr="00822CC7" w:rsidRDefault="00D556DB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72EB2953" w14:textId="3E1D4A94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12144A52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F2B98A2" w14:textId="7A7E931F" w:rsidR="00E53E04" w:rsidRPr="007C714B" w:rsidRDefault="00E53E04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experience in developing and building Software Systems. Gained a Strong understanding of Software Engineering principles and best practices. </w:t>
      </w:r>
    </w:p>
    <w:p w14:paraId="0643615E" w14:textId="264EA422" w:rsidR="007B1A3F" w:rsidRPr="00894422" w:rsidRDefault="00F764B7" w:rsidP="002F10B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6C1AA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Sci-kit Learn, Pandas, Numpy, etc. API development, Frontend: 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403FBC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JavaScript,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Node.js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ETL software</w:t>
      </w:r>
      <w:r w:rsidR="00E72E2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Python, Java, C++, C#, C, Golang</w:t>
      </w:r>
      <w:r w:rsidR="0047289B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95724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Cloud Computing, 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Django, Flask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Redis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Celery data development and integration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89442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Relational Database utilization and management like MySQL &amp; MS SQL Server, PostgreSQL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Web</w:t>
      </w:r>
      <w:r w:rsidR="00EE629C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S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ocket programming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connect 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Redis servers to Django Middleware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4D6F0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Cyber Security</w:t>
      </w:r>
      <w:r w:rsidR="00894422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HTTP, HTTPS, TCP/IP</w:t>
      </w:r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A9458B" w14:textId="77777777" w:rsidR="001D377B" w:rsidRDefault="001D377B" w:rsidP="001D377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7051579E" w14:textId="311E3B45" w:rsidR="00F13C4B" w:rsidRPr="00AF21FC" w:rsidRDefault="00A80465" w:rsidP="00AC39C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F21F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To receive this funding, its requirements had to be </w:t>
      </w: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analyzed </w:t>
      </w:r>
      <w:r w:rsidR="00AF21FC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and discussed with IBM stakeholders</w:t>
      </w:r>
      <w:r w:rsidR="00AF21FC" w:rsidRPr="00AF21F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ensure adequate levels of funding for computational resources required.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5AD0E16D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SSL certificates were integrated into a DNS to Apache pipeline. This allowed </w:t>
      </w:r>
      <w:r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HTTPS technology to encrypt all web traffic per client API request. Django-RQ, SQL and Redis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3763432C" w14:textId="00265820" w:rsidR="005428AB" w:rsidRDefault="00A84179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Data Visualization </w:t>
      </w:r>
      <w:r w:rsidR="005428AB">
        <w:rPr>
          <w:rStyle w:val="span"/>
          <w:rFonts w:ascii="Alegreya Sans" w:eastAsia="Alegreya Sans" w:hAnsi="Alegreya Sans" w:cs="Alegreya Sans"/>
          <w:sz w:val="20"/>
          <w:szCs w:val="20"/>
        </w:rPr>
        <w:t>Libraries like Matplotlib, Seaborn, and Pandas</w:t>
      </w:r>
      <w:r w:rsidR="00401E7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visualize, present and analyze trading data. 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69F22878" w14:textId="32E03CEA" w:rsidR="001D377B" w:rsidRPr="001D377B" w:rsidRDefault="00EC4B4D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7C714B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310636B3" w14:textId="53B24589" w:rsidR="00996FF6" w:rsidRDefault="00996FF6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Became a dedicated Team player and passionate problem solver, with strong verbal and written communication skills.</w:t>
      </w:r>
    </w:p>
    <w:p w14:paraId="73863113" w14:textId="68E07DD2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knowledge of telecommunication networks, during research on photonic behavior.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6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65904EA6-CD52-4F1E-BDDF-295FD750E1F1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62784842-A410-42B5-B370-EB493D402439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3955D466-26D9-48FC-A769-86BE823EC25E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63C1AE26-550E-4337-B83D-EC69007DCE9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52D9C"/>
    <w:multiLevelType w:val="multilevel"/>
    <w:tmpl w:val="FBE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9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8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3"/>
  </w:num>
  <w:num w:numId="17" w16cid:durableId="822544630">
    <w:abstractNumId w:val="10"/>
  </w:num>
  <w:num w:numId="18" w16cid:durableId="599606880">
    <w:abstractNumId w:val="7"/>
  </w:num>
  <w:num w:numId="19" w16cid:durableId="1109197755">
    <w:abstractNumId w:val="6"/>
  </w:num>
  <w:num w:numId="20" w16cid:durableId="1471820552">
    <w:abstractNumId w:val="11"/>
  </w:num>
  <w:num w:numId="21" w16cid:durableId="14501269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97A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2D13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3672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209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02D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454B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C714B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58AC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4422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96FF6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3E04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45B0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29C"/>
    <w:rsid w:val="00EE696C"/>
    <w:rsid w:val="00EF0910"/>
    <w:rsid w:val="00EF1306"/>
    <w:rsid w:val="00EF403F"/>
    <w:rsid w:val="00EF5AD4"/>
    <w:rsid w:val="00EF62C4"/>
    <w:rsid w:val="00EF7ED7"/>
    <w:rsid w:val="00F068FB"/>
    <w:rsid w:val="00F07404"/>
    <w:rsid w:val="00F13A86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5</cp:revision>
  <cp:lastPrinted>2023-07-14T20:52:00Z</cp:lastPrinted>
  <dcterms:created xsi:type="dcterms:W3CDTF">2023-07-14T20:52:00Z</dcterms:created>
  <dcterms:modified xsi:type="dcterms:W3CDTF">2023-07-14T20:56:00Z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