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cd7c202899a4d7fe113ae4800ff8bef429ffc2"/>
    <w:p>
      <w:pPr>
        <w:pStyle w:val="Heading1"/>
      </w:pPr>
      <w:r>
        <w:t xml:space="preserve">Prioridades de operaciones de farmacia 2027 (borrador para discusión)</w:t>
      </w:r>
    </w:p>
    <w:p>
      <w:pPr>
        <w:pStyle w:val="BlockText"/>
      </w:pPr>
      <w:r>
        <w:rPr>
          <w:bCs/>
          <w:b/>
        </w:rPr>
        <w:t xml:space="preserve">Documento ficticio para el workshop de Amazon Quick.</w:t>
      </w:r>
      <w:r>
        <w:t xml:space="preserve"> </w:t>
      </w:r>
      <w:r>
        <w:t xml:space="preserve">No refleja la estrategia real de Corporación GPF.</w:t>
      </w:r>
    </w:p>
    <w:p>
      <w:pPr>
        <w:pStyle w:val="FirstParagraph"/>
      </w:pPr>
      <w:r>
        <w:rPr>
          <w:bCs/>
          <w:b/>
        </w:rPr>
        <w:t xml:space="preserve">Código:</w:t>
      </w:r>
      <w:r>
        <w:t xml:space="preserve"> </w:t>
      </w:r>
      <w:r>
        <w:t xml:space="preserve">EST-OPS-2027 ·</w:t>
      </w:r>
      <w:r>
        <w:t xml:space="preserve"> </w:t>
      </w:r>
      <w:r>
        <w:rPr>
          <w:bCs/>
          <w:b/>
        </w:rPr>
        <w:t xml:space="preserve">Área responsable:</w:t>
      </w:r>
      <w:r>
        <w:t xml:space="preserve"> </w:t>
      </w:r>
      <w:r>
        <w:t xml:space="preserve">Dirección de operaciones ·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borrador para el comité de operaciones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En el segundo semestre de 2026 los quiebres de stock en categorías críticas se concentraron en pocos locales y explicaron buena parte de la caída de ventas de analgésicos. Al mismo tiempo, los pedidos a domicilio y el retiro en local crecen más rápido que la venta en mostrador.</w:t>
      </w:r>
    </w:p>
    <w:bookmarkEnd w:id="20"/>
    <w:bookmarkStart w:id="24" w:name="tres-prioridades-para-2027"/>
    <w:p>
      <w:pPr>
        <w:pStyle w:val="Heading2"/>
      </w:pPr>
      <w:r>
        <w:t xml:space="preserve">Tres prioridades para 2027</w:t>
      </w:r>
    </w:p>
    <w:bookmarkStart w:id="21" w:name="disponibilidad-primero"/>
    <w:p>
      <w:pPr>
        <w:pStyle w:val="Heading3"/>
      </w:pPr>
      <w:r>
        <w:t xml:space="preserve">1. Disponibilidad primero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Meta:</w:t>
      </w:r>
      <w:r>
        <w:t xml:space="preserve"> </w:t>
      </w:r>
      <w:r>
        <w:t xml:space="preserve">menos de 5 días-SKU en quiebre por local y mes en analgésicos, antigripales y cadena de frío.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Cómo:</w:t>
      </w:r>
      <w:r>
        <w:t xml:space="preserve"> </w:t>
      </w:r>
      <w:r>
        <w:t xml:space="preserve">revisar los parámetros de reposición de los locales con más quiebres, reforzar las transferencias entre locales (POL-OPS-003) y anticipar la temporada respiratoria en la Sierra.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Indicador líder:</w:t>
      </w:r>
      <w:r>
        <w:t xml:space="preserve"> </w:t>
      </w:r>
      <w:r>
        <w:t xml:space="preserve">porcentaje de SKU críticos por encima de su stock mínimo al cierre del día.</w:t>
      </w:r>
    </w:p>
    <w:bookmarkEnd w:id="21"/>
    <w:bookmarkStart w:id="22" w:name="Xec923e3882178ea933fe0ccd10bf218a2e0639b"/>
    <w:p>
      <w:pPr>
        <w:pStyle w:val="Heading3"/>
      </w:pPr>
      <w:r>
        <w:t xml:space="preserve">2. Crecer el canal digital donde ya hay locales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Meta:</w:t>
      </w:r>
      <w:r>
        <w:t xml:space="preserve"> </w:t>
      </w:r>
      <w:r>
        <w:t xml:space="preserve">llevar el domicilio a Manta en el primer trimestre de 2027 y reducir el tiempo de entrega en Loja de 4 a 3 horas.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Cómo:</w:t>
      </w:r>
      <w:r>
        <w:t xml:space="preserve"> </w:t>
      </w:r>
      <w:r>
        <w:t xml:space="preserve">usar los locales como mini centros de despacho; priorizar locales con buena disponibilidad.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Riesgo:</w:t>
      </w:r>
      <w:r>
        <w:t xml:space="preserve"> </w:t>
      </w:r>
      <w:r>
        <w:t xml:space="preserve">un local con quiebres frecuentes no puede ser punto de despacho; primero se resuelve la prioridad 1.</w:t>
      </w:r>
    </w:p>
    <w:bookmarkEnd w:id="22"/>
    <w:bookmarkStart w:id="23" w:name="retiro-en-local-como-puerta-de-entrada"/>
    <w:p>
      <w:pPr>
        <w:pStyle w:val="Heading3"/>
      </w:pPr>
      <w:r>
        <w:t xml:space="preserve">3. Retiro en local como puerta de entrada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Meta:</w:t>
      </w:r>
      <w:r>
        <w:t xml:space="preserve"> </w:t>
      </w:r>
      <w:r>
        <w:t xml:space="preserve">que el retiro en local llegue al 15% de los pedidos digitales.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Cómo:</w:t>
      </w:r>
      <w:r>
        <w:t xml:space="preserve"> </w:t>
      </w:r>
      <w:r>
        <w:t xml:space="preserve">apartar el pedido en 1 hora, avisar al cliente cuando esté listo y bajar los pedidos no recogidos a menos del 8%.</w:t>
      </w:r>
    </w:p>
    <w:bookmarkEnd w:id="23"/>
    <w:bookmarkEnd w:id="24"/>
    <w:bookmarkStart w:id="25" w:name="decisiones-que-el-comité-debe-tomar"/>
    <w:p>
      <w:pPr>
        <w:pStyle w:val="Heading2"/>
      </w:pPr>
      <w:r>
        <w:t xml:space="preserve">Decisiones que el comité debe tomar</w:t>
      </w:r>
    </w:p>
    <w:p>
      <w:pPr>
        <w:numPr>
          <w:ilvl w:val="0"/>
          <w:numId w:val="1004"/>
        </w:numPr>
        <w:pStyle w:val="Compact"/>
      </w:pPr>
      <w:r>
        <w:t xml:space="preserve">Qué locales entran a un plan de choque de disponibilidad en enero.</w:t>
      </w:r>
    </w:p>
    <w:p>
      <w:pPr>
        <w:numPr>
          <w:ilvl w:val="0"/>
          <w:numId w:val="1004"/>
        </w:numPr>
        <w:pStyle w:val="Compact"/>
      </w:pPr>
      <w:r>
        <w:t xml:space="preserve">Si la campaña</w:t>
      </w:r>
      <w:r>
        <w:t xml:space="preserve"> </w:t>
      </w:r>
      <w:r>
        <w:t xml:space="preserve">“</w:t>
      </w:r>
      <w:r>
        <w:t xml:space="preserve">Respira Bien</w:t>
      </w:r>
      <w:r>
        <w:t xml:space="preserve">”</w:t>
      </w:r>
      <w:r>
        <w:t xml:space="preserve"> </w:t>
      </w:r>
      <w:r>
        <w:t xml:space="preserve">se repite en 2027 con más anticipación en la Sierra.</w:t>
      </w:r>
    </w:p>
    <w:p>
      <w:pPr>
        <w:numPr>
          <w:ilvl w:val="0"/>
          <w:numId w:val="1004"/>
        </w:numPr>
        <w:pStyle w:val="Compact"/>
      </w:pPr>
      <w:r>
        <w:t xml:space="preserve">Qué indicadores se revisan cada lunes y quién los presenta.</w:t>
      </w:r>
    </w:p>
    <w:bookmarkEnd w:id="25"/>
    <w:bookmarkStart w:id="26" w:name="lo-que-no-está-en-este-plan"/>
    <w:p>
      <w:pPr>
        <w:pStyle w:val="Heading2"/>
      </w:pPr>
      <w:r>
        <w:t xml:space="preserve">Lo que no está en este plan</w:t>
      </w:r>
    </w:p>
    <w:p>
      <w:pPr>
        <w:pStyle w:val="FirstParagraph"/>
      </w:pPr>
      <w:r>
        <w:t xml:space="preserve">Apertura de nuevos locales, cambios de surtido por marca y precios. Se discuten en otros comités.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2026-10-19T19:19:07Z</dcterms:created>
  <dcterms:modified xsi:type="dcterms:W3CDTF">2026-10-19T19:19:07Z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