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86b735f1318685860fd8dbb18071c730b4d3b9"/>
    <w:p>
      <w:pPr>
        <w:pStyle w:val="Heading1"/>
      </w:pPr>
      <w:r>
        <w:t xml:space="preserve">Política de devoluciones y cambios — Locales Fybeca y SanaSana</w:t>
      </w:r>
    </w:p>
    <w:p>
      <w:pPr>
        <w:pStyle w:val="BlockText"/>
      </w:pPr>
      <w:r>
        <w:rPr>
          <w:bCs/>
          <w:b/>
        </w:rPr>
        <w:t xml:space="preserve">Documento ficticio para el workshop de Amazon Quick.</w:t>
      </w:r>
      <w:r>
        <w:t xml:space="preserve"> </w:t>
      </w:r>
      <w:r>
        <w:t xml:space="preserve">No refleja políticas reales de Corporación GPF.</w:t>
      </w:r>
    </w:p>
    <w:p>
      <w:pPr>
        <w:pStyle w:val="FirstParagraph"/>
      </w:pPr>
      <w:r>
        <w:rPr>
          <w:bCs/>
          <w:b/>
        </w:rPr>
        <w:t xml:space="preserve">Código:</w:t>
      </w:r>
      <w:r>
        <w:t xml:space="preserve"> </w:t>
      </w:r>
      <w:r>
        <w:t xml:space="preserve">POL-OPS-001 ·</w:t>
      </w:r>
      <w:r>
        <w:t xml:space="preserve"> </w:t>
      </w:r>
      <w:r>
        <w:rPr>
          <w:bCs/>
          <w:b/>
        </w:rPr>
        <w:t xml:space="preserve">Versión:</w:t>
      </w:r>
      <w:r>
        <w:t xml:space="preserve"> </w:t>
      </w:r>
      <w:r>
        <w:t xml:space="preserve">2.1 ·</w:t>
      </w:r>
      <w:r>
        <w:t xml:space="preserve"> </w:t>
      </w:r>
      <w:r>
        <w:rPr>
          <w:bCs/>
          <w:b/>
        </w:rPr>
        <w:t xml:space="preserve">Área responsable:</w:t>
      </w:r>
      <w:r>
        <w:t xml:space="preserve"> </w:t>
      </w:r>
      <w:r>
        <w:t xml:space="preserve">Operaciones de farmacia</w:t>
      </w:r>
    </w:p>
    <w:bookmarkStart w:id="2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Definir cuándo y cómo un local acepta la devolución o el cambio de un producto vendido, para proteger la salud del cliente y la integridad del inventario.</w:t>
      </w:r>
    </w:p>
    <w:bookmarkEnd w:id="20"/>
    <w:bookmarkStart w:id="21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a todos los locales Fybeca y SanaSana y a los pedidos con retiro en local. Las compras a domicilio siguen esta política y, además, el procedimiento del canal digital.</w:t>
      </w:r>
    </w:p>
    <w:bookmarkEnd w:id="21"/>
    <w:bookmarkStart w:id="22" w:name="reglas-generales"/>
    <w:p>
      <w:pPr>
        <w:pStyle w:val="Heading2"/>
      </w:pPr>
      <w:r>
        <w:t xml:space="preserve">3. Reglas generales</w:t>
      </w:r>
    </w:p>
    <w:p>
      <w:pPr>
        <w:numPr>
          <w:ilvl w:val="0"/>
          <w:numId w:val="1001"/>
        </w:numPr>
        <w:pStyle w:val="Compact"/>
      </w:pPr>
      <w:r>
        <w:t xml:space="preserve">El cliente puede solicitar devolución o cambio dentro de los</w:t>
      </w:r>
      <w:r>
        <w:t xml:space="preserve"> </w:t>
      </w:r>
      <w:r>
        <w:rPr>
          <w:bCs/>
          <w:b/>
        </w:rPr>
        <w:t xml:space="preserve">7 días calendario</w:t>
      </w:r>
      <w:r>
        <w:t xml:space="preserve"> </w:t>
      </w:r>
      <w:r>
        <w:t xml:space="preserve">siguientes a la compra.</w:t>
      </w:r>
    </w:p>
    <w:p>
      <w:pPr>
        <w:numPr>
          <w:ilvl w:val="0"/>
          <w:numId w:val="1001"/>
        </w:numPr>
        <w:pStyle w:val="Compact"/>
      </w:pPr>
      <w:r>
        <w:t xml:space="preserve">Se exige la factura o el número de pedido.</w:t>
      </w:r>
    </w:p>
    <w:p>
      <w:pPr>
        <w:numPr>
          <w:ilvl w:val="0"/>
          <w:numId w:val="1001"/>
        </w:numPr>
        <w:pStyle w:val="Compact"/>
      </w:pPr>
      <w:r>
        <w:t xml:space="preserve">El producto debe estar</w:t>
      </w:r>
      <w:r>
        <w:t xml:space="preserve"> </w:t>
      </w:r>
      <w:r>
        <w:rPr>
          <w:bCs/>
          <w:b/>
        </w:rPr>
        <w:t xml:space="preserve">sellado, sin uso y en su empaque original</w:t>
      </w:r>
      <w:r>
        <w:t xml:space="preserve">, con el lote y la fecha de vencimiento legibles.</w:t>
      </w:r>
    </w:p>
    <w:p>
      <w:pPr>
        <w:numPr>
          <w:ilvl w:val="0"/>
          <w:numId w:val="1001"/>
        </w:numPr>
        <w:pStyle w:val="Compact"/>
      </w:pPr>
      <w:r>
        <w:t xml:space="preserve">La devolución se reintegra por el mismo medio de pago. Para pagos en efectivo, se emite una nota de crédito.</w:t>
      </w:r>
    </w:p>
    <w:p>
      <w:pPr>
        <w:numPr>
          <w:ilvl w:val="0"/>
          <w:numId w:val="1001"/>
        </w:numPr>
        <w:pStyle w:val="Compact"/>
      </w:pPr>
      <w:r>
        <w:t xml:space="preserve">El jefe de local aprueba las devoluciones mayores a</w:t>
      </w:r>
      <w:r>
        <w:t xml:space="preserve"> </w:t>
      </w:r>
      <w:r>
        <w:rPr>
          <w:bCs/>
          <w:b/>
        </w:rPr>
        <w:t xml:space="preserve">USD 50</w:t>
      </w:r>
      <w:r>
        <w:t xml:space="preserve"> </w:t>
      </w:r>
      <w:r>
        <w:t xml:space="preserve">por transacción.</w:t>
      </w:r>
    </w:p>
    <w:bookmarkEnd w:id="22"/>
    <w:bookmarkStart w:id="23" w:name="productos-que-no-admiten-devolución"/>
    <w:p>
      <w:pPr>
        <w:pStyle w:val="Heading2"/>
      </w:pPr>
      <w:r>
        <w:t xml:space="preserve">4. Productos que no admiten devolución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Productos de</w:t>
            </w:r>
            <w:r>
              <w:t xml:space="preserve"> </w:t>
            </w:r>
            <w:r>
              <w:rPr>
                <w:bCs/>
                <w:b/>
              </w:rPr>
              <w:t xml:space="preserve">cadena de frío</w:t>
            </w:r>
            <w:r>
              <w:t xml:space="preserve"> </w:t>
            </w:r>
            <w:r>
              <w:t xml:space="preserve">(refrigerados)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posible garantizar que se mantuvo la temperatura fuera del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Defecto de fábrica o ruptura de cadena atribuible al local (ver POL-OPS-002)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Medicamentos con empaque abierto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sanitario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Productos de higiene íntima y cuidado del bebé abiertos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sanitario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Productos en liquidación o con fecha corta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Condición informada al momento de la venta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Defecto de fábrica</w:t>
            </w:r>
          </w:p>
        </w:tc>
      </w:tr>
    </w:tbl>
    <w:bookmarkEnd w:id="23"/>
    <w:bookmarkStart w:id="24" w:name="procedimiento-en-el-local"/>
    <w:p>
      <w:pPr>
        <w:pStyle w:val="Heading2"/>
      </w:pPr>
      <w:r>
        <w:t xml:space="preserve">5. Procedimiento en el local</w:t>
      </w:r>
    </w:p>
    <w:p>
      <w:pPr>
        <w:numPr>
          <w:ilvl w:val="0"/>
          <w:numId w:val="1002"/>
        </w:numPr>
        <w:pStyle w:val="Compact"/>
      </w:pPr>
      <w:r>
        <w:t xml:space="preserve">Verificar factura, plazo y estado del producto.</w:t>
      </w:r>
    </w:p>
    <w:p>
      <w:pPr>
        <w:numPr>
          <w:ilvl w:val="0"/>
          <w:numId w:val="1002"/>
        </w:numPr>
        <w:pStyle w:val="Compact"/>
      </w:pPr>
      <w:r>
        <w:t xml:space="preserve">Si el producto es de cadena de frío,</w:t>
      </w:r>
      <w:r>
        <w:t xml:space="preserve"> </w:t>
      </w:r>
      <w:r>
        <w:rPr>
          <w:bCs/>
          <w:b/>
        </w:rPr>
        <w:t xml:space="preserve">no recibirlo en la góndola</w:t>
      </w:r>
      <w:r>
        <w:t xml:space="preserve">: aplicar el punto 6.</w:t>
      </w:r>
    </w:p>
    <w:p>
      <w:pPr>
        <w:numPr>
          <w:ilvl w:val="0"/>
          <w:numId w:val="1002"/>
        </w:numPr>
        <w:pStyle w:val="Compact"/>
      </w:pPr>
      <w:r>
        <w:t xml:space="preserve">Registrar la devolución en el sistema con el motivo:</w:t>
      </w:r>
      <w:r>
        <w:t xml:space="preserve"> </w:t>
      </w:r>
      <w:r>
        <w:rPr>
          <w:iCs/>
          <w:i/>
        </w:rPr>
        <w:t xml:space="preserve">cambio de opinión</w:t>
      </w:r>
      <w:r>
        <w:t xml:space="preserve">,</w:t>
      </w:r>
      <w:r>
        <w:t xml:space="preserve"> </w:t>
      </w:r>
      <w:r>
        <w:rPr>
          <w:iCs/>
          <w:i/>
        </w:rPr>
        <w:t xml:space="preserve">producto equivocado</w:t>
      </w:r>
      <w:r>
        <w:t xml:space="preserve">,</w:t>
      </w:r>
      <w:r>
        <w:t xml:space="preserve"> </w:t>
      </w:r>
      <w:r>
        <w:rPr>
          <w:iCs/>
          <w:i/>
        </w:rPr>
        <w:t xml:space="preserve">defecto de fábrica</w:t>
      </w:r>
      <w:r>
        <w:t xml:space="preserve"> </w:t>
      </w:r>
      <w:r>
        <w:t xml:space="preserve">u</w:t>
      </w:r>
      <w:r>
        <w:t xml:space="preserve"> </w:t>
      </w:r>
      <w:r>
        <w:rPr>
          <w:iCs/>
          <w:i/>
        </w:rPr>
        <w:t xml:space="preserve">otro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Los productos devueltos en buen estado vuelven al inventario. Los productos con defecto pasan a la ubicación</w:t>
      </w:r>
      <w:r>
        <w:t xml:space="preserve"> </w:t>
      </w:r>
      <w:r>
        <w:t xml:space="preserve">“</w:t>
      </w:r>
      <w:r>
        <w:t xml:space="preserve">Cuarentena</w:t>
      </w:r>
      <w:r>
        <w:t xml:space="preserve">”</w:t>
      </w:r>
      <w:r>
        <w:t xml:space="preserve"> </w:t>
      </w:r>
      <w:r>
        <w:t xml:space="preserve">y se reportan al proveedor dentro de 48 horas.</w:t>
      </w:r>
    </w:p>
    <w:bookmarkEnd w:id="24"/>
    <w:bookmarkStart w:id="25" w:name="Xdfab1bf062f9598817542c7dda5ee5cefc1ac55"/>
    <w:p>
      <w:pPr>
        <w:pStyle w:val="Heading2"/>
      </w:pPr>
      <w:r>
        <w:t xml:space="preserve">6. Reclamos sobre productos de cadena de frío</w:t>
      </w:r>
    </w:p>
    <w:p>
      <w:pPr>
        <w:numPr>
          <w:ilvl w:val="0"/>
          <w:numId w:val="1003"/>
        </w:numPr>
        <w:pStyle w:val="Compact"/>
      </w:pPr>
      <w:r>
        <w:t xml:space="preserve">Explicar al cliente que, por seguridad, no se aceptan devoluciones de estos productos una vez que salieron del local.</w:t>
      </w:r>
    </w:p>
    <w:p>
      <w:pPr>
        <w:numPr>
          <w:ilvl w:val="0"/>
          <w:numId w:val="1003"/>
        </w:numPr>
        <w:pStyle w:val="Compact"/>
      </w:pPr>
      <w:r>
        <w:t xml:space="preserve">Si el cliente reporta un</w:t>
      </w:r>
      <w:r>
        <w:t xml:space="preserve"> </w:t>
      </w:r>
      <w:r>
        <w:rPr>
          <w:bCs/>
          <w:b/>
        </w:rPr>
        <w:t xml:space="preserve">defecto de fábrica</w:t>
      </w:r>
      <w:r>
        <w:t xml:space="preserve"> </w:t>
      </w:r>
      <w:r>
        <w:t xml:space="preserve">o sospecha que el producto se entregó fuera de temperatura, registrar el caso como</w:t>
      </w:r>
      <w:r>
        <w:t xml:space="preserve"> </w:t>
      </w:r>
      <w:r>
        <w:rPr>
          <w:iCs/>
          <w:i/>
        </w:rPr>
        <w:t xml:space="preserve">reclamo de cadena de frío</w:t>
      </w:r>
      <w:r>
        <w:t xml:space="preserve"> </w:t>
      </w:r>
      <w:r>
        <w:t xml:space="preserve">con lote, fecha y hora de la venta.</w:t>
      </w:r>
    </w:p>
    <w:p>
      <w:pPr>
        <w:numPr>
          <w:ilvl w:val="0"/>
          <w:numId w:val="1003"/>
        </w:numPr>
        <w:pStyle w:val="Compact"/>
      </w:pPr>
      <w:r>
        <w:t xml:space="preserve">Revisar el registro de temperatura del refrigerador en la fecha de la venta (POL-OPS-002, sección 4).</w:t>
      </w:r>
    </w:p>
    <w:p>
      <w:pPr>
        <w:numPr>
          <w:ilvl w:val="0"/>
          <w:numId w:val="1003"/>
        </w:numPr>
        <w:pStyle w:val="Compact"/>
      </w:pPr>
      <w:r>
        <w:t xml:space="preserve">Escalar al</w:t>
      </w:r>
      <w:r>
        <w:t xml:space="preserve"> </w:t>
      </w:r>
      <w:r>
        <w:rPr>
          <w:bCs/>
          <w:b/>
        </w:rPr>
        <w:t xml:space="preserve">químico farmacéutico responsable</w:t>
      </w:r>
      <w:r>
        <w:t xml:space="preserve"> </w:t>
      </w:r>
      <w:r>
        <w:t xml:space="preserve">del local, que decide en un máximo de 24 horas si procede la reposición del producto.</w:t>
      </w:r>
    </w:p>
    <w:p>
      <w:pPr>
        <w:numPr>
          <w:ilvl w:val="0"/>
          <w:numId w:val="1003"/>
        </w:numPr>
        <w:pStyle w:val="Compact"/>
      </w:pPr>
      <w:r>
        <w:t xml:space="preserve">Si procede, entregar un producto nuevo del mismo lote o de uno vigente; nunca reintegrar el producto reclamado al inventario.</w:t>
      </w:r>
    </w:p>
    <w:bookmarkEnd w:id="25"/>
    <w:bookmarkStart w:id="26" w:name="indicadores"/>
    <w:p>
      <w:pPr>
        <w:pStyle w:val="Heading2"/>
      </w:pPr>
      <w:r>
        <w:t xml:space="preserve">7. Indicadores</w:t>
      </w:r>
    </w:p>
    <w:p>
      <w:pPr>
        <w:numPr>
          <w:ilvl w:val="0"/>
          <w:numId w:val="1004"/>
        </w:numPr>
        <w:pStyle w:val="Compact"/>
      </w:pPr>
      <w:r>
        <w:t xml:space="preserve">Devoluciones como porcentaje de las ventas del local (meta: menos del 0,5%).</w:t>
      </w:r>
    </w:p>
    <w:p>
      <w:pPr>
        <w:numPr>
          <w:ilvl w:val="0"/>
          <w:numId w:val="1004"/>
        </w:numPr>
        <w:pStyle w:val="Compact"/>
      </w:pPr>
      <w:r>
        <w:t xml:space="preserve">Tiempo de respuesta a reclamos de cadena de frío (meta: menos de 24 horas).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2026-10-19T18:57:49Z</dcterms:created>
  <dcterms:modified xsi:type="dcterms:W3CDTF">2026-10-19T18:57:49Z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