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DIAGRAMAS SPRINT 02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01 - </w:t>
      </w:r>
      <w:r w:rsidDel="00000000" w:rsidR="00000000" w:rsidRPr="00000000">
        <w:rPr>
          <w:rtl w:val="0"/>
        </w:rPr>
        <w:t xml:space="preserve">Diagrama de Classes: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67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02 - </w:t>
      </w:r>
      <w:r w:rsidDel="00000000" w:rsidR="00000000" w:rsidRPr="00000000">
        <w:rPr>
          <w:rtl w:val="0"/>
        </w:rPr>
        <w:t xml:space="preserve">Diagrama de Pacotes simples:</w:t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18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b w:val="1"/>
          <w:rtl w:val="0"/>
        </w:rPr>
        <w:t xml:space="preserve">03 - </w:t>
      </w:r>
      <w:r w:rsidDel="00000000" w:rsidR="00000000" w:rsidRPr="00000000">
        <w:rPr>
          <w:rtl w:val="0"/>
        </w:rPr>
        <w:t xml:space="preserve">Diagrama de sequência: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86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04 - </w:t>
      </w:r>
      <w:r w:rsidDel="00000000" w:rsidR="00000000" w:rsidRPr="00000000">
        <w:rPr>
          <w:rtl w:val="0"/>
        </w:rPr>
        <w:t xml:space="preserve">Diagrama de implantação: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860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