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80" w:before="0"/>
      </w:pPr>
      <w:r>
        <w:rPr>
          <w:rFonts w:ascii="Arial" w:cs="Arial" w:eastAsia="Arial" w:hAnsi="Arial"/>
          <w:b/>
          <w:bCs/>
          <w:color w:val="1D9E75"/>
          <w:sz w:val="20"/>
          <w:szCs w:val="20"/>
        </w:rPr>
        <w:t xml:space="preserve">SUR LA BONNE VOIE — دليل عملي</w:t>
      </w:r>
    </w:p>
    <w:p>
      <w:pPr>
        <w:bidi/>
        <w:spacing w:after="60" w:before="0"/>
      </w:pPr>
      <w:r>
        <w:rPr>
          <w:rFonts w:ascii="Arial" w:cs="Arial" w:eastAsia="Arial" w:hAnsi="Arial"/>
          <w:b/>
          <w:bCs/>
          <w:color w:val="1a1a18"/>
          <w:sz w:val="32"/>
          <w:szCs w:val="32"/>
        </w:rPr>
        <w:t xml:space="preserve">إيجاد مسكن بدون أوراق</w:t>
      </w:r>
    </w:p>
    <w:p>
      <w:pPr>
        <w:bidi/>
        <w:spacing w:after="160" w:before="0"/>
      </w:pPr>
      <w:r>
        <w:rPr>
          <w:rFonts w:ascii="Arial" w:cs="Arial" w:eastAsia="Arial" w:hAnsi="Arial"/>
          <w:i/>
          <w:iCs/>
          <w:color w:val="5a5a56"/>
          <w:sz w:val="22"/>
          <w:szCs w:val="22"/>
        </w:rPr>
        <w:t xml:space="preserve">ما يقول الجميع إنه مستحيل — وكيف يتم ذلك فعلاً، بشكل ملموس.</w:t>
      </w:r>
    </w:p>
    <w:p>
      <w:pPr>
        <w:bidi/>
        <w:spacing w:after="80" w:before="80"/>
      </w:pPr>
      <w:r>
        <w:rPr>
          <w:rFonts w:ascii="Arial" w:cs="Arial" w:eastAsia="Arial" w:hAnsi="Arial"/>
          <w:color w:val="5a5a56"/>
          <w:sz w:val="22"/>
          <w:szCs w:val="22"/>
        </w:rPr>
        <w:t xml:space="preserve">هذا الدليل لا يُعوّض المرافقة القانونية. إنه يُقدّم لكم واقع الميدان — الخيارات الرسمية، والمسارات غير الرسمية، وما لا يخبركم به أحد عن دور العلاقات الإنسانية في كل هذا.</w:t>
      </w:r>
    </w:p>
    <w:p>
      <w:pPr>
        <w:bidi/>
        <w:spacing w:after="80" w:before="400"/>
      </w:pPr>
      <w:r>
        <w:rPr>
          <w:rFonts w:ascii="Arial" w:cs="Arial" w:eastAsia="Arial" w:hAnsi="Arial"/>
          <w:b/>
          <w:bCs/>
          <w:color w:val="1D9E75"/>
          <w:sz w:val="18"/>
          <w:szCs w:val="18"/>
        </w:rPr>
        <w:t xml:space="preserve">ما يغطيه هذا الدليل</w:t>
      </w:r>
    </w:p>
    <w:p>
      <w:pPr>
        <w:bidi/>
        <w:spacing w:after="60" w:before="60"/>
        <w:ind w:right="360"/>
      </w:pPr>
      <w:r>
        <w:rPr>
          <w:rFonts w:ascii="Arial" w:cs="Arial" w:eastAsia="Arial" w:hAnsi="Arial"/>
          <w:b/>
          <w:bCs/>
          <w:color w:val="1D9E75"/>
          <w:sz w:val="22"/>
          <w:szCs w:val="22"/>
        </w:rPr>
        <w:t xml:space="preserve">←  </w:t>
      </w:r>
      <w:r>
        <w:rPr>
          <w:rFonts w:ascii="Arial" w:cs="Arial" w:eastAsia="Arial" w:hAnsi="Arial"/>
          <w:color w:val="5a5a56"/>
          <w:sz w:val="22"/>
          <w:szCs w:val="22"/>
        </w:rPr>
        <w:t xml:space="preserve">الخيارات الرسمية: السكن الاجتماعي، OFII، هياكل الاستقبال</w:t>
      </w:r>
    </w:p>
    <w:p>
      <w:pPr>
        <w:bidi/>
        <w:spacing w:after="60" w:before="60"/>
        <w:ind w:right="360"/>
      </w:pPr>
      <w:r>
        <w:rPr>
          <w:rFonts w:ascii="Arial" w:cs="Arial" w:eastAsia="Arial" w:hAnsi="Arial"/>
          <w:b/>
          <w:bCs/>
          <w:color w:val="1D9E75"/>
          <w:sz w:val="22"/>
          <w:szCs w:val="22"/>
        </w:rPr>
        <w:t xml:space="preserve">←  </w:t>
      </w:r>
      <w:r>
        <w:rPr>
          <w:rFonts w:ascii="Arial" w:cs="Arial" w:eastAsia="Arial" w:hAnsi="Arial"/>
          <w:color w:val="5a5a56"/>
          <w:sz w:val="22"/>
          <w:szCs w:val="22"/>
        </w:rPr>
        <w:t xml:space="preserve">المساعدات المالية: CAF، APL، وشروطها الحقيقية</w:t>
      </w:r>
    </w:p>
    <w:p>
      <w:pPr>
        <w:bidi/>
        <w:spacing w:after="60" w:before="60"/>
        <w:ind w:right="360"/>
      </w:pPr>
      <w:r>
        <w:rPr>
          <w:rFonts w:ascii="Arial" w:cs="Arial" w:eastAsia="Arial" w:hAnsi="Arial"/>
          <w:b/>
          <w:bCs/>
          <w:color w:val="1D9E75"/>
          <w:sz w:val="22"/>
          <w:szCs w:val="22"/>
        </w:rPr>
        <w:t xml:space="preserve">←  </w:t>
      </w:r>
      <w:r>
        <w:rPr>
          <w:rFonts w:ascii="Arial" w:cs="Arial" w:eastAsia="Arial" w:hAnsi="Arial"/>
          <w:color w:val="5a5a56"/>
          <w:sz w:val="22"/>
          <w:szCs w:val="22"/>
        </w:rPr>
        <w:t xml:space="preserve">المسار غير الرسمي: كيف تفتح شبكة العلاقات أبواباً تُغلقها الملفات</w:t>
      </w:r>
    </w:p>
    <w:p>
      <w:pPr>
        <w:bidi/>
        <w:spacing w:after="60" w:before="60"/>
        <w:ind w:right="360"/>
      </w:pPr>
      <w:r>
        <w:rPr>
          <w:rFonts w:ascii="Arial" w:cs="Arial" w:eastAsia="Arial" w:hAnsi="Arial"/>
          <w:b/>
          <w:bCs/>
          <w:color w:val="1D9E75"/>
          <w:sz w:val="22"/>
          <w:szCs w:val="22"/>
        </w:rPr>
        <w:t xml:space="preserve">←  </w:t>
      </w:r>
      <w:r>
        <w:rPr>
          <w:rFonts w:ascii="Arial" w:cs="Arial" w:eastAsia="Arial" w:hAnsi="Arial"/>
          <w:color w:val="5a5a56"/>
          <w:sz w:val="22"/>
          <w:szCs w:val="22"/>
        </w:rPr>
        <w:t xml:space="preserve">الحساب البنكي: لماذا يرتبط بالسكن وكيف يُفتح</w:t>
      </w:r>
    </w:p>
    <w:p>
      <w:pPr>
        <w:bidi/>
        <w:spacing w:after="60" w:before="60"/>
        <w:ind w:right="360"/>
      </w:pPr>
      <w:r>
        <w:rPr>
          <w:rFonts w:ascii="Arial" w:cs="Arial" w:eastAsia="Arial" w:hAnsi="Arial"/>
          <w:b/>
          <w:bCs/>
          <w:color w:val="1D9E75"/>
          <w:sz w:val="22"/>
          <w:szCs w:val="22"/>
        </w:rPr>
        <w:t xml:space="preserve">←  </w:t>
      </w:r>
      <w:r>
        <w:rPr>
          <w:rFonts w:ascii="Arial" w:cs="Arial" w:eastAsia="Arial" w:hAnsi="Arial"/>
          <w:color w:val="5a5a56"/>
          <w:sz w:val="22"/>
          <w:szCs w:val="22"/>
        </w:rPr>
        <w:t xml:space="preserve">ما لا يُعلّمه أحد: الموقف الذي يغيّر كل شيء</w:t>
      </w:r>
    </w:p>
    <w:p>
      <w:pPr>
        <w:pBdr>
          <w:bottom w:val="single" w:color="e8e6de" w:sz="4"/>
        </w:pBdr>
        <w:spacing w:after="240" w:before="240"/>
      </w:pPr>
    </w:p>
    <w:p>
      <w:pPr>
        <w:bidi/>
        <w:spacing w:after="100" w:before="360"/>
      </w:pPr>
      <w:r>
        <w:rPr>
          <w:rFonts w:ascii="Arial" w:cs="Arial" w:eastAsia="Arial" w:hAnsi="Arial"/>
          <w:b/>
          <w:bCs/>
          <w:color w:val="1D9E75"/>
          <w:sz w:val="26"/>
          <w:szCs w:val="26"/>
        </w:rPr>
        <w:t xml:space="preserve">01  </w:t>
      </w:r>
      <w:r>
        <w:rPr>
          <w:rFonts w:ascii="Arial" w:cs="Arial" w:eastAsia="Arial" w:hAnsi="Arial"/>
          <w:b/>
          <w:bCs/>
          <w:color w:val="1a1a18"/>
          <w:sz w:val="26"/>
          <w:szCs w:val="26"/>
        </w:rPr>
        <w:t xml:space="preserve">الخيارات الرسمية — ما يوجد فعلاً</w:t>
      </w:r>
    </w:p>
    <w:p>
      <w:pPr>
        <w:bidi/>
        <w:spacing w:after="80" w:before="220"/>
      </w:pPr>
      <w:r>
        <w:rPr>
          <w:rFonts w:ascii="Arial" w:cs="Arial" w:eastAsia="Arial" w:hAnsi="Arial"/>
          <w:b/>
          <w:bCs/>
          <w:color w:val="1a1a18"/>
          <w:sz w:val="22"/>
          <w:szCs w:val="22"/>
        </w:rPr>
        <w:t xml:space="preserve">فهم النظام قبل البحث</w:t>
      </w:r>
    </w:p>
    <w:p>
      <w:pPr>
        <w:bidi/>
        <w:spacing w:after="80" w:before="80"/>
      </w:pPr>
      <w:r>
        <w:rPr>
          <w:rFonts w:ascii="Arial" w:cs="Arial" w:eastAsia="Arial" w:hAnsi="Arial"/>
          <w:color w:val="5a5a56"/>
          <w:sz w:val="22"/>
          <w:szCs w:val="22"/>
        </w:rPr>
        <w:t xml:space="preserve">قبل الارتجال، يجب معرفة ما تضعه الدولة والمؤسسات تحت التصرف. هذه الخيارات لها شروط محددة — بعضها متاح فور الوصول، وبعضها يستلزم تسوية الوضع. معرفتها توفّر الوقت الضائع في الطرق الخطأ.</w:t>
      </w:r>
    </w:p>
    <w:p>
      <w:pPr>
        <w:bidi/>
        <w:spacing w:after="80" w:before="220"/>
      </w:pPr>
      <w:r>
        <w:rPr>
          <w:rFonts w:ascii="Arial" w:cs="Arial" w:eastAsia="Arial" w:hAnsi="Arial"/>
          <w:b/>
          <w:bCs/>
          <w:color w:val="1a1a18"/>
          <w:sz w:val="22"/>
          <w:szCs w:val="22"/>
        </w:rPr>
        <w:t xml:space="preserve">الإيواء الطارئ وهياكل OFII</w:t>
      </w:r>
    </w:p>
    <w:p>
      <w:pPr>
        <w:bidi/>
        <w:spacing w:after="80" w:before="80"/>
      </w:pPr>
      <w:r>
        <w:rPr>
          <w:rFonts w:ascii="Arial" w:cs="Arial" w:eastAsia="Arial" w:hAnsi="Arial"/>
          <w:color w:val="5a5a56"/>
          <w:sz w:val="22"/>
          <w:szCs w:val="22"/>
        </w:rPr>
        <w:t xml:space="preserve">يُدير OFII (المكتب الفرنسي للهجرة والاندماج) هياكل إيواء لطالبي اللجوء أثناء الإجراءات: مراكز CADA ومراكز HUDA. تُخصَّص هذه الأماكن من قِبَل OFII عند تسجيل الطلب — ولا يمكن طلبها مباشرةً.</w:t>
      </w:r>
    </w:p>
    <w:p>
      <w:pPr>
        <w:bidi/>
        <w:spacing w:after="80" w:before="80"/>
      </w:pPr>
      <w:r>
        <w:rPr>
          <w:rFonts w:ascii="Arial" w:cs="Arial" w:eastAsia="Arial" w:hAnsi="Arial"/>
          <w:color w:val="5a5a56"/>
          <w:sz w:val="22"/>
          <w:szCs w:val="22"/>
        </w:rPr>
        <w:t xml:space="preserve">إذا رُفض طلب لجوئكم أو لم تكونوا في مرحلة إجراءات، فهذه الهياكل غير متاحة من حيث المبدأ. قد تتوفر مراكز إيواء طارئة عامة (115، SIAO) حسب المقاطعة، لكن الأماكن شحيحة والمواعيد طويلة.</w:t>
      </w:r>
    </w:p>
    <w:p>
      <w:pPr>
        <w:bidi/>
        <w:spacing w:after="80" w:before="220"/>
      </w:pPr>
      <w:r>
        <w:rPr>
          <w:rFonts w:ascii="Arial" w:cs="Arial" w:eastAsia="Arial" w:hAnsi="Arial"/>
          <w:b/>
          <w:bCs/>
          <w:color w:val="1a1a18"/>
          <w:sz w:val="22"/>
          <w:szCs w:val="22"/>
        </w:rPr>
        <w:t xml:space="preserve">السكن الاجتماعي (HLM)</w:t>
      </w:r>
    </w:p>
    <w:p>
      <w:pPr>
        <w:bidi/>
        <w:spacing w:after="80" w:before="80"/>
      </w:pPr>
      <w:r>
        <w:rPr>
          <w:rFonts w:ascii="Arial" w:cs="Arial" w:eastAsia="Arial" w:hAnsi="Arial"/>
          <w:color w:val="5a5a56"/>
          <w:sz w:val="22"/>
          <w:szCs w:val="22"/>
        </w:rPr>
        <w:t xml:space="preserve">تمتلك كل بلدية فرنسية رصيداً من المساكن الاجتماعية تديرها هيئات HLM أو مُلّاك اجتماعيون محليون. هذه المساكن متاحة بإيجارات أدنى من السوق — لكنها ليست مجانية.</w:t>
      </w:r>
    </w:p>
    <w:p>
      <w:pPr>
        <w:bidi/>
        <w:spacing w:after="80" w:before="400"/>
      </w:pPr>
      <w:r>
        <w:rPr>
          <w:rFonts w:ascii="Arial" w:cs="Arial" w:eastAsia="Arial" w:hAnsi="Arial"/>
          <w:b/>
          <w:bCs/>
          <w:color w:val="1D9E75"/>
          <w:sz w:val="18"/>
          <w:szCs w:val="18"/>
        </w:rPr>
        <w:t xml:space="preserve">شروط مهمة يجب معرفتها</w:t>
      </w:r>
    </w:p>
    <w:p>
      <w:pPr>
        <w:bidi/>
        <w:spacing w:after="60" w:before="60"/>
        <w:ind w:right="360"/>
      </w:pPr>
      <w:r>
        <w:rPr>
          <w:rFonts w:ascii="Arial" w:cs="Arial" w:eastAsia="Arial" w:hAnsi="Arial"/>
          <w:b/>
          <w:bCs/>
          <w:color w:val="1D9E75"/>
          <w:sz w:val="22"/>
          <w:szCs w:val="22"/>
        </w:rPr>
        <w:t xml:space="preserve">←  </w:t>
      </w:r>
      <w:r>
        <w:rPr>
          <w:rFonts w:ascii="Arial" w:cs="Arial" w:eastAsia="Arial" w:hAnsi="Arial"/>
          <w:color w:val="5a5a56"/>
          <w:sz w:val="22"/>
          <w:szCs w:val="22"/>
        </w:rPr>
        <w:t xml:space="preserve">للوصول إلى السكن الاجتماعي، تحتاجون في الغالب إلى تصريح إقامة ساري المفعول.</w:t>
      </w:r>
    </w:p>
    <w:p>
      <w:pPr>
        <w:bidi/>
        <w:spacing w:after="60" w:before="60"/>
        <w:ind w:right="360"/>
      </w:pPr>
      <w:r>
        <w:rPr>
          <w:rFonts w:ascii="Arial" w:cs="Arial" w:eastAsia="Arial" w:hAnsi="Arial"/>
          <w:b/>
          <w:bCs/>
          <w:color w:val="1D9E75"/>
          <w:sz w:val="22"/>
          <w:szCs w:val="22"/>
        </w:rPr>
        <w:t xml:space="preserve">←  </w:t>
      </w:r>
      <w:r>
        <w:rPr>
          <w:rFonts w:ascii="Arial" w:cs="Arial" w:eastAsia="Arial" w:hAnsi="Arial"/>
          <w:color w:val="5a5a56"/>
          <w:sz w:val="22"/>
          <w:szCs w:val="22"/>
        </w:rPr>
        <w:t xml:space="preserve">مدد الانتظار طويلة في الغالب — من عدة أشهر إلى عدة سنوات حسب المناطق.</w:t>
      </w:r>
    </w:p>
    <w:p>
      <w:pPr>
        <w:bidi/>
        <w:spacing w:after="60" w:before="60"/>
        <w:ind w:right="360"/>
      </w:pPr>
      <w:r>
        <w:rPr>
          <w:rFonts w:ascii="Arial" w:cs="Arial" w:eastAsia="Arial" w:hAnsi="Arial"/>
          <w:b/>
          <w:bCs/>
          <w:color w:val="1D9E75"/>
          <w:sz w:val="22"/>
          <w:szCs w:val="22"/>
        </w:rPr>
        <w:t xml:space="preserve">←  </w:t>
      </w:r>
      <w:r>
        <w:rPr>
          <w:rFonts w:ascii="Arial" w:cs="Arial" w:eastAsia="Arial" w:hAnsi="Arial"/>
          <w:color w:val="5a5a56"/>
          <w:sz w:val="22"/>
          <w:szCs w:val="22"/>
        </w:rPr>
        <w:t xml:space="preserve">يُقدَّم الطلب عبر نموذج الطلب الوطني للسكن الاجتماعي (cerfa n°14069)، قابل للتقديم في البلدية أو عبر الإنترنت على monlogementssocial.gouv.fr.</w:t>
      </w:r>
    </w:p>
    <w:p>
      <w:pPr>
        <w:bidi/>
        <w:spacing w:after="60" w:before="60"/>
        <w:ind w:right="360"/>
      </w:pPr>
      <w:r>
        <w:rPr>
          <w:rFonts w:ascii="Arial" w:cs="Arial" w:eastAsia="Arial" w:hAnsi="Arial"/>
          <w:b/>
          <w:bCs/>
          <w:color w:val="1D9E75"/>
          <w:sz w:val="22"/>
          <w:szCs w:val="22"/>
        </w:rPr>
        <w:t xml:space="preserve">←  </w:t>
      </w:r>
      <w:r>
        <w:rPr>
          <w:rFonts w:ascii="Arial" w:cs="Arial" w:eastAsia="Arial" w:hAnsi="Arial"/>
          <w:color w:val="5a5a56"/>
          <w:sz w:val="22"/>
          <w:szCs w:val="22"/>
        </w:rPr>
        <w:t xml:space="preserve">بعض البلديات أو الجمعيات المحلية يمكنها مرافقة طلبكم — استعلموا لدى CCAS في مدينتكم.</w:t>
      </w:r>
    </w:p>
    <w:p>
      <w:pPr>
        <w:bidi/>
        <w:spacing w:after="80" w:before="220"/>
      </w:pPr>
      <w:r>
        <w:rPr>
          <w:rFonts w:ascii="Arial" w:cs="Arial" w:eastAsia="Arial" w:hAnsi="Arial"/>
          <w:b/>
          <w:bCs/>
          <w:color w:val="1a1a18"/>
          <w:sz w:val="22"/>
          <w:szCs w:val="22"/>
        </w:rPr>
        <w:t xml:space="preserve">الجمعيات المحلية للمساعدة في السكن</w:t>
      </w:r>
    </w:p>
    <w:p>
      <w:pPr>
        <w:bidi/>
        <w:spacing w:after="80" w:before="80"/>
      </w:pPr>
      <w:r>
        <w:rPr>
          <w:rFonts w:ascii="Arial" w:cs="Arial" w:eastAsia="Arial" w:hAnsi="Arial"/>
          <w:color w:val="5a5a56"/>
          <w:sz w:val="22"/>
          <w:szCs w:val="22"/>
        </w:rPr>
        <w:t xml:space="preserve">في كل مقاطعة، جمعيات متخصصة ترافق الأشخاص الذين يعانون من صعوبات السكن: البحث عن إيواء مؤقت، الوساطة مع الملاك، الوصول إلى الحقوق. يمكن لـ CCAS في بلديتكم، أو SIAO، أو جمعيات كـ Emmaüs أو الصليب الأحمر، توجيهكم حسب وضعكم المحدد.</w:t>
      </w:r>
    </w:p>
    <w:p>
      <w:pPr>
        <w:pBdr>
          <w:bottom w:val="single" w:color="e8e6de" w:sz="4"/>
        </w:pBdr>
        <w:spacing w:after="240" w:before="240"/>
      </w:pPr>
    </w:p>
    <w:p>
      <w:pPr>
        <w:bidi/>
        <w:spacing w:after="100" w:before="360"/>
      </w:pPr>
      <w:r>
        <w:rPr>
          <w:rFonts w:ascii="Arial" w:cs="Arial" w:eastAsia="Arial" w:hAnsi="Arial"/>
          <w:b/>
          <w:bCs/>
          <w:color w:val="1D9E75"/>
          <w:sz w:val="26"/>
          <w:szCs w:val="26"/>
        </w:rPr>
        <w:t xml:space="preserve">02  </w:t>
      </w:r>
      <w:r>
        <w:rPr>
          <w:rFonts w:ascii="Arial" w:cs="Arial" w:eastAsia="Arial" w:hAnsi="Arial"/>
          <w:b/>
          <w:bCs/>
          <w:color w:val="1a1a18"/>
          <w:sz w:val="26"/>
          <w:szCs w:val="26"/>
        </w:rPr>
        <w:t xml:space="preserve">CAF والمساعدات السكنية</w:t>
      </w:r>
    </w:p>
    <w:p>
      <w:pPr>
        <w:bidi/>
        <w:spacing w:after="80" w:before="220"/>
      </w:pPr>
      <w:r>
        <w:rPr>
          <w:rFonts w:ascii="Arial" w:cs="Arial" w:eastAsia="Arial" w:hAnsi="Arial"/>
          <w:b/>
          <w:bCs/>
          <w:color w:val="1a1a18"/>
          <w:sz w:val="22"/>
          <w:szCs w:val="22"/>
        </w:rPr>
        <w:t xml:space="preserve">ما يمكنكم الحصول عليه — وما يُطلب منكم</w:t>
      </w:r>
    </w:p>
    <w:p>
      <w:pPr>
        <w:bidi/>
        <w:spacing w:after="80" w:before="80"/>
      </w:pPr>
      <w:r>
        <w:rPr>
          <w:rFonts w:ascii="Arial" w:cs="Arial" w:eastAsia="Arial" w:hAnsi="Arial"/>
          <w:color w:val="5a5a56"/>
          <w:sz w:val="22"/>
          <w:szCs w:val="22"/>
        </w:rPr>
        <w:t xml:space="preserve">تمنح Caisse d'Allocations Familiales (CAF) مساعدات سكنية تهدف إلى تخفيض مبلغ الإيجار. الأساسية منها: APL (المساعدة الشخصية للسكن) وALS (مخصصات السكن الاجتماعي). تُدفع هذه المساعدات مباشرةً للمالك أو للمستأجر حسب الحالات.</w:t>
      </w:r>
    </w:p>
    <w:p>
      <w:pPr>
        <w:bidi/>
        <w:spacing w:after="80" w:before="400"/>
      </w:pPr>
      <w:r>
        <w:rPr>
          <w:rFonts w:ascii="Arial" w:cs="Arial" w:eastAsia="Arial" w:hAnsi="Arial"/>
          <w:b/>
          <w:bCs/>
          <w:color w:val="1D9E75"/>
          <w:sz w:val="18"/>
          <w:szCs w:val="18"/>
        </w:rPr>
        <w:t xml:space="preserve">ما لا يخبركم به أحد عن CAF</w:t>
      </w:r>
    </w:p>
    <w:p>
      <w:pPr>
        <w:bidi/>
        <w:spacing w:after="60" w:before="60"/>
        <w:ind w:right="360"/>
      </w:pPr>
      <w:r>
        <w:rPr>
          <w:rFonts w:ascii="Arial" w:cs="Arial" w:eastAsia="Arial" w:hAnsi="Arial"/>
          <w:b/>
          <w:bCs/>
          <w:color w:val="1D9E75"/>
          <w:sz w:val="22"/>
          <w:szCs w:val="22"/>
        </w:rPr>
        <w:t xml:space="preserve">←  </w:t>
      </w:r>
      <w:r>
        <w:rPr>
          <w:rFonts w:ascii="Arial" w:cs="Arial" w:eastAsia="Arial" w:hAnsi="Arial"/>
          <w:color w:val="5a5a56"/>
          <w:sz w:val="22"/>
          <w:szCs w:val="22"/>
        </w:rPr>
        <w:t xml:space="preserve">لتلقي مساعدات CAF، تحتاجون في الغالب إلى تصريح إقامة ساري المفعول.</w:t>
      </w:r>
    </w:p>
    <w:p>
      <w:pPr>
        <w:bidi/>
        <w:spacing w:after="60" w:before="60"/>
        <w:ind w:right="360"/>
      </w:pPr>
      <w:r>
        <w:rPr>
          <w:rFonts w:ascii="Arial" w:cs="Arial" w:eastAsia="Arial" w:hAnsi="Arial"/>
          <w:b/>
          <w:bCs/>
          <w:color w:val="1D9E75"/>
          <w:sz w:val="22"/>
          <w:szCs w:val="22"/>
        </w:rPr>
        <w:t xml:space="preserve">←  </w:t>
      </w:r>
      <w:r>
        <w:rPr>
          <w:rFonts w:ascii="Arial" w:cs="Arial" w:eastAsia="Arial" w:hAnsi="Arial"/>
          <w:color w:val="5a5a56"/>
          <w:sz w:val="22"/>
          <w:szCs w:val="22"/>
        </w:rPr>
        <w:t xml:space="preserve">يمكن لطالبي اللجوء أثناء الإجراءات في بعض الحالات الاستفادة من ADA (مخصصات طالبي اللجوء)، التي يديرها OFII — وهي ليست نفس مساعدات CAF.</w:t>
      </w:r>
    </w:p>
    <w:p>
      <w:pPr>
        <w:bidi/>
        <w:spacing w:after="60" w:before="60"/>
        <w:ind w:right="360"/>
      </w:pPr>
      <w:r>
        <w:rPr>
          <w:rFonts w:ascii="Arial" w:cs="Arial" w:eastAsia="Arial" w:hAnsi="Arial"/>
          <w:b/>
          <w:bCs/>
          <w:color w:val="1D9E75"/>
          <w:sz w:val="22"/>
          <w:szCs w:val="22"/>
        </w:rPr>
        <w:t xml:space="preserve">←  </w:t>
      </w:r>
      <w:r>
        <w:rPr>
          <w:rFonts w:ascii="Arial" w:cs="Arial" w:eastAsia="Arial" w:hAnsi="Arial"/>
          <w:color w:val="5a5a56"/>
          <w:sz w:val="22"/>
          <w:szCs w:val="22"/>
        </w:rPr>
        <w:t xml:space="preserve">بمجرد تسوية وضعكم، تقدّموا بطلب CAF بسرعة — قد تكون المساعدات بأثر رجعي ضمن آجال معينة.</w:t>
      </w:r>
    </w:p>
    <w:p>
      <w:pPr>
        <w:bidi/>
        <w:spacing w:after="60" w:before="60"/>
        <w:ind w:right="360"/>
      </w:pPr>
      <w:r>
        <w:rPr>
          <w:rFonts w:ascii="Arial" w:cs="Arial" w:eastAsia="Arial" w:hAnsi="Arial"/>
          <w:b/>
          <w:bCs/>
          <w:color w:val="1D9E75"/>
          <w:sz w:val="22"/>
          <w:szCs w:val="22"/>
        </w:rPr>
        <w:t xml:space="preserve">←  </w:t>
      </w:r>
      <w:r>
        <w:rPr>
          <w:rFonts w:ascii="Arial" w:cs="Arial" w:eastAsia="Arial" w:hAnsi="Arial"/>
          <w:color w:val="5a5a56"/>
          <w:sz w:val="22"/>
          <w:szCs w:val="22"/>
        </w:rPr>
        <w:t xml:space="preserve">يجب أن يستوفي المسكن معايير اللياقة (المساحة، التجهيزات) ليكون مؤهلاً للمساعدات.</w:t>
      </w:r>
    </w:p>
    <w:p>
      <w:pPr>
        <w:bidi/>
        <w:spacing w:after="60" w:before="60"/>
        <w:ind w:right="360"/>
      </w:pPr>
      <w:r>
        <w:rPr>
          <w:rFonts w:ascii="Arial" w:cs="Arial" w:eastAsia="Arial" w:hAnsi="Arial"/>
          <w:b/>
          <w:bCs/>
          <w:color w:val="1D9E75"/>
          <w:sz w:val="22"/>
          <w:szCs w:val="22"/>
        </w:rPr>
        <w:t xml:space="preserve">←  </w:t>
      </w:r>
      <w:r>
        <w:rPr>
          <w:rFonts w:ascii="Arial" w:cs="Arial" w:eastAsia="Arial" w:hAnsi="Arial"/>
          <w:color w:val="5a5a56"/>
          <w:sz w:val="22"/>
          <w:szCs w:val="22"/>
        </w:rPr>
        <w:t xml:space="preserve">CAF لا تؤجر شققاً — بل تساعد على دفع إيجار أنتم تملكونه فعلاً.</w:t>
      </w:r>
    </w:p>
    <w:p>
      <w:pPr>
        <w:pBdr>
          <w:bottom w:val="single" w:color="e8e6de" w:sz="4"/>
        </w:pBdr>
        <w:spacing w:after="240" w:before="240"/>
      </w:pPr>
    </w:p>
    <w:p>
      <w:pPr>
        <w:bidi/>
        <w:spacing w:after="100" w:before="360"/>
      </w:pPr>
      <w:r>
        <w:rPr>
          <w:rFonts w:ascii="Arial" w:cs="Arial" w:eastAsia="Arial" w:hAnsi="Arial"/>
          <w:b/>
          <w:bCs/>
          <w:color w:val="1D9E75"/>
          <w:sz w:val="26"/>
          <w:szCs w:val="26"/>
        </w:rPr>
        <w:t xml:space="preserve">03  </w:t>
      </w:r>
      <w:r>
        <w:rPr>
          <w:rFonts w:ascii="Arial" w:cs="Arial" w:eastAsia="Arial" w:hAnsi="Arial"/>
          <w:b/>
          <w:bCs/>
          <w:color w:val="1a1a18"/>
          <w:sz w:val="26"/>
          <w:szCs w:val="26"/>
        </w:rPr>
        <w:t xml:space="preserve">المسار غير الرسمي — ما لا تستطيع الملفات فعله</w:t>
      </w:r>
    </w:p>
    <w:p>
      <w:pPr>
        <w:bidi/>
        <w:spacing w:after="80" w:before="220"/>
      </w:pPr>
      <w:r>
        <w:rPr>
          <w:rFonts w:ascii="Arial" w:cs="Arial" w:eastAsia="Arial" w:hAnsi="Arial"/>
          <w:b/>
          <w:bCs/>
          <w:color w:val="1a1a18"/>
          <w:sz w:val="22"/>
          <w:szCs w:val="22"/>
        </w:rPr>
        <w:t xml:space="preserve">شبكة العلاقات الإنسانية كأداة سكن أولى</w:t>
      </w:r>
    </w:p>
    <w:p>
      <w:pPr>
        <w:bidi/>
        <w:spacing w:after="80" w:before="80"/>
      </w:pPr>
      <w:r>
        <w:rPr>
          <w:rFonts w:ascii="Arial" w:cs="Arial" w:eastAsia="Arial" w:hAnsi="Arial"/>
          <w:color w:val="5a5a56"/>
          <w:sz w:val="22"/>
          <w:szCs w:val="22"/>
        </w:rPr>
        <w:t xml:space="preserve">بالتوازي مع الدوائر الرسمية — وغالباً قبل الوصول إليها — ثمة واقع لا تذكره الأدلة المؤسسية أبداً: في فرنسا، لا سيما في المدن المتوسطة والقرى، يتم جزء مهم من الإيجارات بين أفراد، بالتوصية الشخصية، على أساس الثقة الشخصية.</w:t>
      </w:r>
    </w:p>
    <w:p>
      <w:pPr>
        <w:bidi/>
        <w:spacing w:after="80" w:before="80"/>
      </w:pPr>
      <w:r>
        <w:rPr>
          <w:rFonts w:ascii="Arial" w:cs="Arial" w:eastAsia="Arial" w:hAnsi="Arial"/>
          <w:color w:val="5a5a56"/>
          <w:sz w:val="22"/>
          <w:szCs w:val="22"/>
        </w:rPr>
        <w:t xml:space="preserve">هؤلاء الملاك لا يُعلنون دائماً عن ممتلكاتهم على المنصات الكبرى. يؤجّرون لأشخاص يعرفونهم — أو لأشخاص موصى بهم من شخص يثقون به. الملف الناقص لا يستبعدهم تلقائياً، إذا كان الشخص أمامهم يُلهم الثقة والاحترام.</w:t>
      </w:r>
    </w:p>
    <w:p>
      <w:pPr>
        <w:bidi/>
        <w:spacing w:after="80" w:before="80"/>
      </w:pPr>
      <w:r>
        <w:rPr>
          <w:rFonts w:ascii="Arial" w:cs="Arial" w:eastAsia="Arial" w:hAnsi="Arial"/>
          <w:i/>
          <w:iCs/>
          <w:color w:val="5a5a56"/>
          <w:sz w:val="22"/>
          <w:szCs w:val="22"/>
        </w:rPr>
        <w:t xml:space="preserve">هذا ليس حيلة. إنها واقع اجتماعي فرنسي تحققنا منه — وتحقق منه عشرات الأشخاص الذين نعمل معهم.</w:t>
      </w:r>
    </w:p>
    <w:p>
      <w:pPr>
        <w:bidi/>
        <w:spacing w:after="80" w:before="400"/>
      </w:pPr>
      <w:r>
        <w:rPr>
          <w:rFonts w:ascii="Arial" w:cs="Arial" w:eastAsia="Arial" w:hAnsi="Arial"/>
          <w:b/>
          <w:bCs/>
          <w:color w:val="1D9E75"/>
          <w:sz w:val="18"/>
          <w:szCs w:val="18"/>
        </w:rPr>
        <w:t xml:space="preserve">كيف تدخلون هذه الدائرة من الثقة</w:t>
      </w:r>
    </w:p>
    <w:p>
      <w:pPr>
        <w:bidi/>
        <w:spacing w:after="60" w:before="60"/>
        <w:ind w:right="360"/>
      </w:pPr>
      <w:r>
        <w:rPr>
          <w:rFonts w:ascii="Arial" w:cs="Arial" w:eastAsia="Arial" w:hAnsi="Arial"/>
          <w:b/>
          <w:bCs/>
          <w:color w:val="1D9E75"/>
          <w:sz w:val="22"/>
          <w:szCs w:val="22"/>
        </w:rPr>
        <w:t xml:space="preserve">←  </w:t>
      </w:r>
      <w:r>
        <w:rPr>
          <w:rFonts w:ascii="Arial" w:cs="Arial" w:eastAsia="Arial" w:hAnsi="Arial"/>
          <w:color w:val="5a5a56"/>
          <w:sz w:val="22"/>
          <w:szCs w:val="22"/>
        </w:rPr>
        <w:t xml:space="preserve">مجموعات فيسبوك للقرى والبلديات أداة مُهمَلة. الملاك الخاصون والتجار المحليون وأصحاب الشأن غالباً فوق الأربعين — ويستخدمون فيسبوك كشبكتهم الرئيسية.</w:t>
      </w:r>
    </w:p>
    <w:p>
      <w:pPr>
        <w:bidi/>
        <w:spacing w:after="60" w:before="60"/>
        <w:ind w:right="360"/>
      </w:pPr>
      <w:r>
        <w:rPr>
          <w:rFonts w:ascii="Arial" w:cs="Arial" w:eastAsia="Arial" w:hAnsi="Arial"/>
          <w:b/>
          <w:bCs/>
          <w:color w:val="1D9E75"/>
          <w:sz w:val="22"/>
          <w:szCs w:val="22"/>
        </w:rPr>
        <w:t xml:space="preserve">←  </w:t>
      </w:r>
      <w:r>
        <w:rPr>
          <w:rFonts w:ascii="Arial" w:cs="Arial" w:eastAsia="Arial" w:hAnsi="Arial"/>
          <w:color w:val="5a5a56"/>
          <w:sz w:val="22"/>
          <w:szCs w:val="22"/>
        </w:rPr>
        <w:t xml:space="preserve">منشور تعريفي جيد الصياغة — يقدّم ملفكم الشخصي ومشروع اندماجكم وبحثكم عن مسكن مع صورة دافئة — يولّد في الغالب ردوداً غير متوقعة.</w:t>
      </w:r>
    </w:p>
    <w:p>
      <w:pPr>
        <w:bidi/>
        <w:spacing w:after="60" w:before="60"/>
        <w:ind w:right="360"/>
      </w:pPr>
      <w:r>
        <w:rPr>
          <w:rFonts w:ascii="Arial" w:cs="Arial" w:eastAsia="Arial" w:hAnsi="Arial"/>
          <w:b/>
          <w:bCs/>
          <w:color w:val="1D9E75"/>
          <w:sz w:val="22"/>
          <w:szCs w:val="22"/>
        </w:rPr>
        <w:t xml:space="preserve">←  </w:t>
      </w:r>
      <w:r>
        <w:rPr>
          <w:rFonts w:ascii="Arial" w:cs="Arial" w:eastAsia="Arial" w:hAnsi="Arial"/>
          <w:color w:val="5a5a56"/>
          <w:sz w:val="22"/>
          <w:szCs w:val="22"/>
        </w:rPr>
        <w:t xml:space="preserve">الأسلوب مهم بقدر المحتوى. رسالة تُقدّم شخصاً عازماً ومحترماً تُلهم شيئاً مختلفاً عن الشفقة — وذلك هو ما يفتح الأبواب.</w:t>
      </w:r>
    </w:p>
    <w:p>
      <w:pPr>
        <w:bidi/>
        <w:spacing w:after="60" w:before="60"/>
        <w:ind w:right="360"/>
      </w:pPr>
      <w:r>
        <w:rPr>
          <w:rFonts w:ascii="Arial" w:cs="Arial" w:eastAsia="Arial" w:hAnsi="Arial"/>
          <w:b/>
          <w:bCs/>
          <w:color w:val="1D9E75"/>
          <w:sz w:val="22"/>
          <w:szCs w:val="22"/>
        </w:rPr>
        <w:t xml:space="preserve">←  </w:t>
      </w:r>
      <w:r>
        <w:rPr>
          <w:rFonts w:ascii="Arial" w:cs="Arial" w:eastAsia="Arial" w:hAnsi="Arial"/>
          <w:color w:val="5a5a56"/>
          <w:sz w:val="22"/>
          <w:szCs w:val="22"/>
        </w:rPr>
        <w:t xml:space="preserve">النشر بالفرنسية والإنجليزية معاً يُوسّع جمهوركم ويُظهر أنكم تبذلون جهداً للاقتراب من الثقافة المحلية.</w:t>
      </w:r>
    </w:p>
    <w:p>
      <w:pPr>
        <w:pBdr>
          <w:bottom w:val="single" w:color="e8e6de" w:sz="4"/>
        </w:pBdr>
        <w:spacing w:after="240" w:before="240"/>
      </w:pPr>
    </w:p>
    <w:p>
      <w:pPr>
        <w:bidi/>
        <w:spacing w:after="100" w:before="360"/>
      </w:pPr>
      <w:r>
        <w:rPr>
          <w:rFonts w:ascii="Arial" w:cs="Arial" w:eastAsia="Arial" w:hAnsi="Arial"/>
          <w:b/>
          <w:bCs/>
          <w:color w:val="1D9E75"/>
          <w:sz w:val="26"/>
          <w:szCs w:val="26"/>
        </w:rPr>
        <w:t xml:space="preserve">04  </w:t>
      </w:r>
      <w:r>
        <w:rPr>
          <w:rFonts w:ascii="Arial" w:cs="Arial" w:eastAsia="Arial" w:hAnsi="Arial"/>
          <w:b/>
          <w:bCs/>
          <w:color w:val="1a1a18"/>
          <w:sz w:val="26"/>
          <w:szCs w:val="26"/>
        </w:rPr>
        <w:t xml:space="preserve">الموقف الذي يغيّر كل شيء</w:t>
      </w:r>
    </w:p>
    <w:p>
      <w:pPr>
        <w:bidi/>
        <w:spacing w:after="80" w:before="220"/>
      </w:pPr>
      <w:r>
        <w:rPr>
          <w:rFonts w:ascii="Arial" w:cs="Arial" w:eastAsia="Arial" w:hAnsi="Arial"/>
          <w:b/>
          <w:bCs/>
          <w:color w:val="1a1a18"/>
          <w:sz w:val="22"/>
          <w:szCs w:val="22"/>
        </w:rPr>
        <w:t xml:space="preserve">ما لا يمكن وضعه في ملف — لكنه يحسم الأمر في الغالب</w:t>
      </w:r>
    </w:p>
    <w:p>
      <w:pPr>
        <w:bidi/>
        <w:spacing w:after="80" w:before="80"/>
      </w:pPr>
      <w:r>
        <w:rPr>
          <w:rFonts w:ascii="Arial" w:cs="Arial" w:eastAsia="Arial" w:hAnsi="Arial"/>
          <w:color w:val="5a5a56"/>
          <w:sz w:val="22"/>
          <w:szCs w:val="22"/>
        </w:rPr>
        <w:t xml:space="preserve">سواء مررتم بالدوائر الرسمية أو بالأفراد، شيء واحد يبقى ثابتاً: الأشخاص الذين لديهم الوسائل لمساعدتكم — الملاك، موظفو البلدية، مسؤولو الجمعيات، المهنيون الراسخون — يحترمون العمل والنزاهة فوق كل شيء.</w:t>
      </w:r>
    </w:p>
    <w:p>
      <w:pPr>
        <w:bidi/>
        <w:spacing w:after="80" w:before="80"/>
      </w:pPr>
      <w:r>
        <w:rPr>
          <w:rFonts w:ascii="Arial" w:cs="Arial" w:eastAsia="Arial" w:hAnsi="Arial"/>
          <w:color w:val="5a5a56"/>
          <w:sz w:val="22"/>
          <w:szCs w:val="22"/>
        </w:rPr>
        <w:t xml:space="preserve">لن يساعدوكم لأنكم تحتاجون مساعدة. سيساعدونكم لأنهم يحترمونكم. هذا الفرق جوهري، ويغيّر طريقة تقديم أنفسكم، وطريقة طلبكم، وطريقة تصرفكم في كل تفاعل.</w:t>
      </w:r>
    </w:p>
    <w:p>
      <w:pPr>
        <w:bidi/>
        <w:spacing w:after="80" w:before="400"/>
      </w:pPr>
      <w:r>
        <w:rPr>
          <w:rFonts w:ascii="Arial" w:cs="Arial" w:eastAsia="Arial" w:hAnsi="Arial"/>
          <w:b/>
          <w:bCs/>
          <w:color w:val="1D9E75"/>
          <w:sz w:val="18"/>
          <w:szCs w:val="18"/>
        </w:rPr>
        <w:t xml:space="preserve">الخطأ الذي يُكلف كل شيء</w:t>
      </w:r>
    </w:p>
    <w:p>
      <w:pPr>
        <w:bidi/>
        <w:spacing w:after="80" w:before="80"/>
      </w:pPr>
      <w:r>
        <w:rPr>
          <w:rFonts w:ascii="Arial" w:cs="Arial" w:eastAsia="Arial" w:hAnsi="Arial"/>
          <w:color w:val="5a5a56"/>
          <w:sz w:val="22"/>
          <w:szCs w:val="22"/>
        </w:rPr>
        <w:t xml:space="preserve">الاكتفاء بمحيط من أشخاص في الوضع نفسه — بلا أوراق، بلا موارد، بلا شبكة علاقات. هذه الراحة مفهومة. لكنها فخ. مهاجرون في فرنسا منذ سنوات لا يزالون محاصرين لأن دائرتهم لا تستطيع تحريكهم للأمام.</w:t>
      </w:r>
    </w:p>
    <w:p>
      <w:pPr>
        <w:bidi/>
        <w:spacing w:after="80" w:before="80"/>
      </w:pPr>
      <w:r>
        <w:rPr>
          <w:rFonts w:ascii="Arial" w:cs="Arial" w:eastAsia="Arial" w:hAnsi="Arial"/>
          <w:color w:val="5a5a56"/>
          <w:sz w:val="22"/>
          <w:szCs w:val="22"/>
        </w:rPr>
        <w:t xml:space="preserve">كونوا منفتحين على الجميع — لكن ابنوا بنشاط روابط مع أشخاص يملكون قيماً وعملاً وجذوراً في المجتمع المحلي. هم من سيستطيعون يوماً الشهادة لصالحكم، وتزكيتكم، وفتح باب لا تستطيع الإدارة فتحه.</w:t>
      </w:r>
    </w:p>
    <w:p>
      <w:pPr>
        <w:bidi/>
        <w:spacing w:after="80" w:before="400"/>
      </w:pPr>
      <w:r>
        <w:rPr>
          <w:rFonts w:ascii="Arial" w:cs="Arial" w:eastAsia="Arial" w:hAnsi="Arial"/>
          <w:b/>
          <w:bCs/>
          <w:color w:val="1D9E75"/>
          <w:sz w:val="18"/>
          <w:szCs w:val="18"/>
        </w:rPr>
        <w:t xml:space="preserve">ما لا يخبركم به أحد عن عقد الإيجار</w:t>
      </w:r>
    </w:p>
    <w:p>
      <w:pPr>
        <w:bidi/>
        <w:spacing w:after="60" w:before="60"/>
        <w:ind w:right="360"/>
      </w:pPr>
      <w:r>
        <w:rPr>
          <w:rFonts w:ascii="Arial" w:cs="Arial" w:eastAsia="Arial" w:hAnsi="Arial"/>
          <w:b/>
          <w:bCs/>
          <w:color w:val="1D9E75"/>
          <w:sz w:val="22"/>
          <w:szCs w:val="22"/>
        </w:rPr>
        <w:t xml:space="preserve">←  </w:t>
      </w:r>
      <w:r>
        <w:rPr>
          <w:rFonts w:ascii="Arial" w:cs="Arial" w:eastAsia="Arial" w:hAnsi="Arial"/>
          <w:color w:val="5a5a56"/>
          <w:sz w:val="22"/>
          <w:szCs w:val="22"/>
        </w:rPr>
        <w:t xml:space="preserve">عقد مكتوب يحميكم بقدر ما يحمي المالك — أصرّوا على الحصول عليه، حتى لو كان بسيطاً.</w:t>
      </w:r>
    </w:p>
    <w:p>
      <w:pPr>
        <w:bidi/>
        <w:spacing w:after="60" w:before="60"/>
        <w:ind w:right="360"/>
      </w:pPr>
      <w:r>
        <w:rPr>
          <w:rFonts w:ascii="Arial" w:cs="Arial" w:eastAsia="Arial" w:hAnsi="Arial"/>
          <w:b/>
          <w:bCs/>
          <w:color w:val="1D9E75"/>
          <w:sz w:val="22"/>
          <w:szCs w:val="22"/>
        </w:rPr>
        <w:t xml:space="preserve">←  </w:t>
      </w:r>
      <w:r>
        <w:rPr>
          <w:rFonts w:ascii="Arial" w:cs="Arial" w:eastAsia="Arial" w:hAnsi="Arial"/>
          <w:color w:val="5a5a56"/>
          <w:sz w:val="22"/>
          <w:szCs w:val="22"/>
        </w:rPr>
        <w:t xml:space="preserve">عرض بضعة أشهر من الإيجار مقدماً هو الضمان الأكثر فعالية حين لا يتوفر لكم كفيل.</w:t>
      </w:r>
    </w:p>
    <w:p>
      <w:pPr>
        <w:bidi/>
        <w:spacing w:after="60" w:before="60"/>
        <w:ind w:right="360"/>
      </w:pPr>
      <w:r>
        <w:rPr>
          <w:rFonts w:ascii="Arial" w:cs="Arial" w:eastAsia="Arial" w:hAnsi="Arial"/>
          <w:b/>
          <w:bCs/>
          <w:color w:val="1D9E75"/>
          <w:sz w:val="22"/>
          <w:szCs w:val="22"/>
        </w:rPr>
        <w:t xml:space="preserve">←  </w:t>
      </w:r>
      <w:r>
        <w:rPr>
          <w:rFonts w:ascii="Arial" w:cs="Arial" w:eastAsia="Arial" w:hAnsi="Arial"/>
          <w:color w:val="5a5a56"/>
          <w:sz w:val="22"/>
          <w:szCs w:val="22"/>
        </w:rPr>
        <w:t xml:space="preserve">ادفعوا دائماً في الوقت المحدد. سمعتكم كمستأجرين تُبنى شهراً بشهر — وفي القرية، الكل يعلم.</w:t>
      </w:r>
    </w:p>
    <w:p>
      <w:pPr>
        <w:bidi/>
        <w:spacing w:after="60" w:before="60"/>
        <w:ind w:right="360"/>
      </w:pPr>
      <w:r>
        <w:rPr>
          <w:rFonts w:ascii="Arial" w:cs="Arial" w:eastAsia="Arial" w:hAnsi="Arial"/>
          <w:b/>
          <w:bCs/>
          <w:color w:val="1D9E75"/>
          <w:sz w:val="22"/>
          <w:szCs w:val="22"/>
        </w:rPr>
        <w:t xml:space="preserve">←  </w:t>
      </w:r>
      <w:r>
        <w:rPr>
          <w:rFonts w:ascii="Arial" w:cs="Arial" w:eastAsia="Arial" w:hAnsi="Arial"/>
          <w:color w:val="5a5a56"/>
          <w:sz w:val="22"/>
          <w:szCs w:val="22"/>
        </w:rPr>
        <w:t xml:space="preserve">اعتنوا بالمسكن. الملاك يتحدثون فيما بينهم.</w:t>
      </w:r>
    </w:p>
    <w:p>
      <w:pPr>
        <w:pBdr>
          <w:bottom w:val="single" w:color="e8e6de" w:sz="4"/>
        </w:pBdr>
        <w:spacing w:after="240" w:before="240"/>
      </w:pPr>
    </w:p>
    <w:p>
      <w:pPr>
        <w:bidi/>
        <w:spacing w:after="100" w:before="360"/>
      </w:pPr>
      <w:r>
        <w:rPr>
          <w:rFonts w:ascii="Arial" w:cs="Arial" w:eastAsia="Arial" w:hAnsi="Arial"/>
          <w:b/>
          <w:bCs/>
          <w:color w:val="1D9E75"/>
          <w:sz w:val="26"/>
          <w:szCs w:val="26"/>
        </w:rPr>
        <w:t xml:space="preserve">05  </w:t>
      </w:r>
      <w:r>
        <w:rPr>
          <w:rFonts w:ascii="Arial" w:cs="Arial" w:eastAsia="Arial" w:hAnsi="Arial"/>
          <w:b/>
          <w:bCs/>
          <w:color w:val="1a1a18"/>
          <w:sz w:val="26"/>
          <w:szCs w:val="26"/>
        </w:rPr>
        <w:t xml:space="preserve">الحساب البنكي — كل شيء مترابط</w:t>
      </w:r>
    </w:p>
    <w:p>
      <w:pPr>
        <w:bidi/>
        <w:spacing w:after="80" w:before="220"/>
      </w:pPr>
      <w:r>
        <w:rPr>
          <w:rFonts w:ascii="Arial" w:cs="Arial" w:eastAsia="Arial" w:hAnsi="Arial"/>
          <w:b/>
          <w:bCs/>
          <w:color w:val="1a1a18"/>
          <w:sz w:val="22"/>
          <w:szCs w:val="22"/>
        </w:rPr>
        <w:t xml:space="preserve">عقبة يمكن لشبكة العلاقات حلّها بسرعة</w:t>
      </w:r>
    </w:p>
    <w:p>
      <w:pPr>
        <w:bidi/>
        <w:spacing w:after="80" w:before="80"/>
      </w:pPr>
      <w:r>
        <w:rPr>
          <w:rFonts w:ascii="Arial" w:cs="Arial" w:eastAsia="Arial" w:hAnsi="Arial"/>
          <w:color w:val="5a5a56"/>
          <w:sz w:val="22"/>
          <w:szCs w:val="22"/>
        </w:rPr>
        <w:t xml:space="preserve">فتح حساب بنكي في فرنسا يُقدَّم في الغالب كعائق صعب للمهاجرين. في الواقع، الشروط بسيطة — لكن يجب معرفتها وجمعها بالترتيب الصحيح.</w:t>
      </w:r>
    </w:p>
    <w:p>
      <w:pPr>
        <w:bidi/>
        <w:spacing w:after="80" w:before="400"/>
      </w:pPr>
      <w:r>
        <w:rPr>
          <w:rFonts w:ascii="Arial" w:cs="Arial" w:eastAsia="Arial" w:hAnsi="Arial"/>
          <w:b/>
          <w:bCs/>
          <w:color w:val="1D9E75"/>
          <w:sz w:val="18"/>
          <w:szCs w:val="18"/>
        </w:rPr>
        <w:t xml:space="preserve">ما تحتاجونه لفتح حساب</w:t>
      </w:r>
    </w:p>
    <w:p>
      <w:pPr>
        <w:bidi/>
        <w:spacing w:after="60" w:before="60"/>
        <w:ind w:right="360"/>
      </w:pPr>
      <w:r>
        <w:rPr>
          <w:rFonts w:ascii="Arial" w:cs="Arial" w:eastAsia="Arial" w:hAnsi="Arial"/>
          <w:b/>
          <w:bCs/>
          <w:color w:val="1D9E75"/>
          <w:sz w:val="22"/>
          <w:szCs w:val="22"/>
        </w:rPr>
        <w:t xml:space="preserve">←  </w:t>
      </w:r>
      <w:r>
        <w:rPr>
          <w:rFonts w:ascii="Arial" w:cs="Arial" w:eastAsia="Arial" w:hAnsi="Arial"/>
          <w:color w:val="5a5a56"/>
          <w:sz w:val="22"/>
          <w:szCs w:val="22"/>
        </w:rPr>
        <w:t xml:space="preserve">جواز سفر ساري المفعول — حتى الأجنبي منه مقبول.</w:t>
      </w:r>
    </w:p>
    <w:p>
      <w:pPr>
        <w:bidi/>
        <w:spacing w:after="60" w:before="60"/>
        <w:ind w:right="360"/>
      </w:pPr>
      <w:r>
        <w:rPr>
          <w:rFonts w:ascii="Arial" w:cs="Arial" w:eastAsia="Arial" w:hAnsi="Arial"/>
          <w:b/>
          <w:bCs/>
          <w:color w:val="1D9E75"/>
          <w:sz w:val="22"/>
          <w:szCs w:val="22"/>
        </w:rPr>
        <w:t xml:space="preserve">←  </w:t>
      </w:r>
      <w:r>
        <w:rPr>
          <w:rFonts w:ascii="Arial" w:cs="Arial" w:eastAsia="Arial" w:hAnsi="Arial"/>
          <w:color w:val="5a5a56"/>
          <w:sz w:val="22"/>
          <w:szCs w:val="22"/>
        </w:rPr>
        <w:t xml:space="preserve">عنوان إقامة في فرنسا — شهادة إيواء من طرف ثالث كافية في كثير من الحالات.</w:t>
      </w:r>
    </w:p>
    <w:p>
      <w:pPr>
        <w:bidi/>
        <w:spacing w:after="60" w:before="60"/>
        <w:ind w:right="360"/>
      </w:pPr>
      <w:r>
        <w:rPr>
          <w:rFonts w:ascii="Arial" w:cs="Arial" w:eastAsia="Arial" w:hAnsi="Arial"/>
          <w:b/>
          <w:bCs/>
          <w:color w:val="1D9E75"/>
          <w:sz w:val="22"/>
          <w:szCs w:val="22"/>
        </w:rPr>
        <w:t xml:space="preserve">←  </w:t>
      </w:r>
      <w:r>
        <w:rPr>
          <w:rFonts w:ascii="Arial" w:cs="Arial" w:eastAsia="Arial" w:hAnsi="Arial"/>
          <w:color w:val="5a5a56"/>
          <w:sz w:val="22"/>
          <w:szCs w:val="22"/>
        </w:rPr>
        <w:t xml:space="preserve">إثبات عنوان السكن — فاتورة باسمكم، أو عقد إيجار، أو شهادة إيواء موقّعة.</w:t>
      </w:r>
    </w:p>
    <w:p>
      <w:pPr>
        <w:bidi/>
        <w:spacing w:after="60" w:before="60"/>
        <w:ind w:right="360"/>
      </w:pPr>
      <w:r>
        <w:rPr>
          <w:rFonts w:ascii="Arial" w:cs="Arial" w:eastAsia="Arial" w:hAnsi="Arial"/>
          <w:b/>
          <w:bCs/>
          <w:color w:val="1D9E75"/>
          <w:sz w:val="22"/>
          <w:szCs w:val="22"/>
        </w:rPr>
        <w:t xml:space="preserve">←  </w:t>
      </w:r>
      <w:r>
        <w:rPr>
          <w:rFonts w:ascii="Arial" w:cs="Arial" w:eastAsia="Arial" w:hAnsi="Arial"/>
          <w:color w:val="5a5a56"/>
          <w:sz w:val="22"/>
          <w:szCs w:val="22"/>
        </w:rPr>
        <w:t xml:space="preserve">بعض البنوك الإلكترونية (Nickel، La Banque Postale) لديها شروط فتح أكثر مرونة من البنوك التقليدية.</w:t>
      </w:r>
    </w:p>
    <w:p>
      <w:pPr>
        <w:bidi/>
        <w:spacing w:after="60" w:before="60"/>
        <w:ind w:right="360"/>
      </w:pPr>
      <w:r>
        <w:rPr>
          <w:rFonts w:ascii="Arial" w:cs="Arial" w:eastAsia="Arial" w:hAnsi="Arial"/>
          <w:b/>
          <w:bCs/>
          <w:color w:val="1D9E75"/>
          <w:sz w:val="22"/>
          <w:szCs w:val="22"/>
        </w:rPr>
        <w:t xml:space="preserve">←  </w:t>
      </w:r>
      <w:r>
        <w:rPr>
          <w:rFonts w:ascii="Arial" w:cs="Arial" w:eastAsia="Arial" w:hAnsi="Arial"/>
          <w:color w:val="5a5a56"/>
          <w:sz w:val="22"/>
          <w:szCs w:val="22"/>
        </w:rPr>
        <w:t xml:space="preserve">في حالة الرفض، لكم الحق في الحصول على حساب: يستطيع Banque de France إلزام مؤسسة محددة بفتح حساب لكم (إجراء يُعرف بـ 'حق الحصول على حساب').</w:t>
      </w:r>
    </w:p>
    <w:p>
      <w:pPr>
        <w:bidi/>
        <w:spacing w:after="80" w:before="80"/>
      </w:pPr>
      <w:r>
        <w:rPr>
          <w:rFonts w:ascii="Arial" w:cs="Arial" w:eastAsia="Arial" w:hAnsi="Arial"/>
          <w:color w:val="5a5a56"/>
          <w:sz w:val="22"/>
          <w:szCs w:val="22"/>
        </w:rPr>
        <w:t xml:space="preserve">السكن والحساب البنكي مترابطان: لفتح حساب تحتاجون عنواناً. للوصول إلى بعض المساعدات أو الإيجار الرسمي، تحتاجون حساباً. هذه هي الدائرة الكلاسيكية التي يعيشها كثير من المهاجرين كجدار.</w:t>
      </w:r>
    </w:p>
    <w:p>
      <w:pPr>
        <w:bidi/>
        <w:spacing w:after="80" w:before="80"/>
      </w:pPr>
      <w:r>
        <w:rPr>
          <w:rFonts w:ascii="Arial" w:cs="Arial" w:eastAsia="Arial" w:hAnsi="Arial"/>
          <w:color w:val="5a5a56"/>
          <w:sz w:val="22"/>
          <w:szCs w:val="22"/>
        </w:rPr>
        <w:t xml:space="preserve">طريقة الالتفاف عليها واحدة دائماً: شخص موثوق في شبكتكم المحلية يمكنه إيوائكم رسمياً حتى تفتحوا حساباً، ثم يساعدكم في الوصول إلى مسكن لائق. كل شيء مترابط — والروابط الإنسانية تفتح ما تُغلقه الإجراءات.</w:t>
      </w:r>
    </w:p>
    <w:p>
      <w:pPr>
        <w:pBdr>
          <w:bottom w:val="single" w:color="e8e6de" w:sz="4"/>
        </w:pBdr>
        <w:spacing w:after="240" w:before="240"/>
      </w:pPr>
    </w:p>
    <w:p>
      <w:pPr>
        <w:spacing w:after="100" w:before="200"/>
      </w:pPr>
    </w:p>
    <w:p>
      <w:pPr>
        <w:bidi/>
        <w:spacing w:after="200" w:before="200"/>
        <w:ind w:left="720" w:right="720"/>
      </w:pPr>
      <w:r>
        <w:rPr>
          <w:rFonts w:ascii="Arial" w:cs="Arial" w:eastAsia="Arial" w:hAnsi="Arial"/>
          <w:i/>
          <w:iCs/>
          <w:color w:val="1a1a18"/>
          <w:sz w:val="24"/>
          <w:szCs w:val="24"/>
        </w:rPr>
        <w:t xml:space="preserve">"السكن لا يُوجَد في الإعلانات فقط. يُوجَد في العلاقات التي تبنيها — وفي الثقة التي تُلهمها في من لديهم ما يقدّمونه."</w:t>
      </w:r>
    </w:p>
    <w:p>
      <w:pPr>
        <w:spacing w:after="60" w:before="240"/>
      </w:pPr>
    </w:p>
    <w:p>
      <w:pPr>
        <w:spacing w:after="0" w:before="0"/>
        <w:jc w:val="center"/>
      </w:pPr>
      <w:r>
        <w:rPr>
          <w:rFonts w:ascii="Arial" w:cs="Arial" w:eastAsia="Arial" w:hAnsi="Arial"/>
          <w:color w:val="1D9E75"/>
          <w:sz w:val="18"/>
          <w:szCs w:val="18"/>
        </w:rPr>
        <w:t xml:space="preserve">Sur la bonne voie — Aubenas, Ardèche — 2026</w:t>
      </w:r>
    </w:p>
    <w:p>
      <w:pPr>
        <w:spacing w:after="0" w:before="40"/>
        <w:jc w:val="center"/>
      </w:pPr>
      <w:r>
        <w:rPr>
          <w:rFonts w:ascii="Arial" w:cs="Arial" w:eastAsia="Arial" w:hAnsi="Arial"/>
          <w:color w:val="5a5a56"/>
          <w:sz w:val="18"/>
          <w:szCs w:val="18"/>
        </w:rPr>
        <w:t xml:space="preserve">contact@surlabonnevoie.org  ·  surlabonnevoie.org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2026-04-02T09:46:50.147Z</dcterms:created>
  <dcterms:modified xsi:type="dcterms:W3CDTF">2026-04-02T09:46:50.148Z</dcterms:modified>
</cp:coreProperties>
</file>

<file path=docProps/custom.xml><?xml version="1.0" encoding="utf-8"?>
<Properties xmlns="http://schemas.openxmlformats.org/officeDocument/2006/custom-properties" xmlns:vt="http://schemas.openxmlformats.org/officeDocument/2006/docPropsVTypes"/>
</file>