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4"/>
          <w:szCs w:val="44"/>
        </w:rPr>
        <w:t xml:space="preserve">MoodMate Backend</w:t>
      </w:r>
    </w:p>
    <w:p>
      <w:pPr>
        <w:spacing w:after="200"/>
      </w:pPr>
      <w:r>
        <w:rPr>
          <w:b/>
          <w:bCs/>
          <w:color w:val="2563EB"/>
          <w:sz w:val="30"/>
          <w:szCs w:val="30"/>
        </w:rPr>
        <w:t xml:space="preserve">Full Project Audit Report</w:t>
      </w:r>
    </w:p>
    <w:p>
      <w:pPr>
        <w:spacing w:after="40"/>
      </w:pPr>
      <w:r>
        <w:rPr>
          <w:i/>
          <w:iCs/>
          <w:color w:val="6B7280"/>
          <w:sz w:val="21"/>
          <w:szCs w:val="21"/>
        </w:rPr>
        <w:t xml:space="preserve">Microservices port, feature build-out, and verification status</w:t>
      </w:r>
    </w:p>
    <w:p>
      <w:pPr>
        <w:spacing w:after="400"/>
      </w:pPr>
      <w:r>
        <w:rPr>
          <w:color w:val="6B7280"/>
          <w:sz w:val="19"/>
          <w:szCs w:val="19"/>
        </w:rPr>
        <w:t xml:space="preserve">Prepared July 15, 2026</w:t>
      </w:r>
    </w:p>
    <w:p>
      <w:pPr>
        <w:pStyle w:val="Heading1"/>
        <w:pBdr>
          <w:bottom w:val="single" w:color="2563EB" w:sz="6" w:space="4"/>
        </w:pBdr>
        <w:spacing w:after="200" w:before="400"/>
      </w:pPr>
      <w:r>
        <w:rPr>
          <w:b/>
          <w:bCs/>
          <w:color w:val="1F2937"/>
          <w:sz w:val="30"/>
          <w:szCs w:val="30"/>
        </w:rPr>
        <w:t xml:space="preserve">1. Executive Summary</w:t>
      </w:r>
    </w:p>
    <w:p>
      <w:pPr>
        <w:spacing w:after="160" w:line="276"/>
      </w:pPr>
      <w:r>
        <w:rPr>
          <w:color w:val="1F2937"/>
          <w:sz w:val="21"/>
          <w:szCs w:val="21"/>
        </w:rPr>
        <w:t xml:space="preserve">MoodMate's backend began as a single Spring Boot monolith and was fully re-architected into 12 independent microservices behind a single Spring Cloud Gateway, one Postgres schema per service. Beyond the port itself, this phase closed every gap found in a full frontend-to-backend API audit: password reset, avatar upload, push notifications, self-service admin setup, an admin dashboard, a streak-shield gamification feature, a new crisis-alert triage service, and a new AI chat + insights service backed by Groq.</w:t>
      </w:r>
    </w:p>
    <w:p>
      <w:pPr>
        <w:spacing w:after="160" w:line="276"/>
      </w:pPr>
      <w:r>
        <w:rPr>
          <w:color w:val="1F2937"/>
          <w:sz w:val="21"/>
          <w:szCs w:val="21"/>
        </w:rPr>
        <w:t xml:space="preserve">Every one of the 12 services compiles cleanly via the real Maven Wrapper, individually and as a full reactor build. A cross-reference symbol check (every referenced class against every class that actually exists) passed clean on all 12 services. The one existing unit test suite (12 tests covering the gamification/streak engine) passes in full.</w:t>
      </w:r>
    </w:p>
    <w:p>
      <w:pPr>
        <w:spacing w:after="160" w:line="276"/>
      </w:pPr>
      <w:r>
        <w:rPr>
          <w:color w:val="1F2937"/>
          <w:sz w:val="21"/>
          <w:szCs w:val="21"/>
        </w:rPr>
        <w:t xml:space="preserve">What has not yet happened is a live runtime pass: starting every service together and exercising the app end to end on a real device, including a real Paystack sandbox transaction. That is the recommended next step and is called out in detail in Section 8.</w:t>
      </w:r>
    </w:p>
    <w:p>
      <w:pPr>
        <w:pStyle w:val="Heading1"/>
        <w:pBdr>
          <w:bottom w:val="single" w:color="2563EB" w:sz="6" w:space="4"/>
        </w:pBdr>
        <w:spacing w:after="200" w:before="400"/>
      </w:pPr>
      <w:r>
        <w:rPr>
          <w:b/>
          <w:bCs/>
          <w:color w:val="1F2937"/>
          <w:sz w:val="30"/>
          <w:szCs w:val="30"/>
        </w:rPr>
        <w:t xml:space="preserve">2. Architecture Overview</w:t>
      </w:r>
    </w:p>
    <w:p>
      <w:pPr>
        <w:pStyle w:val="Heading2"/>
        <w:spacing w:after="120" w:before="300"/>
      </w:pPr>
      <w:r>
        <w:rPr>
          <w:b/>
          <w:bCs/>
          <w:color w:val="2563EB"/>
          <w:sz w:val="24"/>
          <w:szCs w:val="24"/>
        </w:rPr>
        <w:t xml:space="preserve">2.1 Gateway-centric JWT trust model</w:t>
      </w:r>
    </w:p>
    <w:p>
      <w:pPr>
        <w:spacing w:after="160" w:line="276"/>
      </w:pPr>
      <w:r>
        <w:rPr>
          <w:color w:val="1F2937"/>
          <w:sz w:val="21"/>
          <w:szCs w:val="21"/>
        </w:rPr>
        <w:t xml:space="preserve">A JWT is issued and verified in exactly one place: moodmate-gateway. On a valid token, the gateway injects X-User-Id and X-User-Role headers onto the forwarded request; every downstream service trusts those headers rather than re-validating the token itself. This keeps JWT/crypto logic in one place and means adding a new authenticated service is a routing change, not a security change.</w:t>
      </w:r>
    </w:p>
    <w:p>
      <w:pPr>
        <w:pStyle w:val="Heading2"/>
        <w:spacing w:after="120" w:before="300"/>
      </w:pPr>
      <w:r>
        <w:rPr>
          <w:b/>
          <w:bCs/>
          <w:color w:val="2563EB"/>
          <w:sz w:val="24"/>
          <w:szCs w:val="24"/>
        </w:rPr>
        <w:t xml:space="preserve">2.2 Schema-per-service</w:t>
      </w:r>
    </w:p>
    <w:p>
      <w:pPr>
        <w:spacing w:after="160" w:line="276"/>
      </w:pPr>
      <w:r>
        <w:rPr>
          <w:color w:val="1F2937"/>
          <w:sz w:val="21"/>
          <w:szCs w:val="21"/>
        </w:rPr>
        <w:t xml:space="preserve">All services share one physical Postgres instance for simplicity of local development, but each owns its own schema (auth, mood, support, community, wellness, wallet, journal, gamification, admin, crisis, ai) and each schema is created and migrated independently via that service's own Flyway migrations. No service's JPA layer can see another service's tables.</w:t>
      </w:r>
    </w:p>
    <w:p>
      <w:pPr>
        <w:pStyle w:val="Heading2"/>
        <w:spacing w:after="120" w:before="300"/>
      </w:pPr>
      <w:r>
        <w:rPr>
          <w:b/>
          <w:bCs/>
          <w:color w:val="2563EB"/>
          <w:sz w:val="24"/>
          <w:szCs w:val="24"/>
        </w:rPr>
        <w:t xml:space="preserve">2.3 Internal-only endpoints</w:t>
      </w:r>
    </w:p>
    <w:p>
      <w:pPr>
        <w:spacing w:after="160" w:line="276"/>
      </w:pPr>
      <w:r>
        <w:rPr>
          <w:color w:val="1F2937"/>
          <w:sz w:val="21"/>
          <w:szCs w:val="21"/>
        </w:rPr>
        <w:t xml:space="preserve">Where one service genuinely needs data from another (e.g. wellness-service reading a user's leaf balance from wallet-service, or moodmate-ai filing a crisis alert), that call goes over plain HTTP directly to the owning service's own port, at a path under /internal/** that carries no gateway route at all. An end-user's JWT can never reach these paths even if they tried, because the gateway simply has no route that would forward there. moodmate-admin is the one deliberate, documented exception: a read-only reporting service that queries other services' schemas directly via JdbcTemplate, justified in detail in its own class-level Javadoc, and safe only because it is read-only, never on a user-facing request path, and all schemas share one Postgres instance under one DB user.</w:t>
      </w:r>
    </w:p>
    <w:p>
      <w:pPr>
        <w:pStyle w:val="Heading2"/>
        <w:spacing w:after="120" w:before="300"/>
      </w:pPr>
      <w:r>
        <w:rPr>
          <w:b/>
          <w:bCs/>
          <w:color w:val="2563EB"/>
          <w:sz w:val="24"/>
          <w:szCs w:val="24"/>
        </w:rPr>
        <w:t xml:space="preserve">2.4 Secrets handling</w:t>
      </w:r>
    </w:p>
    <w:p>
      <w:pPr>
        <w:spacing w:after="160" w:line="276"/>
      </w:pPr>
      <w:r>
        <w:rPr>
          <w:color w:val="1F2937"/>
          <w:sz w:val="21"/>
          <w:szCs w:val="21"/>
        </w:rPr>
        <w:t xml:space="preserve">No credential (Paystack keys, Gmail app password, Groq API key, JWT secret) is ever hardcoded into a file or committed. Every one is read from an environment variable at startup, each with a clearly-labeled dev-only fallback where a fallback exists at all (e.g. the JWT secret), and services that need a real key to function (mail, Groq) fail fast with a clear error message rather than silently misbehaving when the key is missing.</w:t>
      </w:r>
    </w:p>
    <w:p>
      <w:pPr>
        <w:pStyle w:val="Heading1"/>
        <w:pBdr>
          <w:bottom w:val="single" w:color="2563EB" w:sz="6" w:space="4"/>
        </w:pBdr>
        <w:spacing w:after="200" w:before="400"/>
      </w:pPr>
      <w:r>
        <w:rPr>
          <w:b/>
          <w:bCs/>
          <w:color w:val="1F2937"/>
          <w:sz w:val="30"/>
          <w:szCs w:val="30"/>
        </w:rPr>
        <w:t xml:space="preserve">3. Service Inventory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4800"/>
      </w:tblGrid>
      <w:tr>
        <w:trPr>
          <w:tblHeader/>
        </w:trPr>
        <w:tc>
          <w:tcPr>
            <w:tcW w:type="dxa" w:w="2400"/>
            <w:shd w:fill="2563EB" w:val="clear"/>
            <w:tcMar>
              <w:top w:type="dxa" w:w="80"/>
              <w:left w:type="dxa" w:w="120"/>
              <w:bottom w:type="dxa" w:w="80"/>
              <w:right w:type="dxa" w:w="120"/>
            </w:tcMar>
            <w:vAlign w:val="center"/>
          </w:tcPr>
          <w:p>
            <w:r>
              <w:rPr>
                <w:b/>
                <w:bCs/>
                <w:color w:val="FFFFFF"/>
                <w:sz w:val="19"/>
                <w:szCs w:val="19"/>
              </w:rPr>
              <w:t xml:space="preserve">Service</w:t>
            </w:r>
          </w:p>
        </w:tc>
        <w:tc>
          <w:tcPr>
            <w:tcW w:type="dxa" w:w="900"/>
            <w:shd w:fill="2563EB" w:val="clear"/>
            <w:tcMar>
              <w:top w:type="dxa" w:w="80"/>
              <w:left w:type="dxa" w:w="120"/>
              <w:bottom w:type="dxa" w:w="80"/>
              <w:right w:type="dxa" w:w="120"/>
            </w:tcMar>
            <w:vAlign w:val="center"/>
          </w:tcPr>
          <w:p>
            <w:r>
              <w:rPr>
                <w:b/>
                <w:bCs/>
                <w:color w:val="FFFFFF"/>
                <w:sz w:val="19"/>
                <w:szCs w:val="19"/>
              </w:rPr>
              <w:t xml:space="preserve">Port</w:t>
            </w:r>
          </w:p>
        </w:tc>
        <w:tc>
          <w:tcPr>
            <w:tcW w:type="dxa" w:w="1600"/>
            <w:shd w:fill="2563EB" w:val="clear"/>
            <w:tcMar>
              <w:top w:type="dxa" w:w="80"/>
              <w:left w:type="dxa" w:w="120"/>
              <w:bottom w:type="dxa" w:w="80"/>
              <w:right w:type="dxa" w:w="120"/>
            </w:tcMar>
            <w:vAlign w:val="center"/>
          </w:tcPr>
          <w:p>
            <w:r>
              <w:rPr>
                <w:b/>
                <w:bCs/>
                <w:color w:val="FFFFFF"/>
                <w:sz w:val="19"/>
                <w:szCs w:val="19"/>
              </w:rPr>
              <w:t xml:space="preserve">Schema</w:t>
            </w:r>
          </w:p>
        </w:tc>
        <w:tc>
          <w:tcPr>
            <w:tcW w:type="dxa" w:w="4800"/>
            <w:shd w:fill="2563EB" w:val="clear"/>
            <w:tcMar>
              <w:top w:type="dxa" w:w="80"/>
              <w:left w:type="dxa" w:w="120"/>
              <w:bottom w:type="dxa" w:w="80"/>
              <w:right w:type="dxa" w:w="120"/>
            </w:tcMar>
            <w:vAlign w:val="center"/>
          </w:tcPr>
          <w:p>
            <w:r>
              <w:rPr>
                <w:b/>
                <w:bCs/>
                <w:color w:val="FFFFFF"/>
                <w:sz w:val="19"/>
                <w:szCs w:val="19"/>
              </w:rPr>
              <w:t xml:space="preserve">Purpose</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moodmate-gateway</w:t>
            </w:r>
          </w:p>
        </w:tc>
        <w:tc>
          <w:tcPr>
            <w:tcW w:type="dxa" w:w="900"/>
            <w:tcMar>
              <w:top w:type="dxa" w:w="80"/>
              <w:left w:type="dxa" w:w="120"/>
              <w:bottom w:type="dxa" w:w="80"/>
              <w:right w:type="dxa" w:w="120"/>
            </w:tcMar>
            <w:vAlign w:val="center"/>
          </w:tcPr>
          <w:p>
            <w:r>
              <w:rPr>
                <w:b w:val="false"/>
                <w:bCs w:val="false"/>
                <w:color w:val="1F2937"/>
                <w:sz w:val="19"/>
                <w:szCs w:val="19"/>
              </w:rPr>
              <w:t xml:space="preserve">8080</w:t>
            </w:r>
          </w:p>
        </w:tc>
        <w:tc>
          <w:tcPr>
            <w:tcW w:type="dxa" w:w="1600"/>
            <w:tcMar>
              <w:top w:type="dxa" w:w="80"/>
              <w:left w:type="dxa" w:w="120"/>
              <w:bottom w:type="dxa" w:w="80"/>
              <w:right w:type="dxa" w:w="120"/>
            </w:tcMar>
            <w:vAlign w:val="center"/>
          </w:tcPr>
          <w:p>
            <w:r>
              <w:rPr>
                <w:b w:val="false"/>
                <w:bCs w:val="false"/>
                <w:color w:val="1F2937"/>
                <w:sz w:val="19"/>
                <w:szCs w:val="19"/>
              </w:rPr>
              <w:t xml:space="preserve">—</w:t>
            </w:r>
          </w:p>
        </w:tc>
        <w:tc>
          <w:tcPr>
            <w:tcW w:type="dxa" w:w="4800"/>
            <w:tcMar>
              <w:top w:type="dxa" w:w="80"/>
              <w:left w:type="dxa" w:w="120"/>
              <w:bottom w:type="dxa" w:w="80"/>
              <w:right w:type="dxa" w:w="120"/>
            </w:tcMar>
            <w:vAlign w:val="center"/>
          </w:tcPr>
          <w:p>
            <w:r>
              <w:rPr>
                <w:b w:val="false"/>
                <w:bCs w:val="false"/>
                <w:color w:val="1F2937"/>
                <w:sz w:val="19"/>
                <w:szCs w:val="19"/>
              </w:rPr>
              <w:t xml:space="preserve">Single public entry point. Routes by path, validates JWTs, injects trust headers.</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moodmate-auth</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8091</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auth</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Signup/login/guest, admin-setup, forgot/reset password, profile, avatar upload, push tokens.</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moodmate-mood</w:t>
            </w:r>
          </w:p>
        </w:tc>
        <w:tc>
          <w:tcPr>
            <w:tcW w:type="dxa" w:w="900"/>
            <w:tcMar>
              <w:top w:type="dxa" w:w="80"/>
              <w:left w:type="dxa" w:w="120"/>
              <w:bottom w:type="dxa" w:w="80"/>
              <w:right w:type="dxa" w:w="120"/>
            </w:tcMar>
            <w:vAlign w:val="center"/>
          </w:tcPr>
          <w:p>
            <w:r>
              <w:rPr>
                <w:b w:val="false"/>
                <w:bCs w:val="false"/>
                <w:color w:val="1F2937"/>
                <w:sz w:val="19"/>
                <w:szCs w:val="19"/>
              </w:rPr>
              <w:t xml:space="preserve">8092</w:t>
            </w:r>
          </w:p>
        </w:tc>
        <w:tc>
          <w:tcPr>
            <w:tcW w:type="dxa" w:w="1600"/>
            <w:tcMar>
              <w:top w:type="dxa" w:w="80"/>
              <w:left w:type="dxa" w:w="120"/>
              <w:bottom w:type="dxa" w:w="80"/>
              <w:right w:type="dxa" w:w="120"/>
            </w:tcMar>
            <w:vAlign w:val="center"/>
          </w:tcPr>
          <w:p>
            <w:r>
              <w:rPr>
                <w:b w:val="false"/>
                <w:bCs w:val="false"/>
                <w:color w:val="1F2937"/>
                <w:sz w:val="19"/>
                <w:szCs w:val="19"/>
              </w:rPr>
              <w:t xml:space="preserve">mood</w:t>
            </w:r>
          </w:p>
        </w:tc>
        <w:tc>
          <w:tcPr>
            <w:tcW w:type="dxa" w:w="4800"/>
            <w:tcMar>
              <w:top w:type="dxa" w:w="80"/>
              <w:left w:type="dxa" w:w="120"/>
              <w:bottom w:type="dxa" w:w="80"/>
              <w:right w:type="dxa" w:w="120"/>
            </w:tcMar>
            <w:vAlign w:val="center"/>
          </w:tcPr>
          <w:p>
            <w:r>
              <w:rPr>
                <w:b w:val="false"/>
                <w:bCs w:val="false"/>
                <w:color w:val="1F2937"/>
                <w:sz w:val="19"/>
                <w:szCs w:val="19"/>
              </w:rPr>
              <w:t xml:space="preserve">Mood check-ins, trend/analytics, internal trend endpoint for insights.</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moodmate-support</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8093</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support</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Counsellors, appointments, conversations/messages, public SOS resources.</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moodmate-community</w:t>
            </w:r>
          </w:p>
        </w:tc>
        <w:tc>
          <w:tcPr>
            <w:tcW w:type="dxa" w:w="900"/>
            <w:tcMar>
              <w:top w:type="dxa" w:w="80"/>
              <w:left w:type="dxa" w:w="120"/>
              <w:bottom w:type="dxa" w:w="80"/>
              <w:right w:type="dxa" w:w="120"/>
            </w:tcMar>
            <w:vAlign w:val="center"/>
          </w:tcPr>
          <w:p>
            <w:r>
              <w:rPr>
                <w:b w:val="false"/>
                <w:bCs w:val="false"/>
                <w:color w:val="1F2937"/>
                <w:sz w:val="19"/>
                <w:szCs w:val="19"/>
              </w:rPr>
              <w:t xml:space="preserve">8094</w:t>
            </w:r>
          </w:p>
        </w:tc>
        <w:tc>
          <w:tcPr>
            <w:tcW w:type="dxa" w:w="1600"/>
            <w:tcMar>
              <w:top w:type="dxa" w:w="80"/>
              <w:left w:type="dxa" w:w="120"/>
              <w:bottom w:type="dxa" w:w="80"/>
              <w:right w:type="dxa" w:w="120"/>
            </w:tcMar>
            <w:vAlign w:val="center"/>
          </w:tcPr>
          <w:p>
            <w:r>
              <w:rPr>
                <w:b w:val="false"/>
                <w:bCs w:val="false"/>
                <w:color w:val="1F2937"/>
                <w:sz w:val="19"/>
                <w:szCs w:val="19"/>
              </w:rPr>
              <w:t xml:space="preserve">community</w:t>
            </w:r>
          </w:p>
        </w:tc>
        <w:tc>
          <w:tcPr>
            <w:tcW w:type="dxa" w:w="4800"/>
            <w:tcMar>
              <w:top w:type="dxa" w:w="80"/>
              <w:left w:type="dxa" w:w="120"/>
              <w:bottom w:type="dxa" w:w="80"/>
              <w:right w:type="dxa" w:w="120"/>
            </w:tcMar>
            <w:vAlign w:val="center"/>
          </w:tcPr>
          <w:p>
            <w:r>
              <w:rPr>
                <w:b w:val="false"/>
                <w:bCs w:val="false"/>
                <w:color w:val="1F2937"/>
                <w:sz w:val="19"/>
                <w:szCs w:val="19"/>
              </w:rPr>
              <w:t xml:space="preserve">Posts and reactions.</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moodmate-wellness</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8095</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wellness</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Daily goals, tree XP/streak, streak shield, wellness hub (articles/events).</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moodmate-wallet</w:t>
            </w:r>
          </w:p>
        </w:tc>
        <w:tc>
          <w:tcPr>
            <w:tcW w:type="dxa" w:w="900"/>
            <w:tcMar>
              <w:top w:type="dxa" w:w="80"/>
              <w:left w:type="dxa" w:w="120"/>
              <w:bottom w:type="dxa" w:w="80"/>
              <w:right w:type="dxa" w:w="120"/>
            </w:tcMar>
            <w:vAlign w:val="center"/>
          </w:tcPr>
          <w:p>
            <w:r>
              <w:rPr>
                <w:b w:val="false"/>
                <w:bCs w:val="false"/>
                <w:color w:val="1F2937"/>
                <w:sz w:val="19"/>
                <w:szCs w:val="19"/>
              </w:rPr>
              <w:t xml:space="preserve">8096</w:t>
            </w:r>
          </w:p>
        </w:tc>
        <w:tc>
          <w:tcPr>
            <w:tcW w:type="dxa" w:w="1600"/>
            <w:tcMar>
              <w:top w:type="dxa" w:w="80"/>
              <w:left w:type="dxa" w:w="120"/>
              <w:bottom w:type="dxa" w:w="80"/>
              <w:right w:type="dxa" w:w="120"/>
            </w:tcMar>
            <w:vAlign w:val="center"/>
          </w:tcPr>
          <w:p>
            <w:r>
              <w:rPr>
                <w:b w:val="false"/>
                <w:bCs w:val="false"/>
                <w:color w:val="1F2937"/>
                <w:sz w:val="19"/>
                <w:szCs w:val="19"/>
              </w:rPr>
              <w:t xml:space="preserve">wallet</w:t>
            </w:r>
          </w:p>
        </w:tc>
        <w:tc>
          <w:tcPr>
            <w:tcW w:type="dxa" w:w="4800"/>
            <w:tcMar>
              <w:top w:type="dxa" w:w="80"/>
              <w:left w:type="dxa" w:w="120"/>
              <w:bottom w:type="dxa" w:w="80"/>
              <w:right w:type="dxa" w:w="120"/>
            </w:tcMar>
            <w:vAlign w:val="center"/>
          </w:tcPr>
          <w:p>
            <w:r>
              <w:rPr>
                <w:b w:val="false"/>
                <w:bCs w:val="false"/>
                <w:color w:val="1F2937"/>
                <w:sz w:val="19"/>
                <w:szCs w:val="19"/>
              </w:rPr>
              <w:t xml:space="preserve">Leaf balance, tree skins, subscriptions, Paystack checkout/webhook.</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moodmate-journal</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8097</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journal</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Journal entries (with crisis-keyword detection), gratitude jar.</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moodmate-gamification</w:t>
            </w:r>
          </w:p>
        </w:tc>
        <w:tc>
          <w:tcPr>
            <w:tcW w:type="dxa" w:w="900"/>
            <w:tcMar>
              <w:top w:type="dxa" w:w="80"/>
              <w:left w:type="dxa" w:w="120"/>
              <w:bottom w:type="dxa" w:w="80"/>
              <w:right w:type="dxa" w:w="120"/>
            </w:tcMar>
            <w:vAlign w:val="center"/>
          </w:tcPr>
          <w:p>
            <w:r>
              <w:rPr>
                <w:b w:val="false"/>
                <w:bCs w:val="false"/>
                <w:color w:val="1F2937"/>
                <w:sz w:val="19"/>
                <w:szCs w:val="19"/>
              </w:rPr>
              <w:t xml:space="preserve">8098</w:t>
            </w:r>
          </w:p>
        </w:tc>
        <w:tc>
          <w:tcPr>
            <w:tcW w:type="dxa" w:w="1600"/>
            <w:tcMar>
              <w:top w:type="dxa" w:w="80"/>
              <w:left w:type="dxa" w:w="120"/>
              <w:bottom w:type="dxa" w:w="80"/>
              <w:right w:type="dxa" w:w="120"/>
            </w:tcMar>
            <w:vAlign w:val="center"/>
          </w:tcPr>
          <w:p>
            <w:r>
              <w:rPr>
                <w:b w:val="false"/>
                <w:bCs w:val="false"/>
                <w:color w:val="1F2937"/>
                <w:sz w:val="19"/>
                <w:szCs w:val="19"/>
              </w:rPr>
              <w:t xml:space="preserve">gamification</w:t>
            </w:r>
          </w:p>
        </w:tc>
        <w:tc>
          <w:tcPr>
            <w:tcW w:type="dxa" w:w="4800"/>
            <w:tcMar>
              <w:top w:type="dxa" w:w="80"/>
              <w:left w:type="dxa" w:w="120"/>
              <w:bottom w:type="dxa" w:w="80"/>
              <w:right w:type="dxa" w:w="120"/>
            </w:tcMar>
            <w:vAlign w:val="center"/>
          </w:tcPr>
          <w:p>
            <w:r>
              <w:rPr>
                <w:b w:val="false"/>
                <w:bCs w:val="false"/>
                <w:color w:val="1F2937"/>
                <w:sz w:val="19"/>
                <w:szCs w:val="19"/>
              </w:rPr>
              <w:t xml:space="preserve">Achievements, missions.</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moodmate-admin</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8099</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admin</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Dashboard stats, counsellor whitelist; read-only cross-schema reporting.</w:t>
            </w:r>
          </w:p>
        </w:tc>
      </w:tr>
      <w:tr>
        <w:tc>
          <w:tcPr>
            <w:tcW w:type="dxa" w:w="2400"/>
            <w:tcMar>
              <w:top w:type="dxa" w:w="80"/>
              <w:left w:type="dxa" w:w="120"/>
              <w:bottom w:type="dxa" w:w="80"/>
              <w:right w:type="dxa" w:w="120"/>
            </w:tcMar>
            <w:vAlign w:val="center"/>
          </w:tcPr>
          <w:p>
            <w:r>
              <w:rPr>
                <w:b w:val="false"/>
                <w:bCs w:val="false"/>
                <w:color w:val="1F2937"/>
                <w:sz w:val="19"/>
                <w:szCs w:val="19"/>
              </w:rPr>
              <w:t xml:space="preserve">moodmate-crisis</w:t>
            </w:r>
          </w:p>
        </w:tc>
        <w:tc>
          <w:tcPr>
            <w:tcW w:type="dxa" w:w="900"/>
            <w:tcMar>
              <w:top w:type="dxa" w:w="80"/>
              <w:left w:type="dxa" w:w="120"/>
              <w:bottom w:type="dxa" w:w="80"/>
              <w:right w:type="dxa" w:w="120"/>
            </w:tcMar>
            <w:vAlign w:val="center"/>
          </w:tcPr>
          <w:p>
            <w:r>
              <w:rPr>
                <w:b w:val="false"/>
                <w:bCs w:val="false"/>
                <w:color w:val="1F2937"/>
                <w:sz w:val="19"/>
                <w:szCs w:val="19"/>
              </w:rPr>
              <w:t xml:space="preserve">8100</w:t>
            </w:r>
          </w:p>
        </w:tc>
        <w:tc>
          <w:tcPr>
            <w:tcW w:type="dxa" w:w="1600"/>
            <w:tcMar>
              <w:top w:type="dxa" w:w="80"/>
              <w:left w:type="dxa" w:w="120"/>
              <w:bottom w:type="dxa" w:w="80"/>
              <w:right w:type="dxa" w:w="120"/>
            </w:tcMar>
            <w:vAlign w:val="center"/>
          </w:tcPr>
          <w:p>
            <w:r>
              <w:rPr>
                <w:b w:val="false"/>
                <w:bCs w:val="false"/>
                <w:color w:val="1F2937"/>
                <w:sz w:val="19"/>
                <w:szCs w:val="19"/>
              </w:rPr>
              <w:t xml:space="preserve">crisis</w:t>
            </w:r>
          </w:p>
        </w:tc>
        <w:tc>
          <w:tcPr>
            <w:tcW w:type="dxa" w:w="4800"/>
            <w:tcMar>
              <w:top w:type="dxa" w:w="80"/>
              <w:left w:type="dxa" w:w="120"/>
              <w:bottom w:type="dxa" w:w="80"/>
              <w:right w:type="dxa" w:w="120"/>
            </w:tcMar>
            <w:vAlign w:val="center"/>
          </w:tcPr>
          <w:p>
            <w:r>
              <w:rPr>
                <w:b w:val="false"/>
                <w:bCs w:val="false"/>
                <w:color w:val="1F2937"/>
                <w:sz w:val="19"/>
                <w:szCs w:val="19"/>
              </w:rPr>
              <w:t xml:space="preserve">Crisis-alert triage for counsellors/admins; created internally by ai/journal.</w:t>
            </w:r>
          </w:p>
        </w:tc>
      </w:tr>
      <w:tr>
        <w:tc>
          <w:tcPr>
            <w:tcW w:type="dxa" w:w="2400"/>
            <w:shd w:fill="F3F4F6" w:val="clear"/>
            <w:tcMar>
              <w:top w:type="dxa" w:w="80"/>
              <w:left w:type="dxa" w:w="120"/>
              <w:bottom w:type="dxa" w:w="80"/>
              <w:right w:type="dxa" w:w="120"/>
            </w:tcMar>
            <w:vAlign w:val="center"/>
          </w:tcPr>
          <w:p>
            <w:r>
              <w:rPr>
                <w:b w:val="false"/>
                <w:bCs w:val="false"/>
                <w:color w:val="1F2937"/>
                <w:sz w:val="19"/>
                <w:szCs w:val="19"/>
              </w:rPr>
              <w:t xml:space="preserve">moodmate-ai</w:t>
            </w:r>
          </w:p>
        </w:tc>
        <w:tc>
          <w:tcPr>
            <w:tcW w:type="dxa" w:w="900"/>
            <w:shd w:fill="F3F4F6" w:val="clear"/>
            <w:tcMar>
              <w:top w:type="dxa" w:w="80"/>
              <w:left w:type="dxa" w:w="120"/>
              <w:bottom w:type="dxa" w:w="80"/>
              <w:right w:type="dxa" w:w="120"/>
            </w:tcMar>
            <w:vAlign w:val="center"/>
          </w:tcPr>
          <w:p>
            <w:r>
              <w:rPr>
                <w:b w:val="false"/>
                <w:bCs w:val="false"/>
                <w:color w:val="1F2937"/>
                <w:sz w:val="19"/>
                <w:szCs w:val="19"/>
              </w:rPr>
              <w:t xml:space="preserve">8101</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ai</w:t>
            </w:r>
          </w:p>
        </w:tc>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AI chat via Groq (with crisis-keyword detection), /api/insights.</w:t>
            </w:r>
          </w:p>
        </w:tc>
      </w:tr>
    </w:tbl>
    <w:p>
      <w:pPr>
        <w:pStyle w:val="Heading1"/>
        <w:pBdr>
          <w:bottom w:val="single" w:color="2563EB" w:sz="6" w:space="4"/>
        </w:pBdr>
        <w:spacing w:after="200" w:before="400"/>
      </w:pPr>
      <w:r>
        <w:rPr>
          <w:b/>
          <w:bCs/>
          <w:color w:val="1F2937"/>
          <w:sz w:val="30"/>
          <w:szCs w:val="30"/>
        </w:rPr>
        <w:t xml:space="preserve">4. Feature Build-Out This Phase</w:t>
      </w:r>
    </w:p>
    <w:p>
      <w:pPr>
        <w:spacing w:after="160" w:line="276"/>
      </w:pPr>
      <w:r>
        <w:rPr>
          <w:color w:val="1F2937"/>
          <w:sz w:val="21"/>
          <w:szCs w:val="21"/>
        </w:rPr>
        <w:t xml:space="preserve">The following were built from scratch this phase, each because the frontend already called an endpoint that had no backend behind it at all, discovered via a full audit of every file under the frontend's src/api/ directory against the then-current backend.</w:t>
      </w:r>
    </w:p>
    <w:p>
      <w:pPr>
        <w:pStyle w:val="ListParagraph"/>
        <w:numPr>
          <w:ilvl w:val="0"/>
          <w:numId w:val="2"/>
        </w:numPr>
        <w:spacing w:after="80" w:line="276"/>
      </w:pPr>
      <w:r>
        <w:rPr>
          <w:color w:val="1F2937"/>
          <w:sz w:val="21"/>
          <w:szCs w:val="21"/>
        </w:rPr>
        <w:t xml:space="preserve">Password reset — POST /api/auth/forgot-password and /reset-password, Gmail SMTP, 6-digit OTP hashed with the same PasswordEncoder used for real passwords, single-use, time-limited, and deliberately indistinguishable in response shape whether the email exists or not (standard enumeration-prevention practice).</w:t>
      </w:r>
    </w:p>
    <w:p>
      <w:pPr>
        <w:pStyle w:val="ListParagraph"/>
        <w:numPr>
          <w:ilvl w:val="0"/>
          <w:numId w:val="2"/>
        </w:numPr>
        <w:spacing w:after="80" w:line="276"/>
      </w:pPr>
      <w:r>
        <w:rPr>
          <w:color w:val="1F2937"/>
          <w:sz w:val="21"/>
          <w:szCs w:val="21"/>
        </w:rPr>
        <w:t xml:space="preserve">Avatar upload — POST /api/users/me/avatar, local-disk storage, served back out via a dedicated public /media/** route; validated content type and 5MB size cap.</w:t>
      </w:r>
    </w:p>
    <w:p>
      <w:pPr>
        <w:pStyle w:val="ListParagraph"/>
        <w:numPr>
          <w:ilvl w:val="0"/>
          <w:numId w:val="2"/>
        </w:numPr>
        <w:spacing w:after="80" w:line="276"/>
      </w:pPr>
      <w:r>
        <w:rPr>
          <w:color w:val="1F2937"/>
          <w:sz w:val="21"/>
          <w:szCs w:val="21"/>
        </w:rPr>
        <w:t xml:space="preserve">Push tokens — PUT/DELETE /api/push/token, re-registration re-points a device's token to a new account rather than accumulating stale rows.</w:t>
      </w:r>
    </w:p>
    <w:p>
      <w:pPr>
        <w:pStyle w:val="ListParagraph"/>
        <w:numPr>
          <w:ilvl w:val="0"/>
          <w:numId w:val="2"/>
        </w:numPr>
        <w:spacing w:after="80" w:line="276"/>
      </w:pPr>
      <w:r>
        <w:rPr>
          <w:color w:val="1F2937"/>
          <w:sz w:val="21"/>
          <w:szCs w:val="21"/>
        </w:rPr>
        <w:t xml:space="preserve">Admin self-setup — POST /api/auth/admin-setup, a “first person to call it becomes admin” flow matching the frontend's own screen copy, permanently disabled the moment one ADMIN account exists.</w:t>
      </w:r>
    </w:p>
    <w:p>
      <w:pPr>
        <w:pStyle w:val="ListParagraph"/>
        <w:numPr>
          <w:ilvl w:val="0"/>
          <w:numId w:val="2"/>
        </w:numPr>
        <w:spacing w:after="80" w:line="276"/>
      </w:pPr>
      <w:r>
        <w:rPr>
          <w:color w:val="1F2937"/>
          <w:sz w:val="21"/>
          <w:szCs w:val="21"/>
        </w:rPr>
        <w:t xml:space="preserve">Admin dashboard — GET /api/admin/stats and full whitelist CRUD, replacing a mismatch where the frontend called endpoints the service never exposed.</w:t>
      </w:r>
    </w:p>
    <w:p>
      <w:pPr>
        <w:pStyle w:val="ListParagraph"/>
        <w:numPr>
          <w:ilvl w:val="0"/>
          <w:numId w:val="2"/>
        </w:numPr>
        <w:spacing w:after="80" w:line="276"/>
      </w:pPr>
      <w:r>
        <w:rPr>
          <w:color w:val="1F2937"/>
          <w:sz w:val="21"/>
          <w:szCs w:val="21"/>
        </w:rPr>
        <w:t xml:space="preserve">Streak shield — POST /api/wellness/streak/shield; a real daily-rollover break check (not previously exposed on a plain read) plus a purchasable shield that absorbs exactly one streak break; required a new debit endpoint on wallet-service since only credit existed before.</w:t>
      </w:r>
    </w:p>
    <w:p>
      <w:pPr>
        <w:pStyle w:val="ListParagraph"/>
        <w:numPr>
          <w:ilvl w:val="0"/>
          <w:numId w:val="2"/>
        </w:numPr>
        <w:spacing w:after="80" w:line="276"/>
      </w:pPr>
      <w:r>
        <w:rPr>
          <w:color w:val="1F2937"/>
          <w:sz w:val="21"/>
          <w:szCs w:val="21"/>
        </w:rPr>
        <w:t xml:space="preserve">moodmate-crisis (new service) — counsellor/admin alert triage, created only via an internal endpoint called by moodmate-ai and moodmate-journal.</w:t>
      </w:r>
    </w:p>
    <w:p>
      <w:pPr>
        <w:pStyle w:val="ListParagraph"/>
        <w:numPr>
          <w:ilvl w:val="0"/>
          <w:numId w:val="2"/>
        </w:numPr>
        <w:spacing w:after="80" w:line="276"/>
      </w:pPr>
      <w:r>
        <w:rPr>
          <w:color w:val="1F2937"/>
          <w:sz w:val="21"/>
          <w:szCs w:val="21"/>
        </w:rPr>
        <w:t xml:space="preserve">moodmate-ai (new service) — AI chat via Groq's OpenAI-compatible API, chat history, and GET /api/insights (deterministic wellness/sentiment scoring from mood-service data, Groq-generated narrative text with a templated fallback).</w:t>
      </w:r>
    </w:p>
    <w:p>
      <w:pPr>
        <w:pStyle w:val="ListParagraph"/>
        <w:numPr>
          <w:ilvl w:val="0"/>
          <w:numId w:val="2"/>
        </w:numPr>
        <w:spacing w:after="80" w:line="276"/>
      </w:pPr>
      <w:r>
        <w:rPr>
          <w:color w:val="1F2937"/>
          <w:sz w:val="21"/>
          <w:szCs w:val="21"/>
        </w:rPr>
        <w:t xml:space="preserve">Journal crisis detection — the same keyword-detection design as AI chat, applied to journal entries on create and update.</w:t>
      </w:r>
    </w:p>
    <w:p>
      <w:pPr>
        <w:pStyle w:val="Heading1"/>
        <w:pBdr>
          <w:bottom w:val="single" w:color="2563EB" w:sz="6" w:space="4"/>
        </w:pBdr>
        <w:spacing w:after="200" w:before="400"/>
      </w:pPr>
      <w:r>
        <w:rPr>
          <w:b/>
          <w:bCs/>
          <w:color w:val="1F2937"/>
          <w:sz w:val="30"/>
          <w:szCs w:val="30"/>
        </w:rPr>
        <w:t xml:space="preserve">5. Frontend–Backend Compatibility Audit</w:t>
      </w:r>
    </w:p>
    <w:p>
      <w:pPr>
        <w:spacing w:after="160" w:line="276"/>
      </w:pPr>
      <w:r>
        <w:rPr>
          <w:color w:val="1F2937"/>
          <w:sz w:val="21"/>
          <w:szCs w:val="21"/>
        </w:rPr>
        <w:t xml:space="preserve">Methodology: every file under the frontend's src/api/ directory was read in full and every HTTP call it makes was checked against the corresponding backend controller for path, method, request shape, and response field names — not just “does a route exist,” since a shape mismatch fails just as hard as a missing route.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700"/>
      </w:tblGrid>
      <w:tr>
        <w:trPr>
          <w:tblHeader/>
        </w:trPr>
        <w:tc>
          <w:tcPr>
            <w:tcW w:type="dxa" w:w="1700"/>
            <w:shd w:fill="2563EB" w:val="clear"/>
            <w:tcMar>
              <w:top w:type="dxa" w:w="80"/>
              <w:left w:type="dxa" w:w="120"/>
              <w:bottom w:type="dxa" w:w="80"/>
              <w:right w:type="dxa" w:w="120"/>
            </w:tcMar>
            <w:vAlign w:val="center"/>
          </w:tcPr>
          <w:p>
            <w:r>
              <w:rPr>
                <w:b/>
                <w:bCs/>
                <w:color w:val="FFFFFF"/>
                <w:sz w:val="19"/>
                <w:szCs w:val="19"/>
              </w:rPr>
              <w:t xml:space="preserve">Area</w:t>
            </w:r>
          </w:p>
        </w:tc>
        <w:tc>
          <w:tcPr>
            <w:tcW w:type="dxa" w:w="5300"/>
            <w:shd w:fill="2563EB" w:val="clear"/>
            <w:tcMar>
              <w:top w:type="dxa" w:w="80"/>
              <w:left w:type="dxa" w:w="120"/>
              <w:bottom w:type="dxa" w:w="80"/>
              <w:right w:type="dxa" w:w="120"/>
            </w:tcMar>
            <w:vAlign w:val="center"/>
          </w:tcPr>
          <w:p>
            <w:r>
              <w:rPr>
                <w:b/>
                <w:bCs/>
                <w:color w:val="FFFFFF"/>
                <w:sz w:val="19"/>
                <w:szCs w:val="19"/>
              </w:rPr>
              <w:t xml:space="preserve">Issue found</w:t>
            </w:r>
          </w:p>
        </w:tc>
        <w:tc>
          <w:tcPr>
            <w:tcW w:type="dxa" w:w="2700"/>
            <w:shd w:fill="2563EB" w:val="clear"/>
            <w:tcMar>
              <w:top w:type="dxa" w:w="80"/>
              <w:left w:type="dxa" w:w="120"/>
              <w:bottom w:type="dxa" w:w="80"/>
              <w:right w:type="dxa" w:w="120"/>
            </w:tcMar>
            <w:vAlign w:val="center"/>
          </w:tcPr>
          <w:p>
            <w:r>
              <w:rPr>
                <w:b/>
                <w:bCs/>
                <w:color w:val="FFFFFF"/>
                <w:sz w:val="19"/>
                <w:szCs w:val="19"/>
              </w:rPr>
              <w:t xml:space="preserve">Resolution</w:t>
            </w:r>
          </w:p>
        </w:tc>
      </w:tr>
      <w:tr>
        <w:tc>
          <w:tcPr>
            <w:tcW w:type="dxa" w:w="1700"/>
            <w:tcMar>
              <w:top w:type="dxa" w:w="80"/>
              <w:left w:type="dxa" w:w="120"/>
              <w:bottom w:type="dxa" w:w="80"/>
              <w:right w:type="dxa" w:w="120"/>
            </w:tcMar>
            <w:vAlign w:val="center"/>
          </w:tcPr>
          <w:p>
            <w:r>
              <w:rPr>
                <w:b w:val="false"/>
                <w:bCs w:val="false"/>
                <w:color w:val="1F2937"/>
                <w:sz w:val="19"/>
                <w:szCs w:val="19"/>
              </w:rPr>
              <w:t xml:space="preserve">Auth</w:t>
            </w:r>
          </w:p>
        </w:tc>
        <w:tc>
          <w:tcPr>
            <w:tcW w:type="dxa" w:w="5300"/>
            <w:tcMar>
              <w:top w:type="dxa" w:w="80"/>
              <w:left w:type="dxa" w:w="120"/>
              <w:bottom w:type="dxa" w:w="80"/>
              <w:right w:type="dxa" w:w="120"/>
            </w:tcMar>
            <w:vAlign w:val="center"/>
          </w:tcPr>
          <w:p>
            <w:r>
              <w:rPr>
                <w:b w:val="false"/>
                <w:bCs w:val="false"/>
                <w:color w:val="1F2937"/>
                <w:sz w:val="19"/>
                <w:szCs w:val="19"/>
              </w:rPr>
              <w:t xml:space="preserve">admin-setup, forgot/reset password, avatar upload: called by frontend, no backend at all</w:t>
            </w:r>
          </w:p>
        </w:tc>
        <w:tc>
          <w:tcPr>
            <w:tcW w:type="dxa" w:w="2700"/>
            <w:tcMar>
              <w:top w:type="dxa" w:w="80"/>
              <w:left w:type="dxa" w:w="120"/>
              <w:bottom w:type="dxa" w:w="80"/>
              <w:right w:type="dxa" w:w="120"/>
            </w:tcMar>
            <w:vAlign w:val="center"/>
          </w:tcPr>
          <w:p>
            <w:r>
              <w:rPr>
                <w:b w:val="false"/>
                <w:bCs w:val="false"/>
                <w:color w:val="1F2937"/>
                <w:sz w:val="19"/>
                <w:szCs w:val="19"/>
              </w:rPr>
              <w:t xml:space="preserve">Built (Section 4)</w:t>
            </w:r>
          </w:p>
        </w:tc>
      </w:tr>
      <w:tr>
        <w:tc>
          <w:tcPr>
            <w:tcW w:type="dxa" w:w="1700"/>
            <w:shd w:fill="F3F4F6" w:val="clear"/>
            <w:tcMar>
              <w:top w:type="dxa" w:w="80"/>
              <w:left w:type="dxa" w:w="120"/>
              <w:bottom w:type="dxa" w:w="80"/>
              <w:right w:type="dxa" w:w="120"/>
            </w:tcMar>
            <w:vAlign w:val="center"/>
          </w:tcPr>
          <w:p>
            <w:r>
              <w:rPr>
                <w:b w:val="false"/>
                <w:bCs w:val="false"/>
                <w:color w:val="1F2937"/>
                <w:sz w:val="19"/>
                <w:szCs w:val="19"/>
              </w:rPr>
              <w:t xml:space="preserve">Push</w:t>
            </w:r>
          </w:p>
        </w:tc>
        <w:tc>
          <w:tcPr>
            <w:tcW w:type="dxa" w:w="5300"/>
            <w:shd w:fill="F3F4F6" w:val="clear"/>
            <w:tcMar>
              <w:top w:type="dxa" w:w="80"/>
              <w:left w:type="dxa" w:w="120"/>
              <w:bottom w:type="dxa" w:w="80"/>
              <w:right w:type="dxa" w:w="120"/>
            </w:tcMar>
            <w:vAlign w:val="center"/>
          </w:tcPr>
          <w:p>
            <w:r>
              <w:rPr>
                <w:b w:val="false"/>
                <w:bCs w:val="false"/>
                <w:color w:val="1F2937"/>
                <w:sz w:val="19"/>
                <w:szCs w:val="19"/>
              </w:rPr>
              <w:t xml:space="preserve">PUT/DELETE /api/push/token: no backend</w:t>
            </w:r>
          </w:p>
        </w:tc>
        <w:tc>
          <w:tcPr>
            <w:tcW w:type="dxa" w:w="2700"/>
            <w:shd w:fill="F3F4F6" w:val="clear"/>
            <w:tcMar>
              <w:top w:type="dxa" w:w="80"/>
              <w:left w:type="dxa" w:w="120"/>
              <w:bottom w:type="dxa" w:w="80"/>
              <w:right w:type="dxa" w:w="120"/>
            </w:tcMar>
            <w:vAlign w:val="center"/>
          </w:tcPr>
          <w:p>
            <w:r>
              <w:rPr>
                <w:b w:val="false"/>
                <w:bCs w:val="false"/>
                <w:color w:val="1F2937"/>
                <w:sz w:val="19"/>
                <w:szCs w:val="19"/>
              </w:rPr>
              <w:t xml:space="preserve">Built (Section 4)</w:t>
            </w:r>
          </w:p>
        </w:tc>
      </w:tr>
      <w:tr>
        <w:tc>
          <w:tcPr>
            <w:tcW w:type="dxa" w:w="1700"/>
            <w:tcMar>
              <w:top w:type="dxa" w:w="80"/>
              <w:left w:type="dxa" w:w="120"/>
              <w:bottom w:type="dxa" w:w="80"/>
              <w:right w:type="dxa" w:w="120"/>
            </w:tcMar>
            <w:vAlign w:val="center"/>
          </w:tcPr>
          <w:p>
            <w:r>
              <w:rPr>
                <w:b w:val="false"/>
                <w:bCs w:val="false"/>
                <w:color w:val="1F2937"/>
                <w:sz w:val="19"/>
                <w:szCs w:val="19"/>
              </w:rPr>
              <w:t xml:space="preserve">Admin</w:t>
            </w:r>
          </w:p>
        </w:tc>
        <w:tc>
          <w:tcPr>
            <w:tcW w:type="dxa" w:w="5300"/>
            <w:tcMar>
              <w:top w:type="dxa" w:w="80"/>
              <w:left w:type="dxa" w:w="120"/>
              <w:bottom w:type="dxa" w:w="80"/>
              <w:right w:type="dxa" w:w="120"/>
            </w:tcMar>
            <w:vAlign w:val="center"/>
          </w:tcPr>
          <w:p>
            <w:r>
              <w:rPr>
                <w:b w:val="false"/>
                <w:bCs w:val="false"/>
                <w:color w:val="1F2937"/>
                <w:sz w:val="19"/>
                <w:szCs w:val="19"/>
              </w:rPr>
              <w:t xml:space="preserve">Frontend calls /api/admin/stats and /whitelist; service only exposed /health-pulse and /analytics/*</w:t>
            </w:r>
          </w:p>
        </w:tc>
        <w:tc>
          <w:tcPr>
            <w:tcW w:type="dxa" w:w="2700"/>
            <w:tcMar>
              <w:top w:type="dxa" w:w="80"/>
              <w:left w:type="dxa" w:w="120"/>
              <w:bottom w:type="dxa" w:w="80"/>
              <w:right w:type="dxa" w:w="120"/>
            </w:tcMar>
            <w:vAlign w:val="center"/>
          </w:tcPr>
          <w:p>
            <w:r>
              <w:rPr>
                <w:b w:val="false"/>
                <w:bCs w:val="false"/>
                <w:color w:val="1F2937"/>
                <w:sz w:val="19"/>
                <w:szCs w:val="19"/>
              </w:rPr>
              <w:t xml:space="preserve">New endpoints added, matching frontend exactly</w:t>
            </w:r>
          </w:p>
        </w:tc>
      </w:tr>
      <w:tr>
        <w:tc>
          <w:tcPr>
            <w:tcW w:type="dxa" w:w="1700"/>
            <w:shd w:fill="F3F4F6" w:val="clear"/>
            <w:tcMar>
              <w:top w:type="dxa" w:w="80"/>
              <w:left w:type="dxa" w:w="120"/>
              <w:bottom w:type="dxa" w:w="80"/>
              <w:right w:type="dxa" w:w="120"/>
            </w:tcMar>
            <w:vAlign w:val="center"/>
          </w:tcPr>
          <w:p>
            <w:r>
              <w:rPr>
                <w:b w:val="false"/>
                <w:bCs w:val="false"/>
                <w:color w:val="1F2937"/>
                <w:sz w:val="19"/>
                <w:szCs w:val="19"/>
              </w:rPr>
              <w:t xml:space="preserve">Wellness</w:t>
            </w:r>
          </w:p>
        </w:tc>
        <w:tc>
          <w:tcPr>
            <w:tcW w:type="dxa" w:w="5300"/>
            <w:shd w:fill="F3F4F6" w:val="clear"/>
            <w:tcMar>
              <w:top w:type="dxa" w:w="80"/>
              <w:left w:type="dxa" w:w="120"/>
              <w:bottom w:type="dxa" w:w="80"/>
              <w:right w:type="dxa" w:w="120"/>
            </w:tcMar>
            <w:vAlign w:val="center"/>
          </w:tcPr>
          <w:p>
            <w:r>
              <w:rPr>
                <w:b w:val="false"/>
                <w:bCs w:val="false"/>
                <w:color w:val="1F2937"/>
                <w:sz w:val="19"/>
                <w:szCs w:val="19"/>
              </w:rPr>
              <w:t xml:space="preserve">hasStreakShield expected on every state response; POST /streak/shield called; neither existed</w:t>
            </w:r>
          </w:p>
        </w:tc>
        <w:tc>
          <w:tcPr>
            <w:tcW w:type="dxa" w:w="2700"/>
            <w:shd w:fill="F3F4F6" w:val="clear"/>
            <w:tcMar>
              <w:top w:type="dxa" w:w="80"/>
              <w:left w:type="dxa" w:w="120"/>
              <w:bottom w:type="dxa" w:w="80"/>
              <w:right w:type="dxa" w:w="120"/>
            </w:tcMar>
            <w:vAlign w:val="center"/>
          </w:tcPr>
          <w:p>
            <w:r>
              <w:rPr>
                <w:b w:val="false"/>
                <w:bCs w:val="false"/>
                <w:color w:val="1F2937"/>
                <w:sz w:val="19"/>
                <w:szCs w:val="19"/>
              </w:rPr>
              <w:t xml:space="preserve">Built (Section 4)</w:t>
            </w:r>
          </w:p>
        </w:tc>
      </w:tr>
      <w:tr>
        <w:tc>
          <w:tcPr>
            <w:tcW w:type="dxa" w:w="1700"/>
            <w:tcMar>
              <w:top w:type="dxa" w:w="80"/>
              <w:left w:type="dxa" w:w="120"/>
              <w:bottom w:type="dxa" w:w="80"/>
              <w:right w:type="dxa" w:w="120"/>
            </w:tcMar>
            <w:vAlign w:val="center"/>
          </w:tcPr>
          <w:p>
            <w:r>
              <w:rPr>
                <w:b w:val="false"/>
                <w:bCs w:val="false"/>
                <w:color w:val="1F2937"/>
                <w:sz w:val="19"/>
                <w:szCs w:val="19"/>
              </w:rPr>
              <w:t xml:space="preserve">Crisis</w:t>
            </w:r>
          </w:p>
        </w:tc>
        <w:tc>
          <w:tcPr>
            <w:tcW w:type="dxa" w:w="5300"/>
            <w:tcMar>
              <w:top w:type="dxa" w:w="80"/>
              <w:left w:type="dxa" w:w="120"/>
              <w:bottom w:type="dxa" w:w="80"/>
              <w:right w:type="dxa" w:w="120"/>
            </w:tcMar>
            <w:vAlign w:val="center"/>
          </w:tcPr>
          <w:p>
            <w:r>
              <w:rPr>
                <w:b w:val="false"/>
                <w:bCs w:val="false"/>
                <w:color w:val="1F2937"/>
                <w:sz w:val="19"/>
                <w:szCs w:val="19"/>
              </w:rPr>
              <w:t xml:space="preserve">Full counsellor/admin UI already shipped; zero backend anywhere</w:t>
            </w:r>
          </w:p>
        </w:tc>
        <w:tc>
          <w:tcPr>
            <w:tcW w:type="dxa" w:w="2700"/>
            <w:tcMar>
              <w:top w:type="dxa" w:w="80"/>
              <w:left w:type="dxa" w:w="120"/>
              <w:bottom w:type="dxa" w:w="80"/>
              <w:right w:type="dxa" w:w="120"/>
            </w:tcMar>
            <w:vAlign w:val="center"/>
          </w:tcPr>
          <w:p>
            <w:r>
              <w:rPr>
                <w:b w:val="false"/>
                <w:bCs w:val="false"/>
                <w:color w:val="1F2937"/>
                <w:sz w:val="19"/>
                <w:szCs w:val="19"/>
              </w:rPr>
              <w:t xml:space="preserve">New moodmate-crisis service</w:t>
            </w:r>
          </w:p>
        </w:tc>
      </w:tr>
      <w:tr>
        <w:tc>
          <w:tcPr>
            <w:tcW w:type="dxa" w:w="1700"/>
            <w:shd w:fill="F3F4F6" w:val="clear"/>
            <w:tcMar>
              <w:top w:type="dxa" w:w="80"/>
              <w:left w:type="dxa" w:w="120"/>
              <w:bottom w:type="dxa" w:w="80"/>
              <w:right w:type="dxa" w:w="120"/>
            </w:tcMar>
            <w:vAlign w:val="center"/>
          </w:tcPr>
          <w:p>
            <w:r>
              <w:rPr>
                <w:b w:val="false"/>
                <w:bCs w:val="false"/>
                <w:color w:val="1F2937"/>
                <w:sz w:val="19"/>
                <w:szCs w:val="19"/>
              </w:rPr>
              <w:t xml:space="preserve">Insights</w:t>
            </w:r>
          </w:p>
        </w:tc>
        <w:tc>
          <w:tcPr>
            <w:tcW w:type="dxa" w:w="5300"/>
            <w:shd w:fill="F3F4F6" w:val="clear"/>
            <w:tcMar>
              <w:top w:type="dxa" w:w="80"/>
              <w:left w:type="dxa" w:w="120"/>
              <w:bottom w:type="dxa" w:w="80"/>
              <w:right w:type="dxa" w:w="120"/>
            </w:tcMar>
            <w:vAlign w:val="center"/>
          </w:tcPr>
          <w:p>
            <w:r>
              <w:rPr>
                <w:b w:val="false"/>
                <w:bCs w:val="false"/>
                <w:color w:val="1F2937"/>
                <w:sz w:val="19"/>
                <w:szCs w:val="19"/>
              </w:rPr>
              <w:t xml:space="preserve">GET /api/insights called; zero backend anywhere</w:t>
            </w:r>
          </w:p>
        </w:tc>
        <w:tc>
          <w:tcPr>
            <w:tcW w:type="dxa" w:w="2700"/>
            <w:shd w:fill="F3F4F6" w:val="clear"/>
            <w:tcMar>
              <w:top w:type="dxa" w:w="80"/>
              <w:left w:type="dxa" w:w="120"/>
              <w:bottom w:type="dxa" w:w="80"/>
              <w:right w:type="dxa" w:w="120"/>
            </w:tcMar>
            <w:vAlign w:val="center"/>
          </w:tcPr>
          <w:p>
            <w:r>
              <w:rPr>
                <w:b w:val="false"/>
                <w:bCs w:val="false"/>
                <w:color w:val="1F2937"/>
                <w:sz w:val="19"/>
                <w:szCs w:val="19"/>
              </w:rPr>
              <w:t xml:space="preserve">Built into moodmate-ai</w:t>
            </w:r>
          </w:p>
        </w:tc>
      </w:tr>
      <w:tr>
        <w:tc>
          <w:tcPr>
            <w:tcW w:type="dxa" w:w="1700"/>
            <w:tcMar>
              <w:top w:type="dxa" w:w="80"/>
              <w:left w:type="dxa" w:w="120"/>
              <w:bottom w:type="dxa" w:w="80"/>
              <w:right w:type="dxa" w:w="120"/>
            </w:tcMar>
            <w:vAlign w:val="center"/>
          </w:tcPr>
          <w:p>
            <w:r>
              <w:rPr>
                <w:b w:val="false"/>
                <w:bCs w:val="false"/>
                <w:color w:val="1F2937"/>
                <w:sz w:val="19"/>
                <w:szCs w:val="19"/>
              </w:rPr>
              <w:t xml:space="preserve">AI chat</w:t>
            </w:r>
          </w:p>
        </w:tc>
        <w:tc>
          <w:tcPr>
            <w:tcW w:type="dxa" w:w="5300"/>
            <w:tcMar>
              <w:top w:type="dxa" w:w="80"/>
              <w:left w:type="dxa" w:w="120"/>
              <w:bottom w:type="dxa" w:w="80"/>
              <w:right w:type="dxa" w:w="120"/>
            </w:tcMar>
            <w:vAlign w:val="center"/>
          </w:tcPr>
          <w:p>
            <w:r>
              <w:rPr>
                <w:b w:val="false"/>
                <w:bCs w:val="false"/>
                <w:color w:val="1F2937"/>
                <w:sz w:val="19"/>
                <w:szCs w:val="19"/>
              </w:rPr>
              <w:t xml:space="preserve">Full chat UI already shipped; zero backend anywhere</w:t>
            </w:r>
          </w:p>
        </w:tc>
        <w:tc>
          <w:tcPr>
            <w:tcW w:type="dxa" w:w="2700"/>
            <w:tcMar>
              <w:top w:type="dxa" w:w="80"/>
              <w:left w:type="dxa" w:w="120"/>
              <w:bottom w:type="dxa" w:w="80"/>
              <w:right w:type="dxa" w:w="120"/>
            </w:tcMar>
            <w:vAlign w:val="center"/>
          </w:tcPr>
          <w:p>
            <w:r>
              <w:rPr>
                <w:b w:val="false"/>
                <w:bCs w:val="false"/>
                <w:color w:val="1F2937"/>
                <w:sz w:val="19"/>
                <w:szCs w:val="19"/>
              </w:rPr>
              <w:t xml:space="preserve">New moodmate-ai service (text only — see Section 9)</w:t>
            </w:r>
          </w:p>
        </w:tc>
      </w:tr>
      <w:tr>
        <w:tc>
          <w:tcPr>
            <w:tcW w:type="dxa" w:w="1700"/>
            <w:shd w:fill="F3F4F6" w:val="clear"/>
            <w:tcMar>
              <w:top w:type="dxa" w:w="80"/>
              <w:left w:type="dxa" w:w="120"/>
              <w:bottom w:type="dxa" w:w="80"/>
              <w:right w:type="dxa" w:w="120"/>
            </w:tcMar>
            <w:vAlign w:val="center"/>
          </w:tcPr>
          <w:p>
            <w:r>
              <w:rPr>
                <w:b w:val="false"/>
                <w:bCs w:val="false"/>
                <w:color w:val="1F2937"/>
                <w:sz w:val="19"/>
                <w:szCs w:val="19"/>
              </w:rPr>
              <w:t xml:space="preserve">Gateway routing</w:t>
            </w:r>
          </w:p>
        </w:tc>
        <w:tc>
          <w:tcPr>
            <w:tcW w:type="dxa" w:w="5300"/>
            <w:shd w:fill="F3F4F6" w:val="clear"/>
            <w:tcMar>
              <w:top w:type="dxa" w:w="80"/>
              <w:left w:type="dxa" w:w="120"/>
              <w:bottom w:type="dxa" w:w="80"/>
              <w:right w:type="dxa" w:w="120"/>
            </w:tcMar>
            <w:vAlign w:val="center"/>
          </w:tcPr>
          <w:p>
            <w:r>
              <w:rPr>
                <w:b w:val="false"/>
                <w:bCs w:val="false"/>
                <w:color w:val="1F2937"/>
                <w:sz w:val="19"/>
                <w:szCs w:val="19"/>
              </w:rPr>
              <w:t xml:space="preserve">GET /api/sos/resources is called deliberately unauthenticated by the frontend, but shared a route with /api/support/** under JwtAuthFilter, so the gateway itself rejected it with 401</w:t>
            </w:r>
          </w:p>
        </w:tc>
        <w:tc>
          <w:tcPr>
            <w:tcW w:type="dxa" w:w="2700"/>
            <w:shd w:fill="F3F4F6" w:val="clear"/>
            <w:tcMar>
              <w:top w:type="dxa" w:w="80"/>
              <w:left w:type="dxa" w:w="120"/>
              <w:bottom w:type="dxa" w:w="80"/>
              <w:right w:type="dxa" w:w="120"/>
            </w:tcMar>
            <w:vAlign w:val="center"/>
          </w:tcPr>
          <w:p>
            <w:r>
              <w:rPr>
                <w:b w:val="false"/>
                <w:bCs w:val="false"/>
                <w:color w:val="1F2937"/>
                <w:sz w:val="19"/>
                <w:szCs w:val="19"/>
              </w:rPr>
              <w:t xml:space="preserve">Split into its own public route, found and fixed during the final route audit</w:t>
            </w:r>
          </w:p>
        </w:tc>
      </w:tr>
    </w:tbl>
    <w:p>
      <w:pPr>
        <w:pStyle w:val="Heading1"/>
        <w:pBdr>
          <w:bottom w:val="single" w:color="2563EB" w:sz="6" w:space="4"/>
        </w:pBdr>
        <w:spacing w:after="200" w:before="400"/>
      </w:pPr>
      <w:r>
        <w:rPr>
          <w:b/>
          <w:bCs/>
          <w:color w:val="1F2937"/>
          <w:sz w:val="30"/>
          <w:szCs w:val="30"/>
        </w:rPr>
        <w:t xml:space="preserve">6. Security &amp; Safety Notes</w:t>
      </w:r>
    </w:p>
    <w:p>
      <w:pPr>
        <w:pStyle w:val="ListParagraph"/>
        <w:numPr>
          <w:ilvl w:val="0"/>
          <w:numId w:val="2"/>
        </w:numPr>
        <w:spacing w:after="80" w:line="276"/>
      </w:pPr>
      <w:r>
        <w:rPr>
          <w:color w:val="1F2937"/>
          <w:sz w:val="21"/>
          <w:szCs w:val="21"/>
        </w:rPr>
        <w:t xml:space="preserve">The SOS-routing bug above (Section 5) meant the app's one hard product/ethics rule — crisis resources must never require login — was silently broken at the infrastructure layer even though the service code itself never required auth. Caught by a systematic route-by-route audit against every frontend call, not by manual inspection.</w:t>
      </w:r>
    </w:p>
    <w:p>
      <w:pPr>
        <w:pStyle w:val="ListParagraph"/>
        <w:numPr>
          <w:ilvl w:val="0"/>
          <w:numId w:val="2"/>
        </w:numPr>
        <w:spacing w:after="80" w:line="276"/>
      </w:pPr>
      <w:r>
        <w:rPr>
          <w:color w:val="1F2937"/>
          <w:sz w:val="21"/>
          <w:szCs w:val="21"/>
        </w:rPr>
        <w:t xml:space="preserve">Crisis keyword detection (both AI chat and journal entries) is a deliberately broad, case-insensitive substring heuristic — explicitly documented in code as not a clinical screening tool. False positives (a phrase used casually) are an accepted trade-off; false negatives are treated as the far worse failure mode, so the keyword lists lean broad rather than narrow.</w:t>
      </w:r>
    </w:p>
    <w:p>
      <w:pPr>
        <w:pStyle w:val="ListParagraph"/>
        <w:numPr>
          <w:ilvl w:val="0"/>
          <w:numId w:val="2"/>
        </w:numPr>
        <w:spacing w:after="80" w:line="276"/>
      </w:pPr>
      <w:r>
        <w:rPr>
          <w:color w:val="1F2937"/>
          <w:sz w:val="21"/>
          <w:szCs w:val="21"/>
        </w:rPr>
        <w:t xml:space="preserve">A crisis-alert filing failure (moodmate-crisis unreachable) is logged and swallowed, never allowed to block the underlying user action — a chat reply or a journal save must always succeed even if the safety-net alert fails to file.</w:t>
      </w:r>
    </w:p>
    <w:p>
      <w:pPr>
        <w:pStyle w:val="ListParagraph"/>
        <w:numPr>
          <w:ilvl w:val="0"/>
          <w:numId w:val="2"/>
        </w:numPr>
        <w:spacing w:after="80" w:line="276"/>
      </w:pPr>
      <w:r>
        <w:rPr>
          <w:color w:val="1F2937"/>
          <w:sz w:val="21"/>
          <w:szCs w:val="21"/>
        </w:rPr>
        <w:t xml:space="preserve">moodmate-admin's cross-schema database reads are the one intentional exception to schema isolation, documented at the class level with the specific reasoning (read-only, never user-facing, single Postgres instance) and the explicit statement that this pattern would need to become real internal HTTP endpoints if any service ever moved to a truly separate database.</w:t>
      </w:r>
    </w:p>
    <w:p>
      <w:pPr>
        <w:pStyle w:val="ListParagraph"/>
        <w:numPr>
          <w:ilvl w:val="0"/>
          <w:numId w:val="2"/>
        </w:numPr>
        <w:spacing w:after="80" w:line="276"/>
      </w:pPr>
      <w:r>
        <w:rPr>
          <w:color w:val="1F2937"/>
          <w:sz w:val="21"/>
          <w:szCs w:val="21"/>
        </w:rPr>
        <w:t xml:space="preserve">Every credential is environment-variable-only; none is committed or hardcoded anywhere in the codebase.</w:t>
      </w:r>
    </w:p>
    <w:p>
      <w:pPr>
        <w:pStyle w:val="Heading1"/>
        <w:pBdr>
          <w:bottom w:val="single" w:color="2563EB" w:sz="6" w:space="4"/>
        </w:pBdr>
        <w:spacing w:after="200" w:before="400"/>
      </w:pPr>
      <w:r>
        <w:rPr>
          <w:b/>
          <w:bCs/>
          <w:color w:val="1F2937"/>
          <w:sz w:val="30"/>
          <w:szCs w:val="30"/>
        </w:rPr>
        <w:t xml:space="preserve">7. Verification Status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00"/>
        <w:gridCol w:w="4900"/>
      </w:tblGrid>
      <w:tr>
        <w:trPr>
          <w:tblHeader/>
        </w:trPr>
        <w:tc>
          <w:tcPr>
            <w:tcW w:type="dxa" w:w="4800"/>
            <w:shd w:fill="2563EB" w:val="clear"/>
            <w:tcMar>
              <w:top w:type="dxa" w:w="80"/>
              <w:left w:type="dxa" w:w="120"/>
              <w:bottom w:type="dxa" w:w="80"/>
              <w:right w:type="dxa" w:w="120"/>
            </w:tcMar>
            <w:vAlign w:val="center"/>
          </w:tcPr>
          <w:p>
            <w:r>
              <w:rPr>
                <w:b/>
                <w:bCs/>
                <w:color w:val="FFFFFF"/>
                <w:sz w:val="19"/>
                <w:szCs w:val="19"/>
              </w:rPr>
              <w:t xml:space="preserve">Check</w:t>
            </w:r>
          </w:p>
        </w:tc>
        <w:tc>
          <w:tcPr>
            <w:tcW w:type="dxa" w:w="4900"/>
            <w:shd w:fill="2563EB" w:val="clear"/>
            <w:tcMar>
              <w:top w:type="dxa" w:w="80"/>
              <w:left w:type="dxa" w:w="120"/>
              <w:bottom w:type="dxa" w:w="80"/>
              <w:right w:type="dxa" w:w="120"/>
            </w:tcMar>
            <w:vAlign w:val="center"/>
          </w:tcPr>
          <w:p>
            <w:r>
              <w:rPr>
                <w:b/>
                <w:bCs/>
                <w:color w:val="FFFFFF"/>
                <w:sz w:val="19"/>
                <w:szCs w:val="19"/>
              </w:rPr>
              <w:t xml:space="preserve">Result</w:t>
            </w:r>
          </w:p>
        </w:tc>
      </w:tr>
      <w:tr>
        <w:tc>
          <w:tcPr>
            <w:tcW w:type="dxa" w:w="4800"/>
            <w:tcMar>
              <w:top w:type="dxa" w:w="80"/>
              <w:left w:type="dxa" w:w="120"/>
              <w:bottom w:type="dxa" w:w="80"/>
              <w:right w:type="dxa" w:w="120"/>
            </w:tcMar>
            <w:vAlign w:val="center"/>
          </w:tcPr>
          <w:p>
            <w:r>
              <w:rPr>
                <w:b w:val="false"/>
                <w:bCs w:val="false"/>
                <w:color w:val="1F2937"/>
                <w:sz w:val="19"/>
                <w:szCs w:val="19"/>
              </w:rPr>
              <w:t xml:space="preserve">Full reactor compile (mvnw compile, all 13 modules)</w:t>
            </w:r>
          </w:p>
        </w:tc>
        <w:tc>
          <w:tcPr>
            <w:tcW w:type="dxa" w:w="4900"/>
            <w:tcMar>
              <w:top w:type="dxa" w:w="80"/>
              <w:left w:type="dxa" w:w="120"/>
              <w:bottom w:type="dxa" w:w="80"/>
              <w:right w:type="dxa" w:w="120"/>
            </w:tcMar>
            <w:vAlign w:val="center"/>
          </w:tcPr>
          <w:p>
            <w:r>
              <w:rPr>
                <w:b w:val="false"/>
                <w:bCs w:val="false"/>
                <w:color w:val="1F2937"/>
                <w:sz w:val="19"/>
                <w:szCs w:val="19"/>
              </w:rPr>
              <w:t xml:space="preserve">BUILD SUCCESS</w:t>
            </w:r>
          </w:p>
        </w:tc>
      </w:tr>
      <w:tr>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Per-service cross-reference symbol check (all 12 services)</w:t>
            </w:r>
          </w:p>
        </w:tc>
        <w:tc>
          <w:tcPr>
            <w:tcW w:type="dxa" w:w="4900"/>
            <w:shd w:fill="F3F4F6" w:val="clear"/>
            <w:tcMar>
              <w:top w:type="dxa" w:w="80"/>
              <w:left w:type="dxa" w:w="120"/>
              <w:bottom w:type="dxa" w:w="80"/>
              <w:right w:type="dxa" w:w="120"/>
            </w:tcMar>
            <w:vAlign w:val="center"/>
          </w:tcPr>
          <w:p>
            <w:r>
              <w:rPr>
                <w:b w:val="false"/>
                <w:bCs w:val="false"/>
                <w:color w:val="1F2937"/>
                <w:sz w:val="19"/>
                <w:szCs w:val="19"/>
              </w:rPr>
              <w:t xml:space="preserve">Clean — no missing symbols</w:t>
            </w:r>
          </w:p>
        </w:tc>
      </w:tr>
      <w:tr>
        <w:tc>
          <w:tcPr>
            <w:tcW w:type="dxa" w:w="4800"/>
            <w:tcMar>
              <w:top w:type="dxa" w:w="80"/>
              <w:left w:type="dxa" w:w="120"/>
              <w:bottom w:type="dxa" w:w="80"/>
              <w:right w:type="dxa" w:w="120"/>
            </w:tcMar>
            <w:vAlign w:val="center"/>
          </w:tcPr>
          <w:p>
            <w:r>
              <w:rPr>
                <w:b w:val="false"/>
                <w:bCs w:val="false"/>
                <w:color w:val="1F2937"/>
                <w:sz w:val="19"/>
                <w:szCs w:val="19"/>
              </w:rPr>
              <w:t xml:space="preserve">GoalEngineTest (streak/shield unit tests)</w:t>
            </w:r>
          </w:p>
        </w:tc>
        <w:tc>
          <w:tcPr>
            <w:tcW w:type="dxa" w:w="4900"/>
            <w:tcMar>
              <w:top w:type="dxa" w:w="80"/>
              <w:left w:type="dxa" w:w="120"/>
              <w:bottom w:type="dxa" w:w="80"/>
              <w:right w:type="dxa" w:w="120"/>
            </w:tcMar>
            <w:vAlign w:val="center"/>
          </w:tcPr>
          <w:p>
            <w:r>
              <w:rPr>
                <w:b w:val="false"/>
                <w:bCs w:val="false"/>
                <w:color w:val="1F2937"/>
                <w:sz w:val="19"/>
                <w:szCs w:val="19"/>
              </w:rPr>
              <w:t xml:space="preserve">12/12 passed</w:t>
            </w:r>
          </w:p>
        </w:tc>
      </w:tr>
      <w:tr>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Gateway route audit vs. full frontend API surface</w:t>
            </w:r>
          </w:p>
        </w:tc>
        <w:tc>
          <w:tcPr>
            <w:tcW w:type="dxa" w:w="4900"/>
            <w:shd w:fill="F3F4F6" w:val="clear"/>
            <w:tcMar>
              <w:top w:type="dxa" w:w="80"/>
              <w:left w:type="dxa" w:w="120"/>
              <w:bottom w:type="dxa" w:w="80"/>
              <w:right w:type="dxa" w:w="120"/>
            </w:tcMar>
            <w:vAlign w:val="center"/>
          </w:tcPr>
          <w:p>
            <w:r>
              <w:rPr>
                <w:b w:val="false"/>
                <w:bCs w:val="false"/>
                <w:color w:val="1F2937"/>
                <w:sz w:val="19"/>
                <w:szCs w:val="19"/>
              </w:rPr>
              <w:t xml:space="preserve">Complete — 1 real bug found and fixed (SOS routing)</w:t>
            </w:r>
          </w:p>
        </w:tc>
      </w:tr>
      <w:tr>
        <w:tc>
          <w:tcPr>
            <w:tcW w:type="dxa" w:w="4800"/>
            <w:tcMar>
              <w:top w:type="dxa" w:w="80"/>
              <w:left w:type="dxa" w:w="120"/>
              <w:bottom w:type="dxa" w:w="80"/>
              <w:right w:type="dxa" w:w="120"/>
            </w:tcMar>
            <w:vAlign w:val="center"/>
          </w:tcPr>
          <w:p>
            <w:r>
              <w:rPr>
                <w:b w:val="false"/>
                <w:bCs w:val="false"/>
                <w:color w:val="1F2937"/>
                <w:sz w:val="19"/>
                <w:szCs w:val="19"/>
              </w:rPr>
              <w:t xml:space="preserve">End-to-end runtime test (all services + mobile app together)</w:t>
            </w:r>
          </w:p>
        </w:tc>
        <w:tc>
          <w:tcPr>
            <w:tcW w:type="dxa" w:w="4900"/>
            <w:tcMar>
              <w:top w:type="dxa" w:w="80"/>
              <w:left w:type="dxa" w:w="120"/>
              <w:bottom w:type="dxa" w:w="80"/>
              <w:right w:type="dxa" w:w="120"/>
            </w:tcMar>
            <w:vAlign w:val="center"/>
          </w:tcPr>
          <w:p>
            <w:r>
              <w:rPr>
                <w:b w:val="false"/>
                <w:bCs w:val="false"/>
                <w:color w:val="1F2937"/>
                <w:sz w:val="19"/>
                <w:szCs w:val="19"/>
              </w:rPr>
              <w:t xml:space="preserve">NOT YET DONE</w:t>
            </w:r>
          </w:p>
        </w:tc>
      </w:tr>
      <w:tr>
        <w:tc>
          <w:tcPr>
            <w:tcW w:type="dxa" w:w="4800"/>
            <w:shd w:fill="F3F4F6" w:val="clear"/>
            <w:tcMar>
              <w:top w:type="dxa" w:w="80"/>
              <w:left w:type="dxa" w:w="120"/>
              <w:bottom w:type="dxa" w:w="80"/>
              <w:right w:type="dxa" w:w="120"/>
            </w:tcMar>
            <w:vAlign w:val="center"/>
          </w:tcPr>
          <w:p>
            <w:r>
              <w:rPr>
                <w:b w:val="false"/>
                <w:bCs w:val="false"/>
                <w:color w:val="1F2937"/>
                <w:sz w:val="19"/>
                <w:szCs w:val="19"/>
              </w:rPr>
              <w:t xml:space="preserve">Live Paystack sandbox transaction</w:t>
            </w:r>
          </w:p>
        </w:tc>
        <w:tc>
          <w:tcPr>
            <w:tcW w:type="dxa" w:w="4900"/>
            <w:shd w:fill="F3F4F6" w:val="clear"/>
            <w:tcMar>
              <w:top w:type="dxa" w:w="80"/>
              <w:left w:type="dxa" w:w="120"/>
              <w:bottom w:type="dxa" w:w="80"/>
              <w:right w:type="dxa" w:w="120"/>
            </w:tcMar>
            <w:vAlign w:val="center"/>
          </w:tcPr>
          <w:p>
            <w:r>
              <w:rPr>
                <w:b w:val="false"/>
                <w:bCs w:val="false"/>
                <w:color w:val="1F2937"/>
                <w:sz w:val="19"/>
                <w:szCs w:val="19"/>
              </w:rPr>
              <w:t xml:space="preserve">NOT YET DONE</w:t>
            </w:r>
          </w:p>
        </w:tc>
      </w:tr>
    </w:tbl>
    <w:p>
      <w:pPr>
        <w:pStyle w:val="Heading1"/>
        <w:pBdr>
          <w:bottom w:val="single" w:color="2563EB" w:sz="6" w:space="4"/>
        </w:pBdr>
        <w:spacing w:after="200" w:before="400"/>
      </w:pPr>
      <w:r>
        <w:rPr>
          <w:b/>
          <w:bCs/>
          <w:color w:val="1F2937"/>
          <w:sz w:val="30"/>
          <w:szCs w:val="30"/>
        </w:rPr>
        <w:t xml:space="preserve">8. Known Limitations &amp; Open Items</w:t>
      </w:r>
    </w:p>
    <w:p>
      <w:pPr>
        <w:pStyle w:val="ListParagraph"/>
        <w:numPr>
          <w:ilvl w:val="0"/>
          <w:numId w:val="2"/>
        </w:numPr>
        <w:spacing w:after="80" w:line="276"/>
      </w:pPr>
      <w:r>
        <w:rPr>
          <w:color w:val="1F2937"/>
          <w:sz w:val="21"/>
          <w:szCs w:val="21"/>
        </w:rPr>
        <w:t xml:space="preserve">AI chat is text-only. The frontend's request shape also carries audioBase64/imageBase64 fields, but no speech-to-text or vision API credential was available (only a Groq text key) — those inputs are rejected with a clear error rather than silently ignored or faked.</w:t>
      </w:r>
    </w:p>
    <w:p>
      <w:pPr>
        <w:pStyle w:val="ListParagraph"/>
        <w:numPr>
          <w:ilvl w:val="0"/>
          <w:numId w:val="2"/>
        </w:numPr>
        <w:spacing w:after="80" w:line="276"/>
      </w:pPr>
      <w:r>
        <w:rPr>
          <w:color w:val="1F2937"/>
          <w:sz w:val="21"/>
          <w:szCs w:val="21"/>
        </w:rPr>
        <w:t xml:space="preserve">The Groq model default (llama-3.3-70b-versatile) could not be verified against Groq's current live model list — a web search attempt hit a session rate limit during this phase. It is overridable via GROQ_MODEL without a code change if it turns out to be deprecated.</w:t>
      </w:r>
    </w:p>
    <w:p>
      <w:pPr>
        <w:pStyle w:val="ListParagraph"/>
        <w:numPr>
          <w:ilvl w:val="0"/>
          <w:numId w:val="2"/>
        </w:numPr>
        <w:spacing w:after="80" w:line="276"/>
      </w:pPr>
      <w:r>
        <w:rPr>
          <w:color w:val="1F2937"/>
          <w:sz w:val="21"/>
          <w:szCs w:val="21"/>
        </w:rPr>
        <w:t xml:space="preserve">No automated integration or end-to-end tests exist beyond the one GoalEngine unit test suite. Every other verification in this report is compile-time (does it build, do all referenced symbols exist) rather than runtime (does it behave correctly against a live database and a live frontend).</w:t>
      </w:r>
    </w:p>
    <w:p>
      <w:pPr>
        <w:pStyle w:val="ListParagraph"/>
        <w:numPr>
          <w:ilvl w:val="0"/>
          <w:numId w:val="2"/>
        </w:numPr>
        <w:spacing w:after="80" w:line="276"/>
      </w:pPr>
      <w:r>
        <w:rPr>
          <w:color w:val="1F2937"/>
          <w:sz w:val="21"/>
          <w:szCs w:val="21"/>
        </w:rPr>
        <w:t xml:space="preserve">The wellness-service daily-rollover streak-break check now runs on every read as well as on toggle, but there is still no scheduled/cron job anywhere in the system — all “time-based” logic in this app is lazily evaluated on request, which is adequate for this app's scale but worth knowing if that assumption ever changes.</w:t>
      </w:r>
    </w:p>
    <w:p>
      <w:pPr>
        <w:pStyle w:val="ListParagraph"/>
        <w:numPr>
          <w:ilvl w:val="0"/>
          <w:numId w:val="2"/>
        </w:numPr>
        <w:spacing w:after="80" w:line="276"/>
      </w:pPr>
      <w:r>
        <w:rPr>
          <w:color w:val="1F2937"/>
          <w:sz w:val="21"/>
          <w:szCs w:val="21"/>
        </w:rPr>
        <w:t xml:space="preserve">moodmate-auth's DataInitializer (optional demo-admin seeding) intentionally diverges from the original monolith's behavior of unconditionally seeding hardcoded credentials on every startup — it is off by default and requires an explicit password via environment variable. This is a deliberate security improvement, not an unresolved gap; the real path to an admin account is the self-service admin-setup screen.</w:t>
      </w:r>
    </w:p>
    <w:p>
      <w:pPr>
        <w:pStyle w:val="Heading1"/>
        <w:pBdr>
          <w:bottom w:val="single" w:color="2563EB" w:sz="6" w:space="4"/>
        </w:pBdr>
        <w:spacing w:after="200" w:before="400"/>
      </w:pPr>
      <w:r>
        <w:rPr>
          <w:b/>
          <w:bCs/>
          <w:color w:val="1F2937"/>
          <w:sz w:val="30"/>
          <w:szCs w:val="30"/>
        </w:rPr>
        <w:t xml:space="preserve">9. Environment Variables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700"/>
      </w:tblGrid>
      <w:tr>
        <w:trPr>
          <w:tblHeader/>
        </w:trPr>
        <w:tc>
          <w:tcPr>
            <w:tcW w:type="dxa" w:w="3400"/>
            <w:shd w:fill="2563EB" w:val="clear"/>
            <w:tcMar>
              <w:top w:type="dxa" w:w="80"/>
              <w:left w:type="dxa" w:w="120"/>
              <w:bottom w:type="dxa" w:w="80"/>
              <w:right w:type="dxa" w:w="120"/>
            </w:tcMar>
            <w:vAlign w:val="center"/>
          </w:tcPr>
          <w:p>
            <w:r>
              <w:rPr>
                <w:b/>
                <w:bCs/>
                <w:color w:val="FFFFFF"/>
                <w:sz w:val="19"/>
                <w:szCs w:val="19"/>
              </w:rPr>
              <w:t xml:space="preserve">Variable</w:t>
            </w:r>
          </w:p>
        </w:tc>
        <w:tc>
          <w:tcPr>
            <w:tcW w:type="dxa" w:w="1600"/>
            <w:shd w:fill="2563EB" w:val="clear"/>
            <w:tcMar>
              <w:top w:type="dxa" w:w="80"/>
              <w:left w:type="dxa" w:w="120"/>
              <w:bottom w:type="dxa" w:w="80"/>
              <w:right w:type="dxa" w:w="120"/>
            </w:tcMar>
            <w:vAlign w:val="center"/>
          </w:tcPr>
          <w:p>
            <w:r>
              <w:rPr>
                <w:b/>
                <w:bCs/>
                <w:color w:val="FFFFFF"/>
                <w:sz w:val="19"/>
                <w:szCs w:val="19"/>
              </w:rPr>
              <w:t xml:space="preserve">Used by</w:t>
            </w:r>
          </w:p>
        </w:tc>
        <w:tc>
          <w:tcPr>
            <w:tcW w:type="dxa" w:w="4700"/>
            <w:shd w:fill="2563EB" w:val="clear"/>
            <w:tcMar>
              <w:top w:type="dxa" w:w="80"/>
              <w:left w:type="dxa" w:w="120"/>
              <w:bottom w:type="dxa" w:w="80"/>
              <w:right w:type="dxa" w:w="120"/>
            </w:tcMar>
            <w:vAlign w:val="center"/>
          </w:tcPr>
          <w:p>
            <w:r>
              <w:rPr>
                <w:b/>
                <w:bCs/>
                <w:color w:val="FFFFFF"/>
                <w:sz w:val="19"/>
                <w:szCs w:val="19"/>
              </w:rPr>
              <w:t xml:space="preserve">Purpose</w:t>
            </w:r>
          </w:p>
        </w:tc>
      </w:tr>
      <w:tr>
        <w:tc>
          <w:tcPr>
            <w:tcW w:type="dxa" w:w="3400"/>
            <w:tcMar>
              <w:top w:type="dxa" w:w="80"/>
              <w:left w:type="dxa" w:w="120"/>
              <w:bottom w:type="dxa" w:w="80"/>
              <w:right w:type="dxa" w:w="120"/>
            </w:tcMar>
            <w:vAlign w:val="center"/>
          </w:tcPr>
          <w:p>
            <w:r>
              <w:rPr>
                <w:b w:val="false"/>
                <w:bCs w:val="false"/>
                <w:color w:val="1F2937"/>
                <w:sz w:val="19"/>
                <w:szCs w:val="19"/>
              </w:rPr>
              <w:t xml:space="preserve">DB_URL / DB_USERNAME / DB_PASSWORD</w:t>
            </w:r>
          </w:p>
        </w:tc>
        <w:tc>
          <w:tcPr>
            <w:tcW w:type="dxa" w:w="1600"/>
            <w:tcMar>
              <w:top w:type="dxa" w:w="80"/>
              <w:left w:type="dxa" w:w="120"/>
              <w:bottom w:type="dxa" w:w="80"/>
              <w:right w:type="dxa" w:w="120"/>
            </w:tcMar>
            <w:vAlign w:val="center"/>
          </w:tcPr>
          <w:p>
            <w:r>
              <w:rPr>
                <w:b w:val="false"/>
                <w:bCs w:val="false"/>
                <w:color w:val="1F2937"/>
                <w:sz w:val="19"/>
                <w:szCs w:val="19"/>
              </w:rPr>
              <w:t xml:space="preserve">every service</w:t>
            </w:r>
          </w:p>
        </w:tc>
        <w:tc>
          <w:tcPr>
            <w:tcW w:type="dxa" w:w="4700"/>
            <w:tcMar>
              <w:top w:type="dxa" w:w="80"/>
              <w:left w:type="dxa" w:w="120"/>
              <w:bottom w:type="dxa" w:w="80"/>
              <w:right w:type="dxa" w:w="120"/>
            </w:tcMar>
            <w:vAlign w:val="center"/>
          </w:tcPr>
          <w:p>
            <w:r>
              <w:rPr>
                <w:b w:val="false"/>
                <w:bCs w:val="false"/>
                <w:color w:val="1F2937"/>
                <w:sz w:val="19"/>
                <w:szCs w:val="19"/>
              </w:rPr>
              <w:t xml:space="preserve">Postgres connection</w:t>
            </w:r>
          </w:p>
        </w:tc>
      </w:tr>
      <w:tr>
        <w:tc>
          <w:tcPr>
            <w:tcW w:type="dxa" w:w="3400"/>
            <w:shd w:fill="F3F4F6" w:val="clear"/>
            <w:tcMar>
              <w:top w:type="dxa" w:w="80"/>
              <w:left w:type="dxa" w:w="120"/>
              <w:bottom w:type="dxa" w:w="80"/>
              <w:right w:type="dxa" w:w="120"/>
            </w:tcMar>
            <w:vAlign w:val="center"/>
          </w:tcPr>
          <w:p>
            <w:r>
              <w:rPr>
                <w:b w:val="false"/>
                <w:bCs w:val="false"/>
                <w:color w:val="1F2937"/>
                <w:sz w:val="19"/>
                <w:szCs w:val="19"/>
              </w:rPr>
              <w:t xml:space="preserve">JWT_SECRET</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gateway, auth</w:t>
            </w:r>
          </w:p>
        </w:tc>
        <w:tc>
          <w:tcPr>
            <w:tcW w:type="dxa" w:w="4700"/>
            <w:shd w:fill="F3F4F6" w:val="clear"/>
            <w:tcMar>
              <w:top w:type="dxa" w:w="80"/>
              <w:left w:type="dxa" w:w="120"/>
              <w:bottom w:type="dxa" w:w="80"/>
              <w:right w:type="dxa" w:w="120"/>
            </w:tcMar>
            <w:vAlign w:val="center"/>
          </w:tcPr>
          <w:p>
            <w:r>
              <w:rPr>
                <w:b w:val="false"/>
                <w:bCs w:val="false"/>
                <w:color w:val="1F2937"/>
                <w:sz w:val="19"/>
                <w:szCs w:val="19"/>
              </w:rPr>
              <w:t xml:space="preserve">Must match exactly between the two</w:t>
            </w:r>
          </w:p>
        </w:tc>
      </w:tr>
      <w:tr>
        <w:tc>
          <w:tcPr>
            <w:tcW w:type="dxa" w:w="3400"/>
            <w:tcMar>
              <w:top w:type="dxa" w:w="80"/>
              <w:left w:type="dxa" w:w="120"/>
              <w:bottom w:type="dxa" w:w="80"/>
              <w:right w:type="dxa" w:w="120"/>
            </w:tcMar>
            <w:vAlign w:val="center"/>
          </w:tcPr>
          <w:p>
            <w:r>
              <w:rPr>
                <w:b w:val="false"/>
                <w:bCs w:val="false"/>
                <w:color w:val="1F2937"/>
                <w:sz w:val="19"/>
                <w:szCs w:val="19"/>
              </w:rPr>
              <w:t xml:space="preserve">PAYSTACK_SECRET_KEY / PAYSTACK_PUBLIC_KEY</w:t>
            </w:r>
          </w:p>
        </w:tc>
        <w:tc>
          <w:tcPr>
            <w:tcW w:type="dxa" w:w="1600"/>
            <w:tcMar>
              <w:top w:type="dxa" w:w="80"/>
              <w:left w:type="dxa" w:w="120"/>
              <w:bottom w:type="dxa" w:w="80"/>
              <w:right w:type="dxa" w:w="120"/>
            </w:tcMar>
            <w:vAlign w:val="center"/>
          </w:tcPr>
          <w:p>
            <w:r>
              <w:rPr>
                <w:b w:val="false"/>
                <w:bCs w:val="false"/>
                <w:color w:val="1F2937"/>
                <w:sz w:val="19"/>
                <w:szCs w:val="19"/>
              </w:rPr>
              <w:t xml:space="preserve">wallet</w:t>
            </w:r>
          </w:p>
        </w:tc>
        <w:tc>
          <w:tcPr>
            <w:tcW w:type="dxa" w:w="4700"/>
            <w:tcMar>
              <w:top w:type="dxa" w:w="80"/>
              <w:left w:type="dxa" w:w="120"/>
              <w:bottom w:type="dxa" w:w="80"/>
              <w:right w:type="dxa" w:w="120"/>
            </w:tcMar>
            <w:vAlign w:val="center"/>
          </w:tcPr>
          <w:p>
            <w:r>
              <w:rPr>
                <w:b w:val="false"/>
                <w:bCs w:val="false"/>
                <w:color w:val="1F2937"/>
                <w:sz w:val="19"/>
                <w:szCs w:val="19"/>
              </w:rPr>
              <w:t xml:space="preserve">Checkout, webhook, verify</w:t>
            </w:r>
          </w:p>
        </w:tc>
      </w:tr>
      <w:tr>
        <w:tc>
          <w:tcPr>
            <w:tcW w:type="dxa" w:w="3400"/>
            <w:shd w:fill="F3F4F6" w:val="clear"/>
            <w:tcMar>
              <w:top w:type="dxa" w:w="80"/>
              <w:left w:type="dxa" w:w="120"/>
              <w:bottom w:type="dxa" w:w="80"/>
              <w:right w:type="dxa" w:w="120"/>
            </w:tcMar>
            <w:vAlign w:val="center"/>
          </w:tcPr>
          <w:p>
            <w:r>
              <w:rPr>
                <w:b w:val="false"/>
                <w:bCs w:val="false"/>
                <w:color w:val="1F2937"/>
                <w:sz w:val="19"/>
                <w:szCs w:val="19"/>
              </w:rPr>
              <w:t xml:space="preserve">MAIL_USERNAME / MAIL_PASSWORD</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auth</w:t>
            </w:r>
          </w:p>
        </w:tc>
        <w:tc>
          <w:tcPr>
            <w:tcW w:type="dxa" w:w="4700"/>
            <w:shd w:fill="F3F4F6" w:val="clear"/>
            <w:tcMar>
              <w:top w:type="dxa" w:w="80"/>
              <w:left w:type="dxa" w:w="120"/>
              <w:bottom w:type="dxa" w:w="80"/>
              <w:right w:type="dxa" w:w="120"/>
            </w:tcMar>
            <w:vAlign w:val="center"/>
          </w:tcPr>
          <w:p>
            <w:r>
              <w:rPr>
                <w:b w:val="false"/>
                <w:bCs w:val="false"/>
                <w:color w:val="1F2937"/>
                <w:sz w:val="19"/>
                <w:szCs w:val="19"/>
              </w:rPr>
              <w:t xml:space="preserve">Password-reset emails (Gmail App Password, no spaces)</w:t>
            </w:r>
          </w:p>
        </w:tc>
      </w:tr>
      <w:tr>
        <w:tc>
          <w:tcPr>
            <w:tcW w:type="dxa" w:w="3400"/>
            <w:tcMar>
              <w:top w:type="dxa" w:w="80"/>
              <w:left w:type="dxa" w:w="120"/>
              <w:bottom w:type="dxa" w:w="80"/>
              <w:right w:type="dxa" w:w="120"/>
            </w:tcMar>
            <w:vAlign w:val="center"/>
          </w:tcPr>
          <w:p>
            <w:r>
              <w:rPr>
                <w:b w:val="false"/>
                <w:bCs w:val="false"/>
                <w:color w:val="1F2937"/>
                <w:sz w:val="19"/>
                <w:szCs w:val="19"/>
              </w:rPr>
              <w:t xml:space="preserve">GROQ_API_KEY</w:t>
            </w:r>
          </w:p>
        </w:tc>
        <w:tc>
          <w:tcPr>
            <w:tcW w:type="dxa" w:w="1600"/>
            <w:tcMar>
              <w:top w:type="dxa" w:w="80"/>
              <w:left w:type="dxa" w:w="120"/>
              <w:bottom w:type="dxa" w:w="80"/>
              <w:right w:type="dxa" w:w="120"/>
            </w:tcMar>
            <w:vAlign w:val="center"/>
          </w:tcPr>
          <w:p>
            <w:r>
              <w:rPr>
                <w:b w:val="false"/>
                <w:bCs w:val="false"/>
                <w:color w:val="1F2937"/>
                <w:sz w:val="19"/>
                <w:szCs w:val="19"/>
              </w:rPr>
              <w:t xml:space="preserve">ai</w:t>
            </w:r>
          </w:p>
        </w:tc>
        <w:tc>
          <w:tcPr>
            <w:tcW w:type="dxa" w:w="4700"/>
            <w:tcMar>
              <w:top w:type="dxa" w:w="80"/>
              <w:left w:type="dxa" w:w="120"/>
              <w:bottom w:type="dxa" w:w="80"/>
              <w:right w:type="dxa" w:w="120"/>
            </w:tcMar>
            <w:vAlign w:val="center"/>
          </w:tcPr>
          <w:p>
            <w:r>
              <w:rPr>
                <w:b w:val="false"/>
                <w:bCs w:val="false"/>
                <w:color w:val="1F2937"/>
                <w:sz w:val="19"/>
                <w:szCs w:val="19"/>
              </w:rPr>
              <w:t xml:space="preserve">AI chat and insights narrative generation</w:t>
            </w:r>
          </w:p>
        </w:tc>
      </w:tr>
      <w:tr>
        <w:tc>
          <w:tcPr>
            <w:tcW w:type="dxa" w:w="3400"/>
            <w:shd w:fill="F3F4F6" w:val="clear"/>
            <w:tcMar>
              <w:top w:type="dxa" w:w="80"/>
              <w:left w:type="dxa" w:w="120"/>
              <w:bottom w:type="dxa" w:w="80"/>
              <w:right w:type="dxa" w:w="120"/>
            </w:tcMar>
            <w:vAlign w:val="center"/>
          </w:tcPr>
          <w:p>
            <w:r>
              <w:rPr>
                <w:b w:val="false"/>
                <w:bCs w:val="false"/>
                <w:color w:val="1F2937"/>
                <w:sz w:val="19"/>
                <w:szCs w:val="19"/>
              </w:rPr>
              <w:t xml:space="preserve">GROQ_MODEL</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ai</w:t>
            </w:r>
          </w:p>
        </w:tc>
        <w:tc>
          <w:tcPr>
            <w:tcW w:type="dxa" w:w="4700"/>
            <w:shd w:fill="F3F4F6" w:val="clear"/>
            <w:tcMar>
              <w:top w:type="dxa" w:w="80"/>
              <w:left w:type="dxa" w:w="120"/>
              <w:bottom w:type="dxa" w:w="80"/>
              <w:right w:type="dxa" w:w="120"/>
            </w:tcMar>
            <w:vAlign w:val="center"/>
          </w:tcPr>
          <w:p>
            <w:r>
              <w:rPr>
                <w:b w:val="false"/>
                <w:bCs w:val="false"/>
                <w:color w:val="1F2937"/>
                <w:sz w:val="19"/>
                <w:szCs w:val="19"/>
              </w:rPr>
              <w:t xml:space="preserve">Optional override of the default chat model</w:t>
            </w:r>
          </w:p>
        </w:tc>
      </w:tr>
      <w:tr>
        <w:tc>
          <w:tcPr>
            <w:tcW w:type="dxa" w:w="3400"/>
            <w:tcMar>
              <w:top w:type="dxa" w:w="80"/>
              <w:left w:type="dxa" w:w="120"/>
              <w:bottom w:type="dxa" w:w="80"/>
              <w:right w:type="dxa" w:w="120"/>
            </w:tcMar>
            <w:vAlign w:val="center"/>
          </w:tcPr>
          <w:p>
            <w:r>
              <w:rPr>
                <w:b w:val="false"/>
                <w:bCs w:val="false"/>
                <w:color w:val="1F2937"/>
                <w:sz w:val="19"/>
                <w:szCs w:val="19"/>
              </w:rPr>
              <w:t xml:space="preserve">PUBLIC_BASE_URL</w:t>
            </w:r>
          </w:p>
        </w:tc>
        <w:tc>
          <w:tcPr>
            <w:tcW w:type="dxa" w:w="1600"/>
            <w:tcMar>
              <w:top w:type="dxa" w:w="80"/>
              <w:left w:type="dxa" w:w="120"/>
              <w:bottom w:type="dxa" w:w="80"/>
              <w:right w:type="dxa" w:w="120"/>
            </w:tcMar>
            <w:vAlign w:val="center"/>
          </w:tcPr>
          <w:p>
            <w:r>
              <w:rPr>
                <w:b w:val="false"/>
                <w:bCs w:val="false"/>
                <w:color w:val="1F2937"/>
                <w:sz w:val="19"/>
                <w:szCs w:val="19"/>
              </w:rPr>
              <w:t xml:space="preserve">auth</w:t>
            </w:r>
          </w:p>
        </w:tc>
        <w:tc>
          <w:tcPr>
            <w:tcW w:type="dxa" w:w="4700"/>
            <w:tcMar>
              <w:top w:type="dxa" w:w="80"/>
              <w:left w:type="dxa" w:w="120"/>
              <w:bottom w:type="dxa" w:w="80"/>
              <w:right w:type="dxa" w:w="120"/>
            </w:tcMar>
            <w:vAlign w:val="center"/>
          </w:tcPr>
          <w:p>
            <w:r>
              <w:rPr>
                <w:b w:val="false"/>
                <w:bCs w:val="false"/>
                <w:color w:val="1F2937"/>
                <w:sz w:val="19"/>
                <w:szCs w:val="19"/>
              </w:rPr>
              <w:t xml:space="preserve">Embedded into avatar URLs; must match the frontend's backend IP</w:t>
            </w:r>
          </w:p>
        </w:tc>
      </w:tr>
      <w:tr>
        <w:tc>
          <w:tcPr>
            <w:tcW w:type="dxa" w:w="3400"/>
            <w:shd w:fill="F3F4F6" w:val="clear"/>
            <w:tcMar>
              <w:top w:type="dxa" w:w="80"/>
              <w:left w:type="dxa" w:w="120"/>
              <w:bottom w:type="dxa" w:w="80"/>
              <w:right w:type="dxa" w:w="120"/>
            </w:tcMar>
            <w:vAlign w:val="center"/>
          </w:tcPr>
          <w:p>
            <w:r>
              <w:rPr>
                <w:b w:val="false"/>
                <w:bCs w:val="false"/>
                <w:color w:val="1F2937"/>
                <w:sz w:val="19"/>
                <w:szCs w:val="19"/>
              </w:rPr>
              <w:t xml:space="preserve">AVATAR_STORAGE_DIR</w:t>
            </w:r>
          </w:p>
        </w:tc>
        <w:tc>
          <w:tcPr>
            <w:tcW w:type="dxa" w:w="1600"/>
            <w:shd w:fill="F3F4F6" w:val="clear"/>
            <w:tcMar>
              <w:top w:type="dxa" w:w="80"/>
              <w:left w:type="dxa" w:w="120"/>
              <w:bottom w:type="dxa" w:w="80"/>
              <w:right w:type="dxa" w:w="120"/>
            </w:tcMar>
            <w:vAlign w:val="center"/>
          </w:tcPr>
          <w:p>
            <w:r>
              <w:rPr>
                <w:b w:val="false"/>
                <w:bCs w:val="false"/>
                <w:color w:val="1F2937"/>
                <w:sz w:val="19"/>
                <w:szCs w:val="19"/>
              </w:rPr>
              <w:t xml:space="preserve">auth</w:t>
            </w:r>
          </w:p>
        </w:tc>
        <w:tc>
          <w:tcPr>
            <w:tcW w:type="dxa" w:w="4700"/>
            <w:shd w:fill="F3F4F6" w:val="clear"/>
            <w:tcMar>
              <w:top w:type="dxa" w:w="80"/>
              <w:left w:type="dxa" w:w="120"/>
              <w:bottom w:type="dxa" w:w="80"/>
              <w:right w:type="dxa" w:w="120"/>
            </w:tcMar>
            <w:vAlign w:val="center"/>
          </w:tcPr>
          <w:p>
            <w:r>
              <w:rPr>
                <w:b w:val="false"/>
                <w:bCs w:val="false"/>
                <w:color w:val="1F2937"/>
                <w:sz w:val="19"/>
                <w:szCs w:val="19"/>
              </w:rPr>
              <w:t xml:space="preserve">Optional; local disk path for uploaded avatars</w:t>
            </w:r>
          </w:p>
        </w:tc>
      </w:tr>
      <w:tr>
        <w:tc>
          <w:tcPr>
            <w:tcW w:type="dxa" w:w="3400"/>
            <w:tcMar>
              <w:top w:type="dxa" w:w="80"/>
              <w:left w:type="dxa" w:w="120"/>
              <w:bottom w:type="dxa" w:w="80"/>
              <w:right w:type="dxa" w:w="120"/>
            </w:tcMar>
            <w:vAlign w:val="center"/>
          </w:tcPr>
          <w:p>
            <w:r>
              <w:rPr>
                <w:b w:val="false"/>
                <w:bCs w:val="false"/>
                <w:color w:val="1F2937"/>
                <w:sz w:val="19"/>
                <w:szCs w:val="19"/>
              </w:rPr>
              <w:t xml:space="preserve">SEED_DEMO_ACCOUNTS / SEED_ADMIN_PASSWORD</w:t>
            </w:r>
          </w:p>
        </w:tc>
        <w:tc>
          <w:tcPr>
            <w:tcW w:type="dxa" w:w="1600"/>
            <w:tcMar>
              <w:top w:type="dxa" w:w="80"/>
              <w:left w:type="dxa" w:w="120"/>
              <w:bottom w:type="dxa" w:w="80"/>
              <w:right w:type="dxa" w:w="120"/>
            </w:tcMar>
            <w:vAlign w:val="center"/>
          </w:tcPr>
          <w:p>
            <w:r>
              <w:rPr>
                <w:b w:val="false"/>
                <w:bCs w:val="false"/>
                <w:color w:val="1F2937"/>
                <w:sz w:val="19"/>
                <w:szCs w:val="19"/>
              </w:rPr>
              <w:t xml:space="preserve">auth</w:t>
            </w:r>
          </w:p>
        </w:tc>
        <w:tc>
          <w:tcPr>
            <w:tcW w:type="dxa" w:w="4700"/>
            <w:tcMar>
              <w:top w:type="dxa" w:w="80"/>
              <w:left w:type="dxa" w:w="120"/>
              <w:bottom w:type="dxa" w:w="80"/>
              <w:right w:type="dxa" w:w="120"/>
            </w:tcMar>
            <w:vAlign w:val="center"/>
          </w:tcPr>
          <w:p>
            <w:r>
              <w:rPr>
                <w:b w:val="false"/>
                <w:bCs w:val="false"/>
                <w:color w:val="1F2937"/>
                <w:sz w:val="19"/>
                <w:szCs w:val="19"/>
              </w:rPr>
              <w:t xml:space="preserve">Optional, off by default demo-admin seeding</w:t>
            </w:r>
          </w:p>
        </w:tc>
      </w:tr>
    </w:tbl>
    <w:p>
      <w:pPr>
        <w:pStyle w:val="Heading1"/>
        <w:pBdr>
          <w:bottom w:val="single" w:color="2563EB" w:sz="6" w:space="4"/>
        </w:pBdr>
        <w:spacing w:after="200" w:before="400"/>
      </w:pPr>
      <w:r>
        <w:rPr>
          <w:b/>
          <w:bCs/>
          <w:color w:val="1F2937"/>
          <w:sz w:val="30"/>
          <w:szCs w:val="30"/>
        </w:rPr>
        <w:t xml:space="preserve">10. Recommendations / Suggested Next Steps</w:t>
      </w:r>
    </w:p>
    <w:p>
      <w:pPr>
        <w:pStyle w:val="ListParagraph"/>
        <w:numPr>
          <w:ilvl w:val="0"/>
          <w:numId w:val="2"/>
        </w:numPr>
        <w:spacing w:after="80" w:line="276"/>
      </w:pPr>
      <w:r>
        <w:rPr>
          <w:color w:val="1F2937"/>
          <w:sz w:val="21"/>
          <w:szCs w:val="21"/>
        </w:rPr>
        <w:t xml:space="preserve">Run a full live pass: start every service together, point the mobile app at the gateway, and click through signup, check-in, journal (including one deliberate crisis-keyword entry to confirm the alert actually appears in the counsellor view), community, wallet/Paystack, gamification, streak shield, admin dashboard, and AI chat.</w:t>
      </w:r>
    </w:p>
    <w:p>
      <w:pPr>
        <w:pStyle w:val="ListParagraph"/>
        <w:numPr>
          <w:ilvl w:val="0"/>
          <w:numId w:val="2"/>
        </w:numPr>
        <w:spacing w:after="80" w:line="276"/>
      </w:pPr>
      <w:r>
        <w:rPr>
          <w:color w:val="1F2937"/>
          <w:sz w:val="21"/>
          <w:szCs w:val="21"/>
        </w:rPr>
        <w:t xml:space="preserve">Use Paystack's published test card numbers for the checkout flow — do not use a real card even with test-mode keys.</w:t>
      </w:r>
    </w:p>
    <w:p>
      <w:pPr>
        <w:pStyle w:val="ListParagraph"/>
        <w:numPr>
          <w:ilvl w:val="0"/>
          <w:numId w:val="2"/>
        </w:numPr>
        <w:spacing w:after="80" w:line="276"/>
      </w:pPr>
      <w:r>
        <w:rPr>
          <w:color w:val="1F2937"/>
          <w:sz w:val="21"/>
          <w:szCs w:val="21"/>
        </w:rPr>
        <w:t xml:space="preserve">Confirm the Groq model id against console.groq.com/docs/models before any demo, given the model-list verification gap noted in Section 8.</w:t>
      </w:r>
    </w:p>
    <w:p>
      <w:pPr>
        <w:pStyle w:val="ListParagraph"/>
        <w:numPr>
          <w:ilvl w:val="0"/>
          <w:numId w:val="2"/>
        </w:numPr>
        <w:spacing w:after="80" w:line="276"/>
      </w:pPr>
      <w:r>
        <w:rPr>
          <w:color w:val="1F2937"/>
          <w:sz w:val="21"/>
          <w:szCs w:val="21"/>
        </w:rPr>
        <w:t xml:space="preserve">Decide deliberately who becomes the first admin account, given admin-setup has zero gating beyond “first request wins.”</w:t>
      </w:r>
    </w:p>
    <w:p>
      <w:pPr>
        <w:pStyle w:val="ListParagraph"/>
        <w:numPr>
          <w:ilvl w:val="0"/>
          <w:numId w:val="2"/>
        </w:numPr>
        <w:spacing w:after="80" w:line="276"/>
      </w:pPr>
      <w:r>
        <w:rPr>
          <w:color w:val="1F2937"/>
          <w:sz w:val="21"/>
          <w:szCs w:val="21"/>
        </w:rPr>
        <w:t xml:space="preserve">Consider adding at least a thin integration test per service (spin up with an in-memory or test-container Postgres, hit the real controller) before this goes in front of any external reviewer, since current verification is compile-time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2026-07-15T00:58:08.379Z</dcterms:created>
  <dcterms:modified xsi:type="dcterms:W3CDTF">2026-07-15T00:58:08.380Z</dcterms:modified>
</cp:coreProperties>
</file>

<file path=docProps/custom.xml><?xml version="1.0" encoding="utf-8"?>
<Properties xmlns="http://schemas.openxmlformats.org/officeDocument/2006/custom-properties" xmlns:vt="http://schemas.openxmlformats.org/officeDocument/2006/docPropsVTypes"/>
</file>