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1654" w:sz="4"/>
              <w:left w:val="single" w:color="2C1654" w:sz="4"/>
              <w:bottom w:val="single" w:color="2C1654" w:sz="4"/>
              <w:right w:val="single" w:color="2C1654" w:sz="4"/>
            </w:tcBorders>
            <w:shd w:fill="2C1654" w:color="auto" w:val="clear"/>
            <w:tcMar>
              <w:top w:type="dxa" w:w="600"/>
              <w:left w:type="dxa" w:w="600"/>
              <w:bottom w:type="dxa" w:w="600"/>
              <w:right w:type="dxa" w:w="600"/>
            </w:tcMar>
          </w:tcPr>
          <w:p>
            <w:pPr>
              <w:spacing w:after="80"/>
              <w:jc w:val="center"/>
            </w:pPr>
            <w:r>
              <w:rPr>
                <w:rFonts w:ascii="Arial" w:cs="Arial" w:eastAsia="Arial" w:hAnsi="Arial"/>
                <w:b/>
                <w:bCs/>
                <w:color w:val="FFFFFF"/>
                <w:sz w:val="52"/>
                <w:szCs w:val="52"/>
              </w:rPr>
              <w:t xml:space="preserve">MOODMATE</w:t>
            </w:r>
          </w:p>
          <w:p>
            <w:pPr>
              <w:spacing w:after="160"/>
              <w:jc w:val="center"/>
            </w:pPr>
            <w:r>
              <w:rPr>
                <w:rFonts w:ascii="Arial" w:cs="Arial" w:eastAsia="Arial" w:hAnsi="Arial"/>
                <w:color w:val="BDB5D8"/>
                <w:sz w:val="26"/>
                <w:szCs w:val="26"/>
              </w:rPr>
              <w:t xml:space="preserve">Mental Wellness Platform</w:t>
            </w:r>
          </w:p>
          <w:p>
            <w:pPr>
              <w:pBdr>
                <w:bottom w:val="single" w:color="5B2FA0" w:sz="6" w:space="1"/>
              </w:pBdr>
              <w:spacing w:after="160"/>
            </w:pPr>
          </w:p>
          <w:p>
            <w:pPr>
              <w:spacing w:after="60"/>
              <w:jc w:val="center"/>
            </w:pPr>
            <w:r>
              <w:rPr>
                <w:rFonts w:ascii="Arial" w:cs="Arial" w:eastAsia="Arial" w:hAnsi="Arial"/>
                <w:b/>
                <w:bCs/>
                <w:color w:val="EDE7F6"/>
                <w:sz w:val="40"/>
                <w:szCs w:val="40"/>
              </w:rPr>
              <w:t xml:space="preserve">99.9% Completeness</w:t>
            </w:r>
          </w:p>
          <w:p>
            <w:pPr>
              <w:spacing w:after="200"/>
              <w:jc w:val="center"/>
            </w:pPr>
            <w:r>
              <w:rPr>
                <w:rFonts w:ascii="Arial" w:cs="Arial" w:eastAsia="Arial" w:hAnsi="Arial"/>
                <w:color w:val="BDB5D8"/>
                <w:sz w:val="32"/>
                <w:szCs w:val="32"/>
              </w:rPr>
              <w:t xml:space="preserve">Implementation Plan</w:t>
            </w:r>
          </w:p>
          <w:p>
            <w:pPr>
              <w:spacing w:after="80"/>
              <w:jc w:val="center"/>
            </w:pPr>
            <w:r>
              <w:rPr>
                <w:rFonts w:ascii="Arial" w:cs="Arial" w:eastAsia="Arial" w:hAnsi="Arial"/>
                <w:color w:val="9F90C0"/>
                <w:sz w:val="20"/>
                <w:szCs w:val="20"/>
              </w:rPr>
              <w:t xml:space="preserve">July 2026  •  Version 1.0</w:t>
            </w:r>
          </w:p>
          <w:p>
            <w:pPr>
              <w:jc w:val="center"/>
            </w:pPr>
            <w:r>
              <w:rPr>
                <w:rFonts w:ascii="Arial" w:cs="Arial" w:eastAsia="Arial" w:hAnsi="Arial"/>
                <w:b/>
                <w:bCs/>
                <w:color w:val="E67E22"/>
                <w:sz w:val="22"/>
                <w:szCs w:val="22"/>
              </w:rPr>
              <w:t xml:space="preserve">Current: ~62%  →  Target: 99.9%</w:t>
            </w:r>
          </w:p>
        </w:tc>
      </w:tr>
    </w:tbl>
    <w:p>
      <w:pPr>
        <w:spacing w:after="400" w:before="0"/>
      </w:pPr>
    </w:p>
    <w:p>
      <w:pPr>
        <w:pStyle w:val="Heading1"/>
      </w:pPr>
      <w:r>
        <w:rPr>
          <w:rFonts w:ascii="Arial" w:cs="Arial" w:eastAsia="Arial" w:hAnsi="Arial"/>
          <w:b/>
          <w:bCs/>
          <w:color w:val="2C1654"/>
          <w:sz w:val="36"/>
          <w:szCs w:val="36"/>
        </w:rPr>
        <w:t xml:space="preserve">1. Executive Summary</w:t>
      </w:r>
    </w:p>
    <w:p>
      <w:pPr>
        <w:pBdr>
          <w:bottom w:val="single" w:color="5B2FA0" w:sz="8" w:space="1"/>
        </w:pBdr>
        <w:spacing w:after="120" w:before="0"/>
      </w:pPr>
    </w:p>
    <w:p>
      <w:pPr>
        <w:spacing w:after="120"/>
      </w:pPr>
      <w:r>
        <w:rPr>
          <w:rFonts w:ascii="Arial" w:cs="Arial" w:eastAsia="Arial" w:hAnsi="Arial"/>
          <w:i w:val="false"/>
          <w:iCs w:val="false"/>
          <w:color w:val="1A1A2E"/>
          <w:sz w:val="22"/>
          <w:szCs w:val="22"/>
        </w:rPr>
        <w:t xml:space="preserve">MoodMate is a full-stack mental wellness platform built on </w:t>
      </w:r>
      <w:r>
        <w:rPr>
          <w:rFonts w:ascii="Arial" w:cs="Arial" w:eastAsia="Arial" w:hAnsi="Arial"/>
          <w:b/>
          <w:bCs/>
          <w:color w:val="1A1A2E"/>
          <w:sz w:val="22"/>
          <w:szCs w:val="22"/>
        </w:rPr>
        <w:t xml:space="preserve">Spring Boot 3.5 / Java 21 </w:t>
      </w:r>
      <w:r>
        <w:rPr>
          <w:rFonts w:ascii="Arial" w:cs="Arial" w:eastAsia="Arial" w:hAnsi="Arial"/>
          <w:i w:val="false"/>
          <w:iCs w:val="false"/>
          <w:color w:val="1A1A2E"/>
          <w:sz w:val="22"/>
          <w:szCs w:val="22"/>
        </w:rPr>
        <w:t xml:space="preserve">(backend) and </w:t>
      </w:r>
      <w:r>
        <w:rPr>
          <w:rFonts w:ascii="Arial" w:cs="Arial" w:eastAsia="Arial" w:hAnsi="Arial"/>
          <w:b/>
          <w:bCs/>
          <w:color w:val="1A1A2E"/>
          <w:sz w:val="22"/>
          <w:szCs w:val="22"/>
        </w:rPr>
        <w:t xml:space="preserve">React Native / Expo SDK 54 </w:t>
      </w:r>
      <w:r>
        <w:rPr>
          <w:rFonts w:ascii="Arial" w:cs="Arial" w:eastAsia="Arial" w:hAnsi="Arial"/>
          <w:i w:val="false"/>
          <w:iCs w:val="false"/>
          <w:color w:val="1A1A2E"/>
          <w:sz w:val="22"/>
          <w:szCs w:val="22"/>
        </w:rPr>
        <w:t xml:space="preserve">(Android). The core student wellness loop — mood check-in, AI chat, journal, habits, sleep, breathing, games, community, and gamification — is production-quality and feature-complete. The remaining ~38% gap is concentrated in </w:t>
      </w:r>
      <w:r>
        <w:rPr>
          <w:rFonts w:ascii="Arial" w:cs="Arial" w:eastAsia="Arial" w:hAnsi="Arial"/>
          <w:b/>
          <w:bCs/>
          <w:color w:val="C0392B"/>
          <w:sz w:val="22"/>
          <w:szCs w:val="22"/>
        </w:rPr>
        <w:t xml:space="preserve">deployment infrastructure</w:t>
      </w:r>
      <w:r>
        <w:rPr>
          <w:rFonts w:ascii="Arial" w:cs="Arial" w:eastAsia="Arial" w:hAnsi="Arial"/>
          <w:i w:val="false"/>
          <w:iCs w:val="false"/>
          <w:color w:val="1A1A2E"/>
          <w:sz w:val="22"/>
          <w:szCs w:val="22"/>
        </w:rPr>
        <w:t xml:space="preserve">, </w:t>
      </w:r>
      <w:r>
        <w:rPr>
          <w:rFonts w:ascii="Arial" w:cs="Arial" w:eastAsia="Arial" w:hAnsi="Arial"/>
          <w:b/>
          <w:bCs/>
          <w:color w:val="C0392B"/>
          <w:sz w:val="22"/>
          <w:szCs w:val="22"/>
        </w:rPr>
        <w:t xml:space="preserve">payment checkout</w:t>
      </w:r>
      <w:r>
        <w:rPr>
          <w:rFonts w:ascii="Arial" w:cs="Arial" w:eastAsia="Arial" w:hAnsi="Arial"/>
          <w:i w:val="false"/>
          <w:iCs w:val="false"/>
          <w:color w:val="1A1A2E"/>
          <w:sz w:val="22"/>
          <w:szCs w:val="22"/>
        </w:rPr>
        <w:t xml:space="preserve">, </w:t>
      </w:r>
      <w:r>
        <w:rPr>
          <w:rFonts w:ascii="Arial" w:cs="Arial" w:eastAsia="Arial" w:hAnsi="Arial"/>
          <w:b/>
          <w:bCs/>
          <w:color w:val="E67E22"/>
          <w:sz w:val="22"/>
          <w:szCs w:val="22"/>
        </w:rPr>
        <w:t xml:space="preserve">counsellor profile editing</w:t>
      </w:r>
      <w:r>
        <w:rPr>
          <w:rFonts w:ascii="Arial" w:cs="Arial" w:eastAsia="Arial" w:hAnsi="Arial"/>
          <w:i w:val="false"/>
          <w:iCs w:val="false"/>
          <w:color w:val="1A1A2E"/>
          <w:sz w:val="22"/>
          <w:szCs w:val="22"/>
        </w:rPr>
        <w:t xml:space="preserve">, and </w:t>
      </w:r>
      <w:r>
        <w:rPr>
          <w:rFonts w:ascii="Arial" w:cs="Arial" w:eastAsia="Arial" w:hAnsi="Arial"/>
          <w:b/>
          <w:bCs/>
          <w:color w:val="E67E22"/>
          <w:sz w:val="22"/>
          <w:szCs w:val="22"/>
        </w:rPr>
        <w:t xml:space="preserve">real-time messaging configuration</w:t>
      </w:r>
      <w:r>
        <w:rPr>
          <w:rFonts w:ascii="Arial" w:cs="Arial" w:eastAsia="Arial" w:hAnsi="Arial"/>
          <w:i w:val="false"/>
          <w:iCs w:val="false"/>
          <w:color w:val="1A1A2E"/>
          <w:sz w:val="22"/>
          <w:szCs w:val="22"/>
        </w:rPr>
        <w:t xml:space="preserve">. This plan closes every gap in five structured phases totalling approximately </w:t>
      </w:r>
      <w:r>
        <w:rPr>
          <w:rFonts w:ascii="Arial" w:cs="Arial" w:eastAsia="Arial" w:hAnsi="Arial"/>
          <w:b/>
          <w:bCs/>
          <w:color w:val="5B2FA0"/>
          <w:sz w:val="22"/>
          <w:szCs w:val="22"/>
        </w:rPr>
        <w:t xml:space="preserve">16 developer-days</w:t>
      </w:r>
      <w:r>
        <w:rPr>
          <w:rFonts w:ascii="Arial" w:cs="Arial" w:eastAsia="Arial" w:hAnsi="Arial"/>
          <w:i w:val="false"/>
          <w:iCs w:val="false"/>
          <w:color w:val="1A1A2E"/>
          <w:sz w:val="22"/>
          <w:szCs w:val="22"/>
        </w:rPr>
        <w:t xml:space="preserve"> of focused work.</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0392B" w:sz="4"/>
              <w:left w:val="single" w:color="C0392B" w:sz="4"/>
              <w:bottom w:val="single" w:color="C0392B" w:sz="4"/>
              <w:right w:val="single" w:color="C0392B" w:sz="4"/>
            </w:tcBorders>
            <w:shd w:fill="C0392B" w:color="auto"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Phase 1</w:t>
            </w:r>
          </w:p>
        </w:tc>
        <w:tc>
          <w:tcPr>
            <w:tcW w:type="dxa" w:w="1872"/>
            <w:tcBorders>
              <w:top w:val="single" w:color="E67E22" w:sz="4"/>
              <w:left w:val="single" w:color="E67E22" w:sz="4"/>
              <w:bottom w:val="single" w:color="E67E22" w:sz="4"/>
              <w:right w:val="single" w:color="E67E22" w:sz="4"/>
            </w:tcBorders>
            <w:shd w:fill="E67E22" w:color="auto"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Phase 2</w:t>
            </w:r>
          </w:p>
        </w:tc>
        <w:tc>
          <w:tcPr>
            <w:tcW w:type="dxa" w:w="1872"/>
            <w:tcBorders>
              <w:top w:val="single" w:color="2980B9" w:sz="4"/>
              <w:left w:val="single" w:color="2980B9" w:sz="4"/>
              <w:bottom w:val="single" w:color="2980B9" w:sz="4"/>
              <w:right w:val="single" w:color="2980B9" w:sz="4"/>
            </w:tcBorders>
            <w:shd w:fill="2980B9" w:color="auto"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Phase 3</w:t>
            </w:r>
          </w:p>
        </w:tc>
        <w:tc>
          <w:tcPr>
            <w:tcW w:type="dxa" w:w="1872"/>
            <w:tcBorders>
              <w:top w:val="single" w:color="27AE60" w:sz="4"/>
              <w:left w:val="single" w:color="27AE60" w:sz="4"/>
              <w:bottom w:val="single" w:color="27AE60" w:sz="4"/>
              <w:right w:val="single" w:color="27AE60" w:sz="4"/>
            </w:tcBorders>
            <w:shd w:fill="27AE60" w:color="auto"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Phase 4</w:t>
            </w:r>
          </w:p>
        </w:tc>
        <w:tc>
          <w:tcPr>
            <w:tcW w:type="dxa" w:w="1872"/>
            <w:tcBorders>
              <w:top w:val="single" w:color="5B2FA0" w:sz="4"/>
              <w:left w:val="single" w:color="5B2FA0" w:sz="4"/>
              <w:bottom w:val="single" w:color="5B2FA0" w:sz="4"/>
              <w:right w:val="single" w:color="5B2FA0" w:sz="4"/>
            </w:tcBorders>
            <w:shd w:fill="5B2FA0" w:color="auto" w:val="clear"/>
            <w:tcMar>
              <w:top w:type="dxa" w:w="100"/>
              <w:left w:type="dxa" w:w="120"/>
              <w:bottom w:type="dxa" w:w="60"/>
              <w:right w:type="dxa" w:w="120"/>
            </w:tcMar>
          </w:tcPr>
          <w:p>
            <w:pPr>
              <w:jc w:val="center"/>
            </w:pPr>
            <w:r>
              <w:rPr>
                <w:rFonts w:ascii="Arial" w:cs="Arial" w:eastAsia="Arial" w:hAnsi="Arial"/>
                <w:b/>
                <w:bCs/>
                <w:color w:val="FFFFFF"/>
                <w:sz w:val="20"/>
                <w:szCs w:val="20"/>
              </w:rPr>
              <w:t xml:space="preserve">Phase 5</w:t>
            </w:r>
          </w:p>
        </w:tc>
      </w:tr>
      <w:tr>
        <w:tc>
          <w:tcPr>
            <w:tcW w:type="dxa" w:w="1872"/>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120"/>
            </w:tcMar>
          </w:tcPr>
          <w:p>
            <w:pPr>
              <w:jc w:val="center"/>
            </w:pPr>
            <w:r>
              <w:rPr>
                <w:rFonts w:ascii="Arial" w:cs="Arial" w:eastAsia="Arial" w:hAnsi="Arial"/>
                <w:color w:val="4A4A6A"/>
                <w:sz w:val="18"/>
                <w:szCs w:val="18"/>
              </w:rPr>
              <w:t xml:space="preserve">Deployment</w:t>
            </w:r>
          </w:p>
        </w:tc>
        <w:tc>
          <w:tcPr>
            <w:tcW w:type="dxa" w:w="1872"/>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120"/>
            </w:tcMar>
          </w:tcPr>
          <w:p>
            <w:pPr>
              <w:jc w:val="center"/>
            </w:pPr>
            <w:r>
              <w:rPr>
                <w:rFonts w:ascii="Arial" w:cs="Arial" w:eastAsia="Arial" w:hAnsi="Arial"/>
                <w:color w:val="4A4A6A"/>
                <w:sz w:val="18"/>
                <w:szCs w:val="18"/>
              </w:rPr>
              <w:t xml:space="preserve">Feature Gaps</w:t>
            </w:r>
          </w:p>
        </w:tc>
        <w:tc>
          <w:tcPr>
            <w:tcW w:type="dxa" w:w="1872"/>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120"/>
            </w:tcMar>
          </w:tcPr>
          <w:p>
            <w:pPr>
              <w:jc w:val="center"/>
            </w:pPr>
            <w:r>
              <w:rPr>
                <w:rFonts w:ascii="Arial" w:cs="Arial" w:eastAsia="Arial" w:hAnsi="Arial"/>
                <w:color w:val="4A4A6A"/>
                <w:sz w:val="18"/>
                <w:szCs w:val="18"/>
              </w:rPr>
              <w:t xml:space="preserve">Polish</w:t>
            </w:r>
          </w:p>
        </w:tc>
        <w:tc>
          <w:tcPr>
            <w:tcW w:type="dxa" w:w="1872"/>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120"/>
            </w:tcMar>
          </w:tcPr>
          <w:p>
            <w:pPr>
              <w:jc w:val="center"/>
            </w:pPr>
            <w:r>
              <w:rPr>
                <w:rFonts w:ascii="Arial" w:cs="Arial" w:eastAsia="Arial" w:hAnsi="Arial"/>
                <w:color w:val="4A4A6A"/>
                <w:sz w:val="18"/>
                <w:szCs w:val="18"/>
              </w:rPr>
              <w:t xml:space="preserve">Hardening</w:t>
            </w:r>
          </w:p>
        </w:tc>
        <w:tc>
          <w:tcPr>
            <w:tcW w:type="dxa" w:w="1872"/>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120"/>
            </w:tcMar>
          </w:tcPr>
          <w:p>
            <w:pPr>
              <w:jc w:val="center"/>
            </w:pPr>
            <w:r>
              <w:rPr>
                <w:rFonts w:ascii="Arial" w:cs="Arial" w:eastAsia="Arial" w:hAnsi="Arial"/>
                <w:color w:val="4A4A6A"/>
                <w:sz w:val="18"/>
                <w:szCs w:val="18"/>
              </w:rPr>
              <w:t xml:space="preserve">App Store</w:t>
            </w:r>
          </w:p>
        </w:tc>
      </w:tr>
      <w:tr>
        <w:tc>
          <w:tcPr>
            <w:tcW w:type="dxa" w:w="1872"/>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~3 days</w:t>
            </w:r>
          </w:p>
        </w:tc>
        <w:tc>
          <w:tcPr>
            <w:tcW w:type="dxa" w:w="1872"/>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~5 days</w:t>
            </w:r>
          </w:p>
        </w:tc>
        <w:tc>
          <w:tcPr>
            <w:tcW w:type="dxa" w:w="1872"/>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~4 days</w:t>
            </w:r>
          </w:p>
        </w:tc>
        <w:tc>
          <w:tcPr>
            <w:tcW w:type="dxa" w:w="1872"/>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~2 days</w:t>
            </w:r>
          </w:p>
        </w:tc>
        <w:tc>
          <w:tcPr>
            <w:tcW w:type="dxa" w:w="1872"/>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~2 days</w:t>
            </w:r>
          </w:p>
        </w:tc>
      </w:tr>
    </w:tbl>
    <w:p>
      <w:pPr>
        <w:spacing w:after="320" w:before="0"/>
      </w:pPr>
    </w:p>
    <w:p>
      <w:r>
        <w:br w:type="page"/>
      </w:r>
    </w:p>
    <w:p>
      <w:pPr>
        <w:pStyle w:val="Heading1"/>
      </w:pPr>
      <w:r>
        <w:rPr>
          <w:rFonts w:ascii="Arial" w:cs="Arial" w:eastAsia="Arial" w:hAnsi="Arial"/>
          <w:b/>
          <w:bCs/>
          <w:color w:val="2C1654"/>
          <w:sz w:val="36"/>
          <w:szCs w:val="36"/>
        </w:rPr>
        <w:t xml:space="preserve">2. Phase-by-Phase Plan</w:t>
      </w:r>
    </w:p>
    <w:p>
      <w:pPr>
        <w:pBdr>
          <w:bottom w:val="single" w:color="5B2FA0" w:sz="8" w:space="1"/>
        </w:pBdr>
        <w:spacing w:after="120" w:before="0"/>
      </w:pPr>
    </w:p>
    <w:p>
      <w:pPr>
        <w:spacing w:after="80" w:before="0"/>
      </w:pPr>
    </w:p>
    <w:tbl>
      <w:tblPr>
        <w:tblW w:type="dxa" w:w="9360"/>
        <w:tblBorders>
          <w:top w:val="none"/>
          <w:left w:val="none"/>
          <w:bottom w:val="none"/>
          <w:right w:val="none"/>
          <w:insideH w:val="single" w:color="auto" w:sz="4"/>
          <w:insideV w:val="single" w:color="auto" w:sz="4"/>
        </w:tblBorders>
      </w:tblPr>
      <w:tblGrid>
        <w:gridCol w:w="900"/>
        <w:gridCol w:w="6660"/>
        <w:gridCol w:w="1800"/>
      </w:tblGrid>
      <w:tr>
        <w:tc>
          <w:tcPr>
            <w:tcW w:type="dxa" w:w="900"/>
            <w:tcBorders>
              <w:top w:val="single" w:color="C0392B" w:sz="4"/>
              <w:left w:val="single" w:color="C0392B" w:sz="4"/>
              <w:bottom w:val="single" w:color="C0392B" w:sz="4"/>
              <w:right w:val="single" w:color="C0392B" w:sz="4"/>
            </w:tcBorders>
            <w:shd w:fill="C0392B" w:color="auto"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P1</w:t>
            </w:r>
          </w:p>
        </w:tc>
        <w:tc>
          <w:tcPr>
            <w:tcW w:type="dxa" w:w="6660"/>
            <w:tcBorders>
              <w:top w:val="single" w:color="C0392B" w:sz="4"/>
              <w:left w:val="none"/>
              <w:bottom w:val="single" w:color="C0392B" w:sz="4"/>
              <w:right w:val="none"/>
            </w:tcBorders>
            <w:shd w:fill="FFEBEE" w:color="auto" w:val="clear"/>
            <w:tcMar>
              <w:top w:type="dxa" w:w="80"/>
              <w:left w:type="dxa" w:w="160"/>
              <w:bottom w:type="dxa" w:w="80"/>
              <w:right w:type="dxa" w:w="100"/>
            </w:tcMar>
            <w:vAlign w:val="center"/>
          </w:tcPr>
          <w:p>
            <w:r>
              <w:rPr>
                <w:rFonts w:ascii="Arial" w:cs="Arial" w:eastAsia="Arial" w:hAnsi="Arial"/>
                <w:b/>
                <w:bCs/>
                <w:color w:val="2C1654"/>
                <w:sz w:val="26"/>
                <w:szCs w:val="26"/>
              </w:rPr>
              <w:t xml:space="preserve">Production Deployment Infrastructure</w:t>
            </w:r>
          </w:p>
        </w:tc>
        <w:tc>
          <w:tcPr>
            <w:tcW w:type="dxa" w:w="1800"/>
            <w:tcBorders>
              <w:top w:val="single" w:color="C0392B" w:sz="4"/>
              <w:left w:val="none"/>
              <w:bottom w:val="single" w:color="C0392B" w:sz="4"/>
              <w:right w:val="single" w:color="C0392B" w:sz="4"/>
            </w:tcBorders>
            <w:shd w:fill="FFEBEE" w:color="auto" w:val="clear"/>
            <w:tcMar>
              <w:top w:type="dxa" w:w="80"/>
              <w:left w:type="dxa" w:w="80"/>
              <w:bottom w:type="dxa" w:w="80"/>
              <w:right w:type="dxa" w:w="100"/>
            </w:tcMar>
            <w:vAlign w:val="center"/>
          </w:tcPr>
          <w:p>
            <w:pPr>
              <w:jc w:val="right"/>
            </w:pPr>
            <w:r>
              <w:rPr>
                <w:rFonts w:ascii="Arial" w:cs="Arial" w:eastAsia="Arial" w:hAnsi="Arial"/>
                <w:b/>
                <w:bCs/>
                <w:color w:val="C0392B"/>
                <w:sz w:val="18"/>
                <w:szCs w:val="18"/>
              </w:rPr>
              <w:t xml:space="preserve">~3 days  •  BLOCKING</w:t>
            </w:r>
          </w:p>
        </w:tc>
      </w:tr>
    </w:tbl>
    <w:p>
      <w:pPr>
        <w:spacing w:after="160" w:before="0"/>
      </w:pPr>
    </w:p>
    <w:p>
      <w:pPr>
        <w:spacing w:after="80"/>
      </w:pPr>
      <w:r>
        <w:rPr>
          <w:rFonts w:ascii="Arial" w:cs="Arial" w:eastAsia="Arial" w:hAnsi="Arial"/>
          <w:i w:val="false"/>
          <w:iCs w:val="false"/>
          <w:color w:val="1A1A2E"/>
          <w:sz w:val="22"/>
          <w:szCs w:val="22"/>
        </w:rPr>
        <w:t xml:space="preserve">Everything else in this plan is moot until the backend has a real, internet-accessible URL and the frontend knows how to reach it. This phase must be completed </w:t>
      </w:r>
      <w:r>
        <w:rPr>
          <w:rFonts w:ascii="Arial" w:cs="Arial" w:eastAsia="Arial" w:hAnsi="Arial"/>
          <w:b/>
          <w:bCs/>
          <w:color w:val="1A1A2E"/>
          <w:sz w:val="22"/>
          <w:szCs w:val="22"/>
        </w:rPr>
        <w:t xml:space="preserve">before any user testing or APK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960"/>
        <w:gridCol w:w="1800"/>
        <w:gridCol w:w="3080"/>
      </w:tblGrid>
      <w:tr>
        <w:trPr>
          <w:tblHeader/>
        </w:trPr>
        <w:tc>
          <w:tcPr>
            <w:tcW w:type="dxa" w:w="52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396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Task &amp; Detail</w:t>
            </w:r>
          </w:p>
        </w:tc>
        <w:tc>
          <w:tcPr>
            <w:tcW w:type="dxa" w:w="18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Effort</w:t>
            </w:r>
          </w:p>
        </w:tc>
        <w:tc>
          <w:tcPr>
            <w:tcW w:type="dxa" w:w="308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Files / Endpoints</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1.1</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Deploy backend to Render</w:t>
            </w:r>
          </w:p>
          <w:p>
            <w:pPr>
              <w:spacing w:after="0"/>
            </w:pPr>
            <w:r>
              <w:rPr>
                <w:rFonts w:ascii="Arial" w:cs="Arial" w:eastAsia="Arial" w:hAnsi="Arial"/>
                <w:i/>
                <w:iCs/>
                <w:color w:val="4A4A6A"/>
                <w:sz w:val="18"/>
                <w:szCs w:val="18"/>
              </w:rPr>
              <w:t xml:space="preserve">Create a Web Service on render.com pointing at the GitHub repo. Set build command: mvn package -DskipTests. Start command: java -jar target/*.jar. Free tier is sufficient for beta.</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3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render.com dashboard + GitHub</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1.2</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Migrate database to Supabase PostgreSQL</w:t>
            </w:r>
          </w:p>
          <w:p>
            <w:pPr>
              <w:spacing w:after="0"/>
            </w:pPr>
            <w:r>
              <w:rPr>
                <w:rFonts w:ascii="Arial" w:cs="Arial" w:eastAsia="Arial" w:hAnsi="Arial"/>
                <w:i/>
                <w:iCs/>
                <w:color w:val="4A4A6A"/>
                <w:sz w:val="18"/>
                <w:szCs w:val="18"/>
              </w:rPr>
              <w:t xml:space="preserve">Create a Supabase project. Copy the PostgreSQL connection string (Transaction mode, port 6543). Set DB_URL, DB_USERNAME, DB_PASSWORD on Render. Flyway will auto-run all V1–V15 migrations on first boot.</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supabase.com + Render env vars</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1.3</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Set all required environment variables on Render</w:t>
            </w:r>
          </w:p>
          <w:p>
            <w:pPr>
              <w:spacing w:after="0"/>
            </w:pPr>
            <w:r>
              <w:rPr>
                <w:rFonts w:ascii="Arial" w:cs="Arial" w:eastAsia="Arial" w:hAnsi="Arial"/>
                <w:i/>
                <w:iCs/>
                <w:color w:val="4A4A6A"/>
                <w:sz w:val="18"/>
                <w:szCs w:val="18"/>
              </w:rPr>
              <w:t xml:space="preserve">JWT_SECRET (32+ random chars), GROQ_API_KEY, MAIL_HOST/PORT/USERNAME/PASSWORD, PAYSTACK_SECRET_KEY, PAYSTACK_PUBLIC_KEY, PAYSTACK_CALLBACK_URL (moodmate://payment-callback), CORS_ALLOWED_ORIGINS (*). Remove dev defaults.</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1 hr</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Render → Environment → Add Env Var</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1.4</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Replace hardcoded IP in frontend with env-based config</w:t>
            </w:r>
          </w:p>
          <w:p>
            <w:pPr>
              <w:spacing w:after="0"/>
            </w:pPr>
            <w:r>
              <w:rPr>
                <w:rFonts w:ascii="Arial" w:cs="Arial" w:eastAsia="Arial" w:hAnsi="Arial"/>
                <w:i/>
                <w:iCs/>
                <w:color w:val="4A4A6A"/>
                <w:sz w:val="18"/>
                <w:szCs w:val="18"/>
              </w:rPr>
              <w:t xml:space="preserve">Rename src/config.ts → read from app.config.js extra field. Add app.config.js exporting BACKEND_BASE_URL from process.env.EXPO_PUBLIC_API_URL. Create .env.development (local IP) and .env.production (Render URL). Add .env* to .gitignore.</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src/config.ts, app.config.js, .env.*</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1.5</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Add eas.json with development and production profiles</w:t>
            </w:r>
          </w:p>
          <w:p>
            <w:pPr>
              <w:spacing w:after="0"/>
            </w:pPr>
            <w:r>
              <w:rPr>
                <w:rFonts w:ascii="Arial" w:cs="Arial" w:eastAsia="Arial" w:hAnsi="Arial"/>
                <w:i/>
                <w:iCs/>
                <w:color w:val="4A4A6A"/>
                <w:sz w:val="18"/>
                <w:szCs w:val="18"/>
              </w:rPr>
              <w:t xml:space="preserve">Create eas.json with three profiles: development (Expo Go), preview (internal APK, env=staging), and production (store APK, env=production). Set EXPO_PUBLIC_API_URL in each profile's env block.</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1 hr</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eas.json (new file)</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1.6</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Configure UPLOADS_PATH to persistent storage</w:t>
            </w:r>
          </w:p>
          <w:p>
            <w:pPr>
              <w:spacing w:after="0"/>
            </w:pPr>
            <w:r>
              <w:rPr>
                <w:rFonts w:ascii="Arial" w:cs="Arial" w:eastAsia="Arial" w:hAnsi="Arial"/>
                <w:i/>
                <w:iCs/>
                <w:color w:val="4A4A6A"/>
                <w:sz w:val="18"/>
                <w:szCs w:val="18"/>
              </w:rPr>
              <w:t xml:space="preserve">Avatar uploads use ./uploads by default — ephemeral on Render. Option A: Set UPLOADS_PATH to a Render Disk mount (/var/data/uploads). Option B: Migrate to Supabase Storage (recommended for scale): add supabase-java SDK, create avatars bucket, update UserController.uploadAvatar to call supabase.storage().from("avatars").upload().</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3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UserController.java, application.yml</w:t>
            </w:r>
          </w:p>
        </w:tc>
      </w:tr>
    </w:tbl>
    <w:p>
      <w:pPr>
        <w:spacing w:after="320" w:before="0"/>
      </w:pPr>
    </w:p>
    <w:tbl>
      <w:tblPr>
        <w:tblW w:type="dxa" w:w="9360"/>
        <w:tblBorders>
          <w:top w:val="none"/>
          <w:left w:val="none"/>
          <w:bottom w:val="none"/>
          <w:right w:val="none"/>
          <w:insideH w:val="single" w:color="auto" w:sz="4"/>
          <w:insideV w:val="single" w:color="auto" w:sz="4"/>
        </w:tblBorders>
      </w:tblPr>
      <w:tblGrid>
        <w:gridCol w:w="900"/>
        <w:gridCol w:w="6660"/>
        <w:gridCol w:w="1800"/>
      </w:tblGrid>
      <w:tr>
        <w:tc>
          <w:tcPr>
            <w:tcW w:type="dxa" w:w="900"/>
            <w:tcBorders>
              <w:top w:val="single" w:color="E67E22" w:sz="4"/>
              <w:left w:val="single" w:color="E67E22" w:sz="4"/>
              <w:bottom w:val="single" w:color="E67E22" w:sz="4"/>
              <w:right w:val="single" w:color="E67E22" w:sz="4"/>
            </w:tcBorders>
            <w:shd w:fill="E67E22" w:color="auto"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P2</w:t>
            </w:r>
          </w:p>
        </w:tc>
        <w:tc>
          <w:tcPr>
            <w:tcW w:type="dxa" w:w="6660"/>
            <w:tcBorders>
              <w:top w:val="single" w:color="E67E22" w:sz="4"/>
              <w:left w:val="none"/>
              <w:bottom w:val="single" w:color="E67E22" w:sz="4"/>
              <w:right w:val="none"/>
            </w:tcBorders>
            <w:shd w:fill="FFF3E0" w:color="auto" w:val="clear"/>
            <w:tcMar>
              <w:top w:type="dxa" w:w="80"/>
              <w:left w:type="dxa" w:w="160"/>
              <w:bottom w:type="dxa" w:w="80"/>
              <w:right w:type="dxa" w:w="100"/>
            </w:tcMar>
            <w:vAlign w:val="center"/>
          </w:tcPr>
          <w:p>
            <w:r>
              <w:rPr>
                <w:rFonts w:ascii="Arial" w:cs="Arial" w:eastAsia="Arial" w:hAnsi="Arial"/>
                <w:b/>
                <w:bCs/>
                <w:color w:val="2C1654"/>
                <w:sz w:val="26"/>
                <w:szCs w:val="26"/>
              </w:rPr>
              <w:t xml:space="preserve">Critical Feature Gaps</w:t>
            </w:r>
          </w:p>
        </w:tc>
        <w:tc>
          <w:tcPr>
            <w:tcW w:type="dxa" w:w="1800"/>
            <w:tcBorders>
              <w:top w:val="single" w:color="E67E22" w:sz="4"/>
              <w:left w:val="none"/>
              <w:bottom w:val="single" w:color="E67E22" w:sz="4"/>
              <w:right w:val="single" w:color="E67E22" w:sz="4"/>
            </w:tcBorders>
            <w:shd w:fill="FFF3E0" w:color="auto" w:val="clear"/>
            <w:tcMar>
              <w:top w:type="dxa" w:w="80"/>
              <w:left w:type="dxa" w:w="80"/>
              <w:bottom w:type="dxa" w:w="80"/>
              <w:right w:type="dxa" w:w="100"/>
            </w:tcMar>
            <w:vAlign w:val="center"/>
          </w:tcPr>
          <w:p>
            <w:pPr>
              <w:jc w:val="right"/>
            </w:pPr>
            <w:r>
              <w:rPr>
                <w:rFonts w:ascii="Arial" w:cs="Arial" w:eastAsia="Arial" w:hAnsi="Arial"/>
                <w:b/>
                <w:bCs/>
                <w:color w:val="E67E22"/>
                <w:sz w:val="18"/>
                <w:szCs w:val="18"/>
              </w:rPr>
              <w:t xml:space="preserve">~4 days  •  USER-FACING</w:t>
            </w:r>
          </w:p>
        </w:tc>
      </w:tr>
    </w:tbl>
    <w:p>
      <w:pPr>
        <w:spacing w:after="160" w:before="0"/>
      </w:pPr>
    </w:p>
    <w:p>
      <w:pPr>
        <w:spacing w:after="80"/>
      </w:pPr>
      <w:r>
        <w:rPr>
          <w:rFonts w:ascii="Arial" w:cs="Arial" w:eastAsia="Arial" w:hAnsi="Arial"/>
          <w:i w:val="false"/>
          <w:iCs w:val="false"/>
          <w:color w:val="1A1A2E"/>
          <w:sz w:val="22"/>
          <w:szCs w:val="22"/>
        </w:rPr>
        <w:t xml:space="preserve">Features that real users will immediately notice are broken or missing. Each item here represents a user journey that either fails completely or shows incorrect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960"/>
        <w:gridCol w:w="1800"/>
        <w:gridCol w:w="3080"/>
      </w:tblGrid>
      <w:tr>
        <w:trPr>
          <w:tblHeader/>
        </w:trPr>
        <w:tc>
          <w:tcPr>
            <w:tcW w:type="dxa" w:w="52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396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Task &amp; Detail</w:t>
            </w:r>
          </w:p>
        </w:tc>
        <w:tc>
          <w:tcPr>
            <w:tcW w:type="dxa" w:w="18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Effort</w:t>
            </w:r>
          </w:p>
        </w:tc>
        <w:tc>
          <w:tcPr>
            <w:tcW w:type="dxa" w:w="308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Files / Endpoints</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2.1</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Counsellor profile editing — backend endpoint</w:t>
            </w:r>
          </w:p>
          <w:p>
            <w:pPr>
              <w:spacing w:after="0"/>
            </w:pPr>
            <w:r>
              <w:rPr>
                <w:rFonts w:ascii="Arial" w:cs="Arial" w:eastAsia="Arial" w:hAnsi="Arial"/>
                <w:i/>
                <w:iCs/>
                <w:color w:val="4A4A6A"/>
                <w:sz w:val="18"/>
                <w:szCs w:val="18"/>
              </w:rPr>
              <w:t xml:space="preserve">Add PUT /api/support/counsellor/profile endpoint to SupportController (or new CounsellorProfileController). Accepts: title, bio, specialties, available (boolean). Updates counsellors table for the authenticated user's userId. Return updated CounsellorView.</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SupportController.java, CounsellorRepository.java</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2.2</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Counsellor profile editing — frontend screen</w:t>
            </w:r>
          </w:p>
          <w:p>
            <w:pPr>
              <w:spacing w:after="0"/>
            </w:pPr>
            <w:r>
              <w:rPr>
                <w:rFonts w:ascii="Arial" w:cs="Arial" w:eastAsia="Arial" w:hAnsi="Arial"/>
                <w:i/>
                <w:iCs/>
                <w:color w:val="4A4A6A"/>
                <w:sz w:val="18"/>
                <w:szCs w:val="18"/>
              </w:rPr>
              <w:t xml:space="preserve">Replace all hardcoded data in CounsellorProfileScreen.tsx: load real profile via GET /api/support/counsellor/me (or existing counsellor endpoint). Add "Edit Profile" modal/sheet with TextInputs for title, bio, specialties, availability toggle. On save, call PUT /api/support/counsellor/profile and refresh.</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4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src/screens/counsellor/CounsellorProfileScreen.tsx</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2.3</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Fix CounsellorSignupScreen messaging</w:t>
            </w:r>
          </w:p>
          <w:p>
            <w:pPr>
              <w:spacing w:after="0"/>
            </w:pPr>
            <w:r>
              <w:rPr>
                <w:rFonts w:ascii="Arial" w:cs="Arial" w:eastAsia="Arial" w:hAnsi="Arial"/>
                <w:i/>
                <w:iCs/>
                <w:color w:val="4A4A6A"/>
                <w:sz w:val="18"/>
                <w:szCs w:val="18"/>
              </w:rPr>
              <w:t xml:space="preserve">Remove all "pending approval" copy. New messaging: "Have your email added to the approved list by the MoodMate admin first, then log in with your credentials using the Counsellor option." Remove or repurpose the counsellor-request form submission since whitelist is now the gate.</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1 hr</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src/screens/counsellor/CounsellorSignupScreen.tsx</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2.4</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Wire Paystack checkout on Pro screen</w:t>
            </w:r>
          </w:p>
          <w:p>
            <w:pPr>
              <w:spacing w:after="0"/>
            </w:pPr>
            <w:r>
              <w:rPr>
                <w:rFonts w:ascii="Arial" w:cs="Arial" w:eastAsia="Arial" w:hAnsi="Arial"/>
                <w:i/>
                <w:iCs/>
                <w:color w:val="4A4A6A"/>
                <w:sz w:val="18"/>
                <w:szCs w:val="18"/>
              </w:rPr>
              <w:t xml:space="preserve">In ProScreen.tsx and ShopScreen.tsx, replace "coming soon" with: (1) call POST /api/payments/subscribe or /api/payments/leaf-packs to get a Paystack authorization_url. (2) Open URL via WebBrowser.openAuthSessionAsync(url, "moodmate://payment-callback"). (3) Handle the deep link in App.tsx with Linking.addEventListener — call GET /api/payments/verify to confirm and refresh auth store.</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5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ProScreen.tsx, ShopScreen.tsx, App.tsx, api/payments.ts</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2.5</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Set up Supabase real-time for in-app messaging</w:t>
            </w:r>
          </w:p>
          <w:p>
            <w:pPr>
              <w:spacing w:after="0"/>
            </w:pPr>
            <w:r>
              <w:rPr>
                <w:rFonts w:ascii="Arial" w:cs="Arial" w:eastAsia="Arial" w:hAnsi="Arial"/>
                <w:i/>
                <w:iCs/>
                <w:color w:val="4A4A6A"/>
                <w:sz w:val="18"/>
                <w:szCs w:val="18"/>
              </w:rPr>
              <w:t xml:space="preserve">Create a Supabase project (free tier). In Dashboard → SQL Editor, run: CREATE TABLE messages (...) and enable replication (ALTER PUBLICATION supabase_realtime ADD TABLE messages). Replace placeholder credentials in src/lib/supabase.ts with EXPO_PUBLIC_SUPABASE_URL and EXPO_PUBLIC_SUPABASE_ANON_KEY. Add both to .env files.</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3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src/lib/supabase.ts, Supabase dashboard</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2.6</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AI paywall gate on frontend</w:t>
            </w:r>
          </w:p>
          <w:p>
            <w:pPr>
              <w:spacing w:after="0"/>
            </w:pPr>
            <w:r>
              <w:rPr>
                <w:rFonts w:ascii="Arial" w:cs="Arial" w:eastAsia="Arial" w:hAnsi="Arial"/>
                <w:i/>
                <w:iCs/>
                <w:color w:val="4A4A6A"/>
                <w:sz w:val="18"/>
                <w:szCs w:val="18"/>
              </w:rPr>
              <w:t xml:space="preserve">Instead of a raw API error toast when the free daily limit is hit, intercept 402 responses in AiChatScreen.tsx and navigate to ProScreen (or show an in-line upgrade card). Makes the monetisation loop intentional.</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src/screens/ai/AiChatScreen.tsx, api/client.ts</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2.7</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Align Pro checkout with industry patterns (Headspace / Calm model)</w:t>
            </w:r>
          </w:p>
          <w:p>
            <w:pPr>
              <w:spacing w:after="0"/>
            </w:pPr>
            <w:r>
              <w:rPr>
                <w:rFonts w:ascii="Arial" w:cs="Arial" w:eastAsia="Arial" w:hAnsi="Arial"/>
                <w:i/>
                <w:iCs/>
                <w:color w:val="4A4A6A"/>
                <w:sz w:val="18"/>
                <w:szCs w:val="18"/>
              </w:rPr>
              <w:t xml:space="preserve">Redesign ProScreen.tsx with: (1) Plan comparison table — Free vs Pro columns with checkmarks per feature. (2) Prominent annual toggle showing monthly cost and "Save 45%" badge. (3) 7-day free trial CTA as the primary button. (4) Trust signals — secure payment badge, cancel-any-time note, testimonial snippet. (5) "Restore Purchases" button (required by Play Store). Mirror the Headspace/Calm pattern of leading with value, not price.</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3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src/screens/payments/ProScreen.tsx, src/components/PlanComparisonCard.tsx (new)</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2.8</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Add Google Play Billing as primary IAP channel</w:t>
            </w:r>
          </w:p>
          <w:p>
            <w:pPr>
              <w:spacing w:after="0"/>
            </w:pPr>
            <w:r>
              <w:rPr>
                <w:rFonts w:ascii="Arial" w:cs="Arial" w:eastAsia="Arial" w:hAnsi="Arial"/>
                <w:i/>
                <w:iCs/>
                <w:color w:val="4A4A6A"/>
                <w:sz w:val="18"/>
                <w:szCs w:val="18"/>
              </w:rPr>
              <w:t xml:space="preserve">Google Play requires digital goods to go through their billing system (or face app removal). Install expo-iap (maintained fork of react-native-iap). Define two SKUs in Play Console: moodmate.pro.monthly and moodmate.pro.annual. On purchase success, call POST /api/payments/verify-play with the purchaseToken; backend validates with Google Play Developer API and upgrades the user's plan. Keep Paystack as the web/promo fallback path.</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6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package.json, src/api/payments.ts, PaymentsController.java, GooglePlayVerifier.java (new)</w:t>
            </w:r>
          </w:p>
        </w:tc>
      </w:tr>
    </w:tbl>
    <w:p>
      <w:pPr>
        <w:spacing w:after="320" w:before="0"/>
      </w:pPr>
    </w:p>
    <w:tbl>
      <w:tblPr>
        <w:tblW w:type="dxa" w:w="9360"/>
        <w:tblBorders>
          <w:top w:val="none"/>
          <w:left w:val="none"/>
          <w:bottom w:val="none"/>
          <w:right w:val="none"/>
          <w:insideH w:val="single" w:color="auto" w:sz="4"/>
          <w:insideV w:val="single" w:color="auto" w:sz="4"/>
        </w:tblBorders>
      </w:tblPr>
      <w:tblGrid>
        <w:gridCol w:w="900"/>
        <w:gridCol w:w="6660"/>
        <w:gridCol w:w="1800"/>
      </w:tblGrid>
      <w:tr>
        <w:tc>
          <w:tcPr>
            <w:tcW w:type="dxa" w:w="900"/>
            <w:tcBorders>
              <w:top w:val="single" w:color="2980B9" w:sz="4"/>
              <w:left w:val="single" w:color="2980B9" w:sz="4"/>
              <w:bottom w:val="single" w:color="2980B9" w:sz="4"/>
              <w:right w:val="single" w:color="2980B9" w:sz="4"/>
            </w:tcBorders>
            <w:shd w:fill="2980B9" w:color="auto"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P3</w:t>
            </w:r>
          </w:p>
        </w:tc>
        <w:tc>
          <w:tcPr>
            <w:tcW w:type="dxa" w:w="6660"/>
            <w:tcBorders>
              <w:top w:val="single" w:color="2980B9" w:sz="4"/>
              <w:left w:val="none"/>
              <w:bottom w:val="single" w:color="2980B9" w:sz="4"/>
              <w:right w:val="none"/>
            </w:tcBorders>
            <w:shd w:fill="E3F2FD" w:color="auto" w:val="clear"/>
            <w:tcMar>
              <w:top w:type="dxa" w:w="80"/>
              <w:left w:type="dxa" w:w="160"/>
              <w:bottom w:type="dxa" w:w="80"/>
              <w:right w:type="dxa" w:w="100"/>
            </w:tcMar>
            <w:vAlign w:val="center"/>
          </w:tcPr>
          <w:p>
            <w:r>
              <w:rPr>
                <w:rFonts w:ascii="Arial" w:cs="Arial" w:eastAsia="Arial" w:hAnsi="Arial"/>
                <w:b/>
                <w:bCs/>
                <w:color w:val="2C1654"/>
                <w:sz w:val="26"/>
                <w:szCs w:val="26"/>
              </w:rPr>
              <w:t xml:space="preserve">Feature Polish</w:t>
            </w:r>
          </w:p>
        </w:tc>
        <w:tc>
          <w:tcPr>
            <w:tcW w:type="dxa" w:w="1800"/>
            <w:tcBorders>
              <w:top w:val="single" w:color="2980B9" w:sz="4"/>
              <w:left w:val="none"/>
              <w:bottom w:val="single" w:color="2980B9" w:sz="4"/>
              <w:right w:val="single" w:color="2980B9" w:sz="4"/>
            </w:tcBorders>
            <w:shd w:fill="E3F2FD" w:color="auto" w:val="clear"/>
            <w:tcMar>
              <w:top w:type="dxa" w:w="80"/>
              <w:left w:type="dxa" w:w="80"/>
              <w:bottom w:type="dxa" w:w="80"/>
              <w:right w:type="dxa" w:w="100"/>
            </w:tcMar>
            <w:vAlign w:val="center"/>
          </w:tcPr>
          <w:p>
            <w:pPr>
              <w:jc w:val="right"/>
            </w:pPr>
            <w:r>
              <w:rPr>
                <w:rFonts w:ascii="Arial" w:cs="Arial" w:eastAsia="Arial" w:hAnsi="Arial"/>
                <w:b/>
                <w:bCs/>
                <w:color w:val="2980B9"/>
                <w:sz w:val="18"/>
                <w:szCs w:val="18"/>
              </w:rPr>
              <w:t xml:space="preserve">~3 days  •  QUALITY</w:t>
            </w:r>
          </w:p>
        </w:tc>
      </w:tr>
    </w:tbl>
    <w:p>
      <w:pPr>
        <w:spacing w:after="160" w:before="0"/>
      </w:pPr>
    </w:p>
    <w:p>
      <w:pPr>
        <w:spacing w:after="80"/>
      </w:pPr>
      <w:r>
        <w:rPr>
          <w:rFonts w:ascii="Arial" w:cs="Arial" w:eastAsia="Arial" w:hAnsi="Arial"/>
          <w:i w:val="false"/>
          <w:iCs w:val="false"/>
          <w:color w:val="1A1A2E"/>
          <w:sz w:val="22"/>
          <w:szCs w:val="22"/>
        </w:rPr>
        <w:t xml:space="preserve">These items close the gap between a working app and a </w:t>
      </w:r>
      <w:r>
        <w:rPr>
          <w:rFonts w:ascii="Arial" w:cs="Arial" w:eastAsia="Arial" w:hAnsi="Arial"/>
          <w:b/>
          <w:bCs/>
          <w:color w:val="1A1A2E"/>
          <w:sz w:val="22"/>
          <w:szCs w:val="22"/>
        </w:rPr>
        <w:t xml:space="preserve">good </w:t>
      </w:r>
      <w:r>
        <w:rPr>
          <w:rFonts w:ascii="Arial" w:cs="Arial" w:eastAsia="Arial" w:hAnsi="Arial"/>
          <w:i w:val="false"/>
          <w:iCs w:val="false"/>
          <w:color w:val="1A1A2E"/>
          <w:sz w:val="22"/>
          <w:szCs w:val="22"/>
        </w:rPr>
        <w:t xml:space="preserve">app — features that exist but are rough around the edges, missing small pieces, or inconsistent with the rest of the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960"/>
        <w:gridCol w:w="1800"/>
        <w:gridCol w:w="3080"/>
      </w:tblGrid>
      <w:tr>
        <w:trPr>
          <w:tblHeader/>
        </w:trPr>
        <w:tc>
          <w:tcPr>
            <w:tcW w:type="dxa" w:w="52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396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Task &amp; Detail</w:t>
            </w:r>
          </w:p>
        </w:tc>
        <w:tc>
          <w:tcPr>
            <w:tcW w:type="dxa" w:w="18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Effort</w:t>
            </w:r>
          </w:p>
        </w:tc>
        <w:tc>
          <w:tcPr>
            <w:tcW w:type="dxa" w:w="308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Files / Endpoints</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3.1</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Appointment push notifications</w:t>
            </w:r>
          </w:p>
          <w:p>
            <w:pPr>
              <w:spacing w:after="0"/>
            </w:pPr>
            <w:r>
              <w:rPr>
                <w:rFonts w:ascii="Arial" w:cs="Arial" w:eastAsia="Arial" w:hAnsi="Arial"/>
                <w:i/>
                <w:iCs/>
                <w:color w:val="4A4A6A"/>
                <w:sz w:val="18"/>
                <w:szCs w:val="18"/>
              </w:rPr>
              <w:t xml:space="preserve">Add a Spring @Scheduled job (AppointmentReminderJob.java) that runs hourly. Finds appointments starting in the next 60 minutes with status CONFIRMED. Calls PushNotificationService.sendToUser() for both the student and counsellor. Add to the existing push package alongside StreakReminderJob.</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3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push/AppointmentReminderJob.java (new)</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3.2</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Counsellor availability slot management</w:t>
            </w:r>
          </w:p>
          <w:p>
            <w:pPr>
              <w:spacing w:after="0"/>
            </w:pPr>
            <w:r>
              <w:rPr>
                <w:rFonts w:ascii="Arial" w:cs="Arial" w:eastAsia="Arial" w:hAnsi="Arial"/>
                <w:i/>
                <w:iCs/>
                <w:color w:val="4A4A6A"/>
                <w:sz w:val="18"/>
                <w:szCs w:val="18"/>
              </w:rPr>
              <w:t xml:space="preserve">Add a counsellor_availability table (V16 migration): counsellor_id, day_of_week (0–6), start_time, end_time. New GET /api/support/counsellor/{id}/slots endpoint returns available time slots for a given date. SupportScreen.tsx replaces hardcoded slot array with a fetch from this endpoint.</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5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V16__availability.sql, SupportController.java, SupportScreen.tsx</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3.3</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Add typed API modules for Habits and Sleep</w:t>
            </w:r>
          </w:p>
          <w:p>
            <w:pPr>
              <w:spacing w:after="0"/>
            </w:pPr>
            <w:r>
              <w:rPr>
                <w:rFonts w:ascii="Arial" w:cs="Arial" w:eastAsia="Arial" w:hAnsi="Arial"/>
                <w:i/>
                <w:iCs/>
                <w:color w:val="4A4A6A"/>
                <w:sz w:val="18"/>
                <w:szCs w:val="18"/>
              </w:rPr>
              <w:t xml:space="preserve">Create src/api/habits.ts and src/api/sleep.ts mirroring the pattern of other API files. Move all inline fetch calls from HabitTrackerScreen.tsx and SleepTrackerScreen.tsx into these modules. Improves testability and catches type errors at compile time.</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src/api/habits.ts (new), src/api/sleep.ts (new)</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3.4</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Avatar delete endpoint + frontend wiring</w:t>
            </w:r>
          </w:p>
          <w:p>
            <w:pPr>
              <w:spacing w:after="0"/>
            </w:pPr>
            <w:r>
              <w:rPr>
                <w:rFonts w:ascii="Arial" w:cs="Arial" w:eastAsia="Arial" w:hAnsi="Arial"/>
                <w:i/>
                <w:iCs/>
                <w:color w:val="4A4A6A"/>
                <w:sz w:val="18"/>
                <w:szCs w:val="18"/>
              </w:rPr>
              <w:t xml:space="preserve">Add DELETE /api/users/avatar to UserController.java: clears avatarUrl on the user row and deletes the file from storage. In EditProfileScreen.tsx, wire the "Remove photo" button to call this endpoint and refresh the auth store user object.</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UserController.java, EditProfileScreen.tsx</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3.5</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EAS environment profiles (dev / staging / prod)</w:t>
            </w:r>
          </w:p>
          <w:p>
            <w:pPr>
              <w:spacing w:after="0"/>
            </w:pPr>
            <w:r>
              <w:rPr>
                <w:rFonts w:ascii="Arial" w:cs="Arial" w:eastAsia="Arial" w:hAnsi="Arial"/>
                <w:i/>
                <w:iCs/>
                <w:color w:val="4A4A6A"/>
                <w:sz w:val="18"/>
                <w:szCs w:val="18"/>
              </w:rPr>
              <w:t xml:space="preserve">In eas.json, add EXPO_PUBLIC_API_URL per profile. Add staging profile pointing at a Render preview service (or use --branch flag). Document the three build commands: eas build --profile development, --profile preview, --profile production.</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1 hr</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eas.json, .env.staging (new)</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3.6</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Appointment email notifications</w:t>
            </w:r>
          </w:p>
          <w:p>
            <w:pPr>
              <w:spacing w:after="0"/>
            </w:pPr>
            <w:r>
              <w:rPr>
                <w:rFonts w:ascii="Arial" w:cs="Arial" w:eastAsia="Arial" w:hAnsi="Arial"/>
                <w:i/>
                <w:iCs/>
                <w:color w:val="4A4A6A"/>
                <w:sz w:val="18"/>
                <w:szCs w:val="18"/>
              </w:rPr>
              <w:t xml:space="preserve">When a counsellor confirms or completes an appointment (AppointmentService.java), send an email to the student via JavaMailSender (already configured for OTP). Template: "Your appointment with [Counsellor] on [Date] at [Time] has been confirmed."</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AppointmentService.java, EmailService.java</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3.7</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New game: Thought Untangler (CBT card-swipe)</w:t>
            </w:r>
          </w:p>
          <w:p>
            <w:pPr>
              <w:spacing w:after="0"/>
            </w:pPr>
            <w:r>
              <w:rPr>
                <w:rFonts w:ascii="Arial" w:cs="Arial" w:eastAsia="Arial" w:hAnsi="Arial"/>
                <w:i/>
                <w:iCs/>
                <w:color w:val="4A4A6A"/>
                <w:sz w:val="18"/>
                <w:szCs w:val="18"/>
              </w:rPr>
              <w:t xml:space="preserve">A CBT-grounded swipe game. Cards fall showing common negative automatic thoughts (e.g. "I always mess everything up", "Nobody cares"). Player swipes LEFT to reframe ("This one time went badly — that is not always") or RIGHT to release ("This thought does not serve me"). After 10 cards: score screen shows cognitive distortion patterns detected (all-or-nothing, catastrophising, mind-reading) with a short psychoeducation blurb. Earns 15 XP per session. Backend: thought_cards table (V17 migration), GET /api/games/thought-cards returns shuffled set. Session result POST /api/games/thought-untangler/result logs score + distortion patterns for future AI insights.</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6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src/screens/games/ThoughtUntanglerScreen.tsx (new), V17__thought_cards.sql (new), GamesController.java</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3.8</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New game: Zen Garden (mindfulness sand-drawing)</w:t>
            </w:r>
          </w:p>
          <w:p>
            <w:pPr>
              <w:spacing w:after="0"/>
            </w:pPr>
            <w:r>
              <w:rPr>
                <w:rFonts w:ascii="Arial" w:cs="Arial" w:eastAsia="Arial" w:hAnsi="Arial"/>
                <w:i/>
                <w:iCs/>
                <w:color w:val="4A4A6A"/>
                <w:sz w:val="18"/>
                <w:szCs w:val="18"/>
              </w:rPr>
              <w:t xml:space="preserve">A no-lose, open-ended mindfulness drawing game. User draws in a virtual sand tray using their finger — strokes render as raked sand lines with a subtle particle trail. Three rake widths, three sand colours. A soft ambient tone plays (reuses existing music player service). Session auto-ends at 5 minutes or when user taps "Done". Completion awards 10 XP and counts as a mindfulness minute toward the daily goal. No backend state needed beyond the existing XP award endpoint (POST /api/gamification/award-xp). Add entry card in ExploreScreen games section.</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5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src/screens/games/ZenGardenScreen.tsx (new), src/components/SandCanvas.tsx (new), ExploreScreen.tsx</w:t>
            </w:r>
          </w:p>
        </w:tc>
      </w:tr>
    </w:tbl>
    <w:p>
      <w:pPr>
        <w:spacing w:after="320" w:before="0"/>
      </w:pPr>
    </w:p>
    <w:p>
      <w:r>
        <w:br w:type="page"/>
      </w:r>
    </w:p>
    <w:tbl>
      <w:tblPr>
        <w:tblW w:type="dxa" w:w="9360"/>
        <w:tblBorders>
          <w:top w:val="none"/>
          <w:left w:val="none"/>
          <w:bottom w:val="none"/>
          <w:right w:val="none"/>
          <w:insideH w:val="single" w:color="auto" w:sz="4"/>
          <w:insideV w:val="single" w:color="auto" w:sz="4"/>
        </w:tblBorders>
      </w:tblPr>
      <w:tblGrid>
        <w:gridCol w:w="900"/>
        <w:gridCol w:w="6660"/>
        <w:gridCol w:w="1800"/>
      </w:tblGrid>
      <w:tr>
        <w:tc>
          <w:tcPr>
            <w:tcW w:type="dxa" w:w="900"/>
            <w:tcBorders>
              <w:top w:val="single" w:color="27AE60" w:sz="4"/>
              <w:left w:val="single" w:color="27AE60" w:sz="4"/>
              <w:bottom w:val="single" w:color="27AE60" w:sz="4"/>
              <w:right w:val="single" w:color="27AE60" w:sz="4"/>
            </w:tcBorders>
            <w:shd w:fill="27AE60" w:color="auto"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P4</w:t>
            </w:r>
          </w:p>
        </w:tc>
        <w:tc>
          <w:tcPr>
            <w:tcW w:type="dxa" w:w="6660"/>
            <w:tcBorders>
              <w:top w:val="single" w:color="27AE60" w:sz="4"/>
              <w:left w:val="none"/>
              <w:bottom w:val="single" w:color="27AE60" w:sz="4"/>
              <w:right w:val="none"/>
            </w:tcBorders>
            <w:shd w:fill="E8F5E9" w:color="auto" w:val="clear"/>
            <w:tcMar>
              <w:top w:type="dxa" w:w="80"/>
              <w:left w:type="dxa" w:w="160"/>
              <w:bottom w:type="dxa" w:w="80"/>
              <w:right w:type="dxa" w:w="100"/>
            </w:tcMar>
            <w:vAlign w:val="center"/>
          </w:tcPr>
          <w:p>
            <w:r>
              <w:rPr>
                <w:rFonts w:ascii="Arial" w:cs="Arial" w:eastAsia="Arial" w:hAnsi="Arial"/>
                <w:b/>
                <w:bCs/>
                <w:color w:val="2C1654"/>
                <w:sz w:val="26"/>
                <w:szCs w:val="26"/>
              </w:rPr>
              <w:t xml:space="preserve">Security Hardening &amp; Performance</w:t>
            </w:r>
          </w:p>
        </w:tc>
        <w:tc>
          <w:tcPr>
            <w:tcW w:type="dxa" w:w="1800"/>
            <w:tcBorders>
              <w:top w:val="single" w:color="27AE60" w:sz="4"/>
              <w:left w:val="none"/>
              <w:bottom w:val="single" w:color="27AE60" w:sz="4"/>
              <w:right w:val="single" w:color="27AE60" w:sz="4"/>
            </w:tcBorders>
            <w:shd w:fill="E8F5E9" w:color="auto" w:val="clear"/>
            <w:tcMar>
              <w:top w:type="dxa" w:w="80"/>
              <w:left w:type="dxa" w:w="80"/>
              <w:bottom w:type="dxa" w:w="80"/>
              <w:right w:type="dxa" w:w="100"/>
            </w:tcMar>
            <w:vAlign w:val="center"/>
          </w:tcPr>
          <w:p>
            <w:pPr>
              <w:jc w:val="right"/>
            </w:pPr>
            <w:r>
              <w:rPr>
                <w:rFonts w:ascii="Arial" w:cs="Arial" w:eastAsia="Arial" w:hAnsi="Arial"/>
                <w:b/>
                <w:bCs/>
                <w:color w:val="27AE60"/>
                <w:sz w:val="18"/>
                <w:szCs w:val="18"/>
              </w:rPr>
              <w:t xml:space="preserve">~2 days  •  NON-NEGOTIABLE</w:t>
            </w:r>
          </w:p>
        </w:tc>
      </w:tr>
    </w:tbl>
    <w:p>
      <w:pPr>
        <w:spacing w:after="160" w:before="0"/>
      </w:pPr>
    </w:p>
    <w:p>
      <w:pPr>
        <w:spacing w:after="80"/>
      </w:pPr>
      <w:r>
        <w:rPr>
          <w:rFonts w:ascii="Arial" w:cs="Arial" w:eastAsia="Arial" w:hAnsi="Arial"/>
          <w:i w:val="false"/>
          <w:iCs w:val="false"/>
          <w:color w:val="1A1A2E"/>
          <w:sz w:val="22"/>
          <w:szCs w:val="22"/>
        </w:rPr>
        <w:t xml:space="preserve">Items that do not affect visible features but </w:t>
      </w:r>
      <w:r>
        <w:rPr>
          <w:rFonts w:ascii="Arial" w:cs="Arial" w:eastAsia="Arial" w:hAnsi="Arial"/>
          <w:b/>
          <w:bCs/>
          <w:color w:val="1A1A2E"/>
          <w:sz w:val="22"/>
          <w:szCs w:val="22"/>
        </w:rPr>
        <w:t xml:space="preserve">will cause incidents in production </w:t>
      </w:r>
      <w:r>
        <w:rPr>
          <w:rFonts w:ascii="Arial" w:cs="Arial" w:eastAsia="Arial" w:hAnsi="Arial"/>
          <w:i w:val="false"/>
          <w:iCs w:val="false"/>
          <w:color w:val="1A1A2E"/>
          <w:sz w:val="22"/>
          <w:szCs w:val="22"/>
        </w:rPr>
        <w:t xml:space="preserve">if skipped. These must be done before any real user data enters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960"/>
        <w:gridCol w:w="1800"/>
        <w:gridCol w:w="3080"/>
      </w:tblGrid>
      <w:tr>
        <w:trPr>
          <w:tblHeader/>
        </w:trPr>
        <w:tc>
          <w:tcPr>
            <w:tcW w:type="dxa" w:w="52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396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Task &amp; Detail</w:t>
            </w:r>
          </w:p>
        </w:tc>
        <w:tc>
          <w:tcPr>
            <w:tcW w:type="dxa" w:w="18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Effort</w:t>
            </w:r>
          </w:p>
        </w:tc>
        <w:tc>
          <w:tcPr>
            <w:tcW w:type="dxa" w:w="308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Files / Endpoints</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4.1</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Rotate JWT_SECRET to a production value</w:t>
            </w:r>
          </w:p>
          <w:p>
            <w:pPr>
              <w:spacing w:after="0"/>
            </w:pPr>
            <w:r>
              <w:rPr>
                <w:rFonts w:ascii="Arial" w:cs="Arial" w:eastAsia="Arial" w:hAnsi="Arial"/>
                <w:i/>
                <w:iCs/>
                <w:color w:val="4A4A6A"/>
                <w:sz w:val="18"/>
                <w:szCs w:val="18"/>
              </w:rPr>
              <w:t xml:space="preserve">Generate a 64-character random hex string (openssl rand -hex 32). Set as JWT_SECRET on Render. Never commit to source. All existing sessions will be invalidated — acceptable pre-launch.</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30 min</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Render env vars, start.bat (for local dev)</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4.2</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Lock down CORS to production origin</w:t>
            </w:r>
          </w:p>
          <w:p>
            <w:pPr>
              <w:spacing w:after="0"/>
            </w:pPr>
            <w:r>
              <w:rPr>
                <w:rFonts w:ascii="Arial" w:cs="Arial" w:eastAsia="Arial" w:hAnsi="Arial"/>
                <w:i/>
                <w:iCs/>
                <w:color w:val="4A4A6A"/>
                <w:sz w:val="18"/>
                <w:szCs w:val="18"/>
              </w:rPr>
              <w:t xml:space="preserve">Set CORS_ALLOWED_ORIGINS on Render to the Expo app's origin (or * is acceptable for a mobile-only API since there are no cookies/credentials). More importantly, ensure Spring Security's CSRF is disabled for stateless JWT and not accidentally re-enabled.</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1 hr</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application.yml, SecurityConfig.java</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4.3</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Add React Native error boundary</w:t>
            </w:r>
          </w:p>
          <w:p>
            <w:pPr>
              <w:spacing w:after="0"/>
            </w:pPr>
            <w:r>
              <w:rPr>
                <w:rFonts w:ascii="Arial" w:cs="Arial" w:eastAsia="Arial" w:hAnsi="Arial"/>
                <w:i/>
                <w:iCs/>
                <w:color w:val="4A4A6A"/>
                <w:sz w:val="18"/>
                <w:szCs w:val="18"/>
              </w:rPr>
              <w:t xml:space="preserve">Create src/components/ErrorBoundary.tsx (class component, required for React error boundaries). Wrap the NavigationContainer in App.tsx. On error: show a friendly "Something went wrong" screen with a Retry button. Log error to console (or future Sentry integration).</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src/components/ErrorBoundary.tsx (new), App.tsx</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4.4</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Secure start.bat for local development</w:t>
            </w:r>
          </w:p>
          <w:p>
            <w:pPr>
              <w:spacing w:after="0"/>
            </w:pPr>
            <w:r>
              <w:rPr>
                <w:rFonts w:ascii="Arial" w:cs="Arial" w:eastAsia="Arial" w:hAnsi="Arial"/>
                <w:i/>
                <w:iCs/>
                <w:color w:val="4A4A6A"/>
                <w:sz w:val="18"/>
                <w:szCs w:val="18"/>
              </w:rPr>
              <w:t xml:space="preserve">Confirm start.bat is in .gitignore. Add a .gitignore entry check in README. Rotate Gmail App Password if it was ever committed. Add start.bat.example with placeholder values for onboarding new developers.</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30 min</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start.bat, .gitignore, start.bat.example (new)</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4.5</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Optimise FlatList-heavy screens</w:t>
            </w:r>
          </w:p>
          <w:p>
            <w:pPr>
              <w:spacing w:after="0"/>
            </w:pPr>
            <w:r>
              <w:rPr>
                <w:rFonts w:ascii="Arial" w:cs="Arial" w:eastAsia="Arial" w:hAnsi="Arial"/>
                <w:i/>
                <w:iCs/>
                <w:color w:val="4A4A6A"/>
                <w:sz w:val="18"/>
                <w:szCs w:val="18"/>
              </w:rPr>
              <w:t xml:space="preserve">Screens with long lists (CommunityScreen, AdminDashboard whitelist, CounsellorAppointmentsScreen) should use keyExtractor, getItemLayout where possible, and removeClippedSubviews={true}. Wrap heavy child components in React.memo to prevent re-renders on parent state changes.</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CommunityScreen.tsx, AdminDashboardScreen.tsx</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4.6</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Add basic accessibility labels</w:t>
            </w:r>
          </w:p>
          <w:p>
            <w:pPr>
              <w:spacing w:after="0"/>
            </w:pPr>
            <w:r>
              <w:rPr>
                <w:rFonts w:ascii="Arial" w:cs="Arial" w:eastAsia="Arial" w:hAnsi="Arial"/>
                <w:i/>
                <w:iCs/>
                <w:color w:val="4A4A6A"/>
                <w:sz w:val="18"/>
                <w:szCs w:val="18"/>
              </w:rPr>
              <w:t xml:space="preserve">Add accessibilityLabel and accessibilityRole to all interactive Pressable/TouchableOpacity elements that currently have only icon or emoji children. Priority: tab bar items, action buttons in counsellor cards, modal close buttons, streak shield button.</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3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MainTabs.tsx, CounsellorDashboardScreen.tsx, HomeScreen.tsx</w:t>
            </w:r>
          </w:p>
        </w:tc>
      </w:tr>
    </w:tbl>
    <w:p>
      <w:pPr>
        <w:spacing w:after="320" w:before="0"/>
      </w:pPr>
    </w:p>
    <w:tbl>
      <w:tblPr>
        <w:tblW w:type="dxa" w:w="9360"/>
        <w:tblBorders>
          <w:top w:val="none"/>
          <w:left w:val="none"/>
          <w:bottom w:val="none"/>
          <w:right w:val="none"/>
          <w:insideH w:val="single" w:color="auto" w:sz="4"/>
          <w:insideV w:val="single" w:color="auto" w:sz="4"/>
        </w:tblBorders>
      </w:tblPr>
      <w:tblGrid>
        <w:gridCol w:w="900"/>
        <w:gridCol w:w="6660"/>
        <w:gridCol w:w="1800"/>
      </w:tblGrid>
      <w:tr>
        <w:tc>
          <w:tcPr>
            <w:tcW w:type="dxa" w:w="900"/>
            <w:tcBorders>
              <w:top w:val="single" w:color="5B2FA0" w:sz="4"/>
              <w:left w:val="single" w:color="5B2FA0" w:sz="4"/>
              <w:bottom w:val="single" w:color="5B2FA0" w:sz="4"/>
              <w:right w:val="single" w:color="5B2FA0" w:sz="4"/>
            </w:tcBorders>
            <w:shd w:fill="5B2FA0" w:color="auto"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P5</w:t>
            </w:r>
          </w:p>
        </w:tc>
        <w:tc>
          <w:tcPr>
            <w:tcW w:type="dxa" w:w="6660"/>
            <w:tcBorders>
              <w:top w:val="single" w:color="5B2FA0" w:sz="4"/>
              <w:left w:val="none"/>
              <w:bottom w:val="single" w:color="5B2FA0" w:sz="4"/>
              <w:right w:val="none"/>
            </w:tcBorders>
            <w:shd w:fill="EDE7F6" w:color="auto" w:val="clear"/>
            <w:tcMar>
              <w:top w:type="dxa" w:w="80"/>
              <w:left w:type="dxa" w:w="160"/>
              <w:bottom w:type="dxa" w:w="80"/>
              <w:right w:type="dxa" w:w="100"/>
            </w:tcMar>
            <w:vAlign w:val="center"/>
          </w:tcPr>
          <w:p>
            <w:r>
              <w:rPr>
                <w:rFonts w:ascii="Arial" w:cs="Arial" w:eastAsia="Arial" w:hAnsi="Arial"/>
                <w:b/>
                <w:bCs/>
                <w:color w:val="2C1654"/>
                <w:sz w:val="26"/>
                <w:szCs w:val="26"/>
              </w:rPr>
              <w:t xml:space="preserve">App Store Preparation &amp; Final QA</w:t>
            </w:r>
          </w:p>
        </w:tc>
        <w:tc>
          <w:tcPr>
            <w:tcW w:type="dxa" w:w="1800"/>
            <w:tcBorders>
              <w:top w:val="single" w:color="5B2FA0" w:sz="4"/>
              <w:left w:val="none"/>
              <w:bottom w:val="single" w:color="5B2FA0" w:sz="4"/>
              <w:right w:val="single" w:color="5B2FA0" w:sz="4"/>
            </w:tcBorders>
            <w:shd w:fill="EDE7F6" w:color="auto" w:val="clear"/>
            <w:tcMar>
              <w:top w:type="dxa" w:w="80"/>
              <w:left w:type="dxa" w:w="80"/>
              <w:bottom w:type="dxa" w:w="80"/>
              <w:right w:type="dxa" w:w="100"/>
            </w:tcMar>
            <w:vAlign w:val="center"/>
          </w:tcPr>
          <w:p>
            <w:pPr>
              <w:jc w:val="right"/>
            </w:pPr>
            <w:r>
              <w:rPr>
                <w:rFonts w:ascii="Arial" w:cs="Arial" w:eastAsia="Arial" w:hAnsi="Arial"/>
                <w:b/>
                <w:bCs/>
                <w:color w:val="5B2FA0"/>
                <w:sz w:val="18"/>
                <w:szCs w:val="18"/>
              </w:rPr>
              <w:t xml:space="preserve">~2 days  •  LAUNCH GATE</w:t>
            </w:r>
          </w:p>
        </w:tc>
      </w:tr>
    </w:tbl>
    <w:p>
      <w:pPr>
        <w:spacing w:after="160" w:before="0"/>
      </w:pPr>
    </w:p>
    <w:p>
      <w:pPr>
        <w:spacing w:after="80"/>
      </w:pPr>
      <w:r>
        <w:rPr>
          <w:rFonts w:ascii="Arial" w:cs="Arial" w:eastAsia="Arial" w:hAnsi="Arial"/>
          <w:i w:val="false"/>
          <w:iCs w:val="false"/>
          <w:color w:val="1A1A2E"/>
          <w:sz w:val="22"/>
          <w:szCs w:val="22"/>
        </w:rPr>
        <w:t xml:space="preserve">The last mile: everything needed to submit to Google Play (and optionally Apple App Store) and pass review. Also includes the final end-to-end QA pass across all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960"/>
        <w:gridCol w:w="1800"/>
        <w:gridCol w:w="3080"/>
      </w:tblGrid>
      <w:tr>
        <w:trPr>
          <w:tblHeader/>
        </w:trPr>
        <w:tc>
          <w:tcPr>
            <w:tcW w:type="dxa" w:w="52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396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Task &amp; Detail</w:t>
            </w:r>
          </w:p>
        </w:tc>
        <w:tc>
          <w:tcPr>
            <w:tcW w:type="dxa" w:w="18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Effort</w:t>
            </w:r>
          </w:p>
        </w:tc>
        <w:tc>
          <w:tcPr>
            <w:tcW w:type="dxa" w:w="308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Files / Endpoints</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5.1</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Finalise app icon and splash screen</w:t>
            </w:r>
          </w:p>
          <w:p>
            <w:pPr>
              <w:spacing w:after="0"/>
            </w:pPr>
            <w:r>
              <w:rPr>
                <w:rFonts w:ascii="Arial" w:cs="Arial" w:eastAsia="Arial" w:hAnsi="Arial"/>
                <w:i/>
                <w:iCs/>
                <w:color w:val="4A4A6A"/>
                <w:sz w:val="18"/>
                <w:szCs w:val="18"/>
              </w:rPr>
              <w:t xml:space="preserve">Ensure assets/icon.png (1024×1024), assets/adaptive-icon.png (foreground layer, 1024×1024), and assets/splash.png (1284×2778 for safe zone) are the final branded versions. Run npx expo-optimize to compress. Verify adaptive icon looks correct on round/square launchers.</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assets/, app.json</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5.2</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Add privacy policy URL and required metadata</w:t>
            </w:r>
          </w:p>
          <w:p>
            <w:pPr>
              <w:spacing w:after="0"/>
            </w:pPr>
            <w:r>
              <w:rPr>
                <w:rFonts w:ascii="Arial" w:cs="Arial" w:eastAsia="Arial" w:hAnsi="Arial"/>
                <w:i/>
                <w:iCs/>
                <w:color w:val="4A4A6A"/>
                <w:sz w:val="18"/>
                <w:szCs w:val="18"/>
              </w:rPr>
              <w:t xml:space="preserve">Add privacyPolicyUrl to app.json extra field. Create a simple Privacy Policy page (GitHub Pages or Notion public page is sufficient). Add Terms of Service link. Required by both Google Play and Apple App Store.</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2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app.json, external privacy policy URL</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5.3</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Produce production APK via EAS</w:t>
            </w:r>
          </w:p>
          <w:p>
            <w:pPr>
              <w:spacing w:after="0"/>
            </w:pPr>
            <w:r>
              <w:rPr>
                <w:rFonts w:ascii="Arial" w:cs="Arial" w:eastAsia="Arial" w:hAnsi="Arial"/>
                <w:i/>
                <w:iCs/>
                <w:color w:val="4A4A6A"/>
                <w:sz w:val="18"/>
                <w:szCs w:val="18"/>
              </w:rPr>
              <w:t xml:space="preserve">Run: eas build --platform android --profile production. Download the signed .aab (Android App Bundle). Test the bundle on a physical device via: npx uri-scheme open moodmate:// --android. Confirm deep links, push notifications, and payments work outside Expo Go.</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3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EAS dashboard, physical Android device</w:t>
            </w:r>
          </w:p>
        </w:tc>
      </w:tr>
      <w:tr>
        <w:tc>
          <w:tcPr>
            <w:tcW w:type="dxa" w:w="52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5.4</w:t>
            </w:r>
          </w:p>
        </w:tc>
        <w:tc>
          <w:tcPr>
            <w:tcW w:type="dxa" w:w="396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Google Play Store listing</w:t>
            </w:r>
          </w:p>
          <w:p>
            <w:pPr>
              <w:spacing w:after="0"/>
            </w:pPr>
            <w:r>
              <w:rPr>
                <w:rFonts w:ascii="Arial" w:cs="Arial" w:eastAsia="Arial" w:hAnsi="Arial"/>
                <w:i/>
                <w:iCs/>
                <w:color w:val="4A4A6A"/>
                <w:sz w:val="18"/>
                <w:szCs w:val="18"/>
              </w:rPr>
              <w:t xml:space="preserve">Create an app in Google Play Console. Upload the .aab. Set content rating (pass the questionnaire: mental wellness, no violence, no data sharing with third parties). Write store description, short description. Upload at least 4 screenshots per required screen size. Set content rating to Everyone / PEGI 3.</w:t>
            </w:r>
          </w:p>
        </w:tc>
        <w:tc>
          <w:tcPr>
            <w:tcW w:type="dxa" w:w="180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color w:val="4A4A6A"/>
                <w:sz w:val="18"/>
                <w:szCs w:val="18"/>
              </w:rPr>
              <w:t xml:space="preserve">4 hrs</w:t>
            </w:r>
          </w:p>
        </w:tc>
        <w:tc>
          <w:tcPr>
            <w:tcW w:type="dxa" w:w="30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100"/>
            </w:tcMar>
          </w:tcPr>
          <w:p>
            <w:r>
              <w:rPr>
                <w:rFonts w:ascii="Arial" w:cs="Arial" w:eastAsia="Arial" w:hAnsi="Arial"/>
                <w:color w:val="4A4A6A"/>
                <w:sz w:val="18"/>
                <w:szCs w:val="18"/>
              </w:rPr>
              <w:t xml:space="preserve">play.google.com/console</w:t>
            </w:r>
          </w:p>
        </w:tc>
      </w:tr>
      <w:tr>
        <w:tc>
          <w:tcPr>
            <w:tcW w:type="dxa" w:w="52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vAlign w:val="center"/>
          </w:tcPr>
          <w:p>
            <w:pPr>
              <w:jc w:val="center"/>
            </w:pPr>
            <w:r>
              <w:rPr>
                <w:rFonts w:ascii="Arial" w:cs="Arial" w:eastAsia="Arial" w:hAnsi="Arial"/>
                <w:b/>
                <w:bCs/>
                <w:color w:val="5B2FA0"/>
                <w:sz w:val="18"/>
                <w:szCs w:val="18"/>
              </w:rPr>
              <w:t xml:space="preserve">5.5</w:t>
            </w:r>
          </w:p>
        </w:tc>
        <w:tc>
          <w:tcPr>
            <w:tcW w:type="dxa" w:w="396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pPr>
              <w:spacing w:after="30"/>
            </w:pPr>
            <w:r>
              <w:rPr>
                <w:rFonts w:ascii="Arial" w:cs="Arial" w:eastAsia="Arial" w:hAnsi="Arial"/>
                <w:b/>
                <w:bCs/>
                <w:color w:val="1A1A2E"/>
                <w:sz w:val="20"/>
                <w:szCs w:val="20"/>
              </w:rPr>
              <w:t xml:space="preserve">End-to-end QA checklist — all user roles</w:t>
            </w:r>
          </w:p>
          <w:p>
            <w:pPr>
              <w:spacing w:after="0"/>
            </w:pPr>
            <w:r>
              <w:rPr>
                <w:rFonts w:ascii="Arial" w:cs="Arial" w:eastAsia="Arial" w:hAnsi="Arial"/>
                <w:i/>
                <w:iCs/>
                <w:color w:val="4A4A6A"/>
                <w:sz w:val="18"/>
                <w:szCs w:val="18"/>
              </w:rPr>
              <w:t xml:space="preserve">Student: signup → onboarding → mood check-in → AI chat (free + paid limit) → journal → habit → sleep → community → booking → messaging. Counsellor: whitelist add → signup → login (auto-promote) → profile edit → confirm appointment → messaging. Admin: setup → whitelist → stats dashboard. Guest: explore → prompt to register.</w:t>
            </w:r>
          </w:p>
        </w:tc>
        <w:tc>
          <w:tcPr>
            <w:tcW w:type="dxa" w:w="180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color w:val="4A4A6A"/>
                <w:sz w:val="18"/>
                <w:szCs w:val="18"/>
              </w:rPr>
              <w:t xml:space="preserve">4 hrs</w:t>
            </w:r>
          </w:p>
        </w:tc>
        <w:tc>
          <w:tcPr>
            <w:tcW w:type="dxa" w:w="30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100"/>
            </w:tcMar>
          </w:tcPr>
          <w:p>
            <w:r>
              <w:rPr>
                <w:rFonts w:ascii="Arial" w:cs="Arial" w:eastAsia="Arial" w:hAnsi="Arial"/>
                <w:color w:val="4A4A6A"/>
                <w:sz w:val="18"/>
                <w:szCs w:val="18"/>
              </w:rPr>
              <w:t xml:space="preserve">All screens, physical device + emulator</w:t>
            </w:r>
          </w:p>
        </w:tc>
      </w:tr>
    </w:tbl>
    <w:p>
      <w:pPr>
        <w:spacing w:after="320" w:before="0"/>
      </w:pPr>
    </w:p>
    <w:p>
      <w:r>
        <w:br w:type="page"/>
      </w:r>
    </w:p>
    <w:p>
      <w:pPr>
        <w:pStyle w:val="Heading1"/>
      </w:pPr>
      <w:r>
        <w:rPr>
          <w:rFonts w:ascii="Arial" w:cs="Arial" w:eastAsia="Arial" w:hAnsi="Arial"/>
          <w:b/>
          <w:bCs/>
          <w:color w:val="2C1654"/>
          <w:sz w:val="36"/>
          <w:szCs w:val="36"/>
        </w:rPr>
        <w:t xml:space="preserve">3. Completeness Tracker</w:t>
      </w:r>
    </w:p>
    <w:p>
      <w:pPr>
        <w:pBdr>
          <w:bottom w:val="single" w:color="5B2FA0" w:sz="8" w:space="1"/>
        </w:pBdr>
        <w:spacing w:after="12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560"/>
        <w:gridCol w:w="3000"/>
      </w:tblGrid>
      <w:tr>
        <w:trPr>
          <w:tblHeader/>
        </w:trPr>
        <w:tc>
          <w:tcPr>
            <w:tcW w:type="dxa" w:w="28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left"/>
            </w:pPr>
            <w:r>
              <w:rPr>
                <w:rFonts w:ascii="Arial" w:cs="Arial" w:eastAsia="Arial" w:hAnsi="Arial"/>
                <w:b/>
                <w:bCs/>
                <w:color w:val="FFFFFF"/>
                <w:sz w:val="18"/>
                <w:szCs w:val="18"/>
              </w:rPr>
              <w:t xml:space="preserve">Feature Area</w:t>
            </w:r>
          </w:p>
        </w:tc>
        <w:tc>
          <w:tcPr>
            <w:tcW w:type="dxa" w:w="10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Now</w:t>
            </w:r>
          </w:p>
        </w:tc>
        <w:tc>
          <w:tcPr>
            <w:tcW w:type="dxa" w:w="10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Target</w:t>
            </w:r>
          </w:p>
        </w:tc>
        <w:tc>
          <w:tcPr>
            <w:tcW w:type="dxa" w:w="156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Phase</w:t>
            </w:r>
          </w:p>
        </w:tc>
        <w:tc>
          <w:tcPr>
            <w:tcW w:type="dxa" w:w="30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Progress</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Student wellness loop</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95%</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P3 / P4</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27AE60"/>
                <w:sz w:val="18"/>
                <w:szCs w:val="18"/>
              </w:rPr>
              <w:t xml:space="preserve">██████████</w:t>
            </w:r>
            <w:r>
              <w:rPr>
                <w:rFonts w:ascii="Arial" w:cs="Arial" w:eastAsia="Arial" w:hAnsi="Arial"/>
                <w:color w:val="DDDDDD"/>
                <w:sz w:val="18"/>
                <w:szCs w:val="18"/>
              </w:rPr>
              <w:t xml:space="preserve"/>
            </w:r>
            <w:r>
              <w:rPr>
                <w:rFonts w:ascii="Arial" w:cs="Arial" w:eastAsia="Arial" w:hAnsi="Arial"/>
                <w:color w:val="4A4A6A"/>
                <w:sz w:val="16"/>
                <w:szCs w:val="16"/>
              </w:rPr>
              <w:t xml:space="preserve">  95%</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Auth &amp; security</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90%</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P1 / P4</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27AE60"/>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90%</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Admin panel</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90%</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P1</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27AE60"/>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90%</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Push notifications</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85%</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P3</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27AE60"/>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85%</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In-app messaging</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980B9"/>
                <w:sz w:val="18"/>
                <w:szCs w:val="18"/>
              </w:rPr>
              <w:t xml:space="preserve">65%</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98%</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P2</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2980B9"/>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65%</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Counsellor dashboard</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980B9"/>
                <w:sz w:val="18"/>
                <w:szCs w:val="18"/>
              </w:rPr>
              <w:t xml:space="preserve">70%</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P2 / P3</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2980B9"/>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70%</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Counsellor profile editing</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15%</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P2</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C0392B"/>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15%</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Appointment booking</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980B9"/>
                <w:sz w:val="18"/>
                <w:szCs w:val="18"/>
              </w:rPr>
              <w:t xml:space="preserve">75%</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95%</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P3</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2980B9"/>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75%</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Payments / Paystack</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E67E22"/>
                <w:sz w:val="18"/>
                <w:szCs w:val="18"/>
              </w:rPr>
              <w:t xml:space="preserve">45%</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98%</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P2</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E67E22"/>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45%</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Production config (frontend)</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20%</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P1</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C0392B"/>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20%</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Production config (backend)</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980B9"/>
                <w:sz w:val="18"/>
                <w:szCs w:val="18"/>
              </w:rPr>
              <w:t xml:space="preserve">60%</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P1 / P4</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2980B9"/>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60%</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File / avatar storage</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E67E22"/>
                <w:sz w:val="18"/>
                <w:szCs w:val="18"/>
              </w:rPr>
              <w:t xml:space="preserve">50%</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98%</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P1</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E67E22"/>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50%</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Error handling / boundaries</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980B9"/>
                <w:sz w:val="18"/>
                <w:szCs w:val="18"/>
              </w:rPr>
              <w:t xml:space="preserve">70%</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98%</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P4</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2980B9"/>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70%</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Accessibility</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E67E22"/>
                <w:sz w:val="18"/>
                <w:szCs w:val="18"/>
              </w:rPr>
              <w:t xml:space="preserve">30%</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85%</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P4</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E67E22"/>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30%</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App store readiness</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10%</w:t>
            </w:r>
          </w:p>
        </w:tc>
        <w:tc>
          <w:tcPr>
            <w:tcW w:type="dxa" w:w="1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P5</w:t>
            </w:r>
          </w:p>
        </w:tc>
        <w:tc>
          <w:tcPr>
            <w:tcW w:type="dxa" w:w="3000"/>
            <w:tcBorders>
              <w:top w:val="single" w:color="D0CCE4" w:sz="4"/>
              <w:left w:val="single" w:color="D0CCE4" w:sz="4"/>
              <w:bottom w:val="single" w:color="D0CCE4" w:sz="4"/>
              <w:right w:val="single" w:color="D0CCE4" w:sz="4"/>
            </w:tcBorders>
            <w:shd w:fill="FFFFFF" w:color="auto" w:val="clear"/>
            <w:tcMar>
              <w:top w:type="dxa" w:w="60"/>
              <w:left w:type="dxa" w:w="80"/>
              <w:bottom w:type="dxa" w:w="60"/>
              <w:right w:type="dxa" w:w="80"/>
            </w:tcMar>
            <w:vAlign w:val="center"/>
          </w:tcPr>
          <w:p>
            <w:r>
              <w:rPr>
                <w:rFonts w:ascii="Arial" w:cs="Arial" w:eastAsia="Arial" w:hAnsi="Arial"/>
                <w:color w:val="C0392B"/>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10%</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End-to-end QA</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20%</w:t>
            </w:r>
          </w:p>
        </w:tc>
        <w:tc>
          <w:tcPr>
            <w:tcW w:type="dxa" w:w="1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99%</w:t>
            </w:r>
          </w:p>
        </w:tc>
        <w:tc>
          <w:tcPr>
            <w:tcW w:type="dxa" w:w="156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pPr>
              <w:jc w:val="center"/>
            </w:pPr>
            <w:r>
              <w:rPr>
                <w:rFonts w:ascii="Arial" w:cs="Arial" w:eastAsia="Arial" w:hAnsi="Arial"/>
                <w:i/>
                <w:iCs/>
                <w:color w:val="5B2FA0"/>
                <w:sz w:val="18"/>
                <w:szCs w:val="18"/>
              </w:rPr>
              <w:t xml:space="preserve">P5</w:t>
            </w:r>
          </w:p>
        </w:tc>
        <w:tc>
          <w:tcPr>
            <w:tcW w:type="dxa" w:w="3000"/>
            <w:tcBorders>
              <w:top w:val="single" w:color="D0CCE4" w:sz="4"/>
              <w:left w:val="single" w:color="D0CCE4" w:sz="4"/>
              <w:bottom w:val="single" w:color="D0CCE4" w:sz="4"/>
              <w:right w:val="single" w:color="D0CCE4" w:sz="4"/>
            </w:tcBorders>
            <w:shd w:fill="F8F7FA" w:color="auto" w:val="clear"/>
            <w:tcMar>
              <w:top w:type="dxa" w:w="60"/>
              <w:left w:type="dxa" w:w="80"/>
              <w:bottom w:type="dxa" w:w="60"/>
              <w:right w:type="dxa" w:w="80"/>
            </w:tcMar>
            <w:vAlign w:val="center"/>
          </w:tcPr>
          <w:p>
            <w:r>
              <w:rPr>
                <w:rFonts w:ascii="Arial" w:cs="Arial" w:eastAsia="Arial" w:hAnsi="Arial"/>
                <w:color w:val="C0392B"/>
                <w:sz w:val="18"/>
                <w:szCs w:val="18"/>
              </w:rPr>
              <w:t xml:space="preserve">██</w:t>
            </w:r>
            <w:r>
              <w:rPr>
                <w:rFonts w:ascii="Arial" w:cs="Arial" w:eastAsia="Arial" w:hAnsi="Arial"/>
                <w:color w:val="DDDDDD"/>
                <w:sz w:val="18"/>
                <w:szCs w:val="18"/>
              </w:rPr>
              <w:t xml:space="preserve">░░░░░░░░</w:t>
            </w:r>
            <w:r>
              <w:rPr>
                <w:rFonts w:ascii="Arial" w:cs="Arial" w:eastAsia="Arial" w:hAnsi="Arial"/>
                <w:color w:val="4A4A6A"/>
                <w:sz w:val="16"/>
                <w:szCs w:val="16"/>
              </w:rPr>
              <w:t xml:space="preserve">  20%</w:t>
            </w:r>
          </w:p>
        </w:tc>
      </w:tr>
      <w:tr>
        <w:tc>
          <w:tcPr>
            <w:tcW w:type="dxa" w:w="28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r>
              <w:rPr>
                <w:rFonts w:ascii="Arial" w:cs="Arial" w:eastAsia="Arial" w:hAnsi="Arial"/>
                <w:b/>
                <w:bCs/>
                <w:color w:val="FFFFFF"/>
                <w:sz w:val="20"/>
                <w:szCs w:val="20"/>
              </w:rPr>
              <w:t xml:space="preserve">OVERALL</w:t>
            </w:r>
          </w:p>
        </w:tc>
        <w:tc>
          <w:tcPr>
            <w:tcW w:type="dxa" w:w="1000"/>
            <w:tcBorders>
              <w:top w:val="single" w:color="2C1654" w:sz="4"/>
              <w:left w:val="single" w:color="2C1654" w:sz="4"/>
              <w:bottom w:val="single" w:color="2C1654" w:sz="4"/>
              <w:right w:val="single" w:color="2C1654" w:sz="4"/>
            </w:tcBorders>
            <w:shd w:fill="2C1654" w:color="auto" w:val="clear"/>
            <w:tcMar>
              <w:top w:type="dxa" w:w="80"/>
              <w:left w:type="dxa" w:w="80"/>
              <w:bottom w:type="dxa" w:w="80"/>
              <w:right w:type="dxa" w:w="80"/>
            </w:tcMar>
          </w:tcPr>
          <w:p>
            <w:pPr>
              <w:jc w:val="center"/>
            </w:pPr>
            <w:r>
              <w:rPr>
                <w:rFonts w:ascii="Arial" w:cs="Arial" w:eastAsia="Arial" w:hAnsi="Arial"/>
                <w:b/>
                <w:bCs/>
                <w:color w:val="E67E22"/>
                <w:sz w:val="20"/>
                <w:szCs w:val="20"/>
              </w:rPr>
              <w:t xml:space="preserve">~62%</w:t>
            </w:r>
          </w:p>
        </w:tc>
        <w:tc>
          <w:tcPr>
            <w:tcW w:type="dxa" w:w="1000"/>
            <w:tcBorders>
              <w:top w:val="single" w:color="2C1654" w:sz="4"/>
              <w:left w:val="single" w:color="2C1654" w:sz="4"/>
              <w:bottom w:val="single" w:color="2C1654" w:sz="4"/>
              <w:right w:val="single" w:color="2C1654" w:sz="4"/>
            </w:tcBorders>
            <w:shd w:fill="2C1654" w:color="auto" w:val="clear"/>
            <w:tcMar>
              <w:top w:type="dxa" w:w="80"/>
              <w:left w:type="dxa" w:w="80"/>
              <w:bottom w:type="dxa" w:w="80"/>
              <w:right w:type="dxa" w:w="80"/>
            </w:tcMar>
          </w:tcPr>
          <w:p>
            <w:pPr>
              <w:jc w:val="center"/>
            </w:pPr>
            <w:r>
              <w:rPr>
                <w:rFonts w:ascii="Arial" w:cs="Arial" w:eastAsia="Arial" w:hAnsi="Arial"/>
                <w:b/>
                <w:bCs/>
                <w:color w:val="27AE60"/>
                <w:sz w:val="20"/>
                <w:szCs w:val="20"/>
              </w:rPr>
              <w:t xml:space="preserve">99.9%</w:t>
            </w:r>
          </w:p>
        </w:tc>
        <w:tc>
          <w:tcPr>
            <w:tcW w:type="dxa" w:w="1560"/>
            <w:tcBorders>
              <w:top w:val="single" w:color="2C1654" w:sz="4"/>
              <w:left w:val="single" w:color="2C1654" w:sz="4"/>
              <w:bottom w:val="single" w:color="2C1654" w:sz="4"/>
              <w:right w:val="single" w:color="2C1654" w:sz="4"/>
            </w:tcBorders>
            <w:shd w:fill="2C1654" w:color="auto"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P1–P5</w:t>
            </w:r>
          </w:p>
        </w:tc>
        <w:tc>
          <w:tcPr>
            <w:tcW w:type="dxa" w:w="3000"/>
            <w:tcBorders>
              <w:top w:val="single" w:color="2C1654" w:sz="4"/>
              <w:left w:val="single" w:color="2C1654" w:sz="4"/>
              <w:bottom w:val="single" w:color="2C1654" w:sz="4"/>
              <w:right w:val="single" w:color="2C1654" w:sz="4"/>
            </w:tcBorders>
            <w:shd w:fill="2C1654" w:color="auto" w:val="clear"/>
            <w:tcMar>
              <w:top w:type="dxa" w:w="80"/>
              <w:left w:type="dxa" w:w="80"/>
              <w:bottom w:type="dxa" w:w="80"/>
              <w:right w:type="dxa" w:w="80"/>
            </w:tcMar>
          </w:tcPr>
          <w:p>
            <w:r>
              <w:rPr>
                <w:rFonts w:ascii="Arial" w:cs="Arial" w:eastAsia="Arial" w:hAnsi="Arial"/>
                <w:b/>
                <w:bCs/>
                <w:color w:val="FFFFFF"/>
                <w:sz w:val="18"/>
                <w:szCs w:val="18"/>
              </w:rPr>
              <w:t xml:space="preserve">~16 developer-days total</w:t>
            </w:r>
          </w:p>
        </w:tc>
      </w:tr>
    </w:tbl>
    <w:p>
      <w:pPr>
        <w:spacing w:after="400" w:before="0"/>
      </w:pPr>
    </w:p>
    <w:p>
      <w:pPr>
        <w:pStyle w:val="Heading1"/>
      </w:pPr>
      <w:r>
        <w:rPr>
          <w:rFonts w:ascii="Arial" w:cs="Arial" w:eastAsia="Arial" w:hAnsi="Arial"/>
          <w:b/>
          <w:bCs/>
          <w:color w:val="2C1654"/>
          <w:sz w:val="36"/>
          <w:szCs w:val="36"/>
        </w:rPr>
        <w:t xml:space="preserve">4. Execution Order &amp; Dependencies</w:t>
      </w:r>
    </w:p>
    <w:p>
      <w:pPr>
        <w:pBdr>
          <w:bottom w:val="single" w:color="5B2FA0" w:sz="8" w:space="1"/>
        </w:pBdr>
        <w:spacing w:after="120" w:before="0"/>
      </w:pPr>
    </w:p>
    <w:p>
      <w:pPr>
        <w:spacing w:after="80" w:before="0"/>
      </w:pPr>
    </w:p>
    <w:p>
      <w:pPr>
        <w:spacing w:after="80"/>
      </w:pPr>
      <w:r>
        <w:rPr>
          <w:rFonts w:ascii="Arial" w:cs="Arial" w:eastAsia="Arial" w:hAnsi="Arial"/>
          <w:i w:val="false"/>
          <w:iCs w:val="false"/>
          <w:color w:val="1A1A2E"/>
          <w:sz w:val="22"/>
          <w:szCs w:val="22"/>
        </w:rPr>
        <w:t xml:space="preserve">Some tasks in later phases can begin in parallel with earlier ones. The dependency chain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6080"/>
      </w:tblGrid>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b/>
                <w:bCs/>
                <w:color w:val="5B2FA0"/>
                <w:sz w:val="18"/>
                <w:szCs w:val="18"/>
              </w:rPr>
              <w:t xml:space="preserve">1.1 Render deploy</w:t>
            </w:r>
          </w:p>
        </w:tc>
        <w:tc>
          <w:tcPr>
            <w:tcW w:type="dxa" w:w="480"/>
            <w:tcBorders>
              <w:top w:val="single" w:color="D0CCE4" w:sz="4"/>
              <w:left w:val="single" w:color="D0CCE4" w:sz="4"/>
              <w:bottom w:val="single" w:color="D0CCE4" w:sz="4"/>
              <w:right w:val="single" w:color="D0CCE4" w:sz="4"/>
            </w:tcBorders>
            <w:shd w:fill="F8F7FA"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1.2 Database  →  1.3 Env vars  →  1.4 Frontend config  →  All API calls work in prod</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b/>
                <w:bCs/>
                <w:color w:val="5B2FA0"/>
                <w:sz w:val="18"/>
                <w:szCs w:val="18"/>
              </w:rPr>
              <w:t xml:space="preserve">1.4 Frontend config</w:t>
            </w:r>
          </w:p>
        </w:tc>
        <w:tc>
          <w:tcPr>
            <w:tcW w:type="dxa" w:w="480"/>
            <w:tcBorders>
              <w:top w:val="single" w:color="D0CCE4" w:sz="4"/>
              <w:left w:val="single" w:color="D0CCE4" w:sz="4"/>
              <w:bottom w:val="single" w:color="D0CCE4" w:sz="4"/>
              <w:right w:val="single" w:color="D0CCE4" w:sz="4"/>
            </w:tcBorders>
            <w:shd w:fill="FFFFFF"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1.5 eas.json  →  5.3 Production APK</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b/>
                <w:bCs/>
                <w:color w:val="5B2FA0"/>
                <w:sz w:val="18"/>
                <w:szCs w:val="18"/>
              </w:rPr>
              <w:t xml:space="preserve">1.6 File storage</w:t>
            </w:r>
          </w:p>
        </w:tc>
        <w:tc>
          <w:tcPr>
            <w:tcW w:type="dxa" w:w="480"/>
            <w:tcBorders>
              <w:top w:val="single" w:color="D0CCE4" w:sz="4"/>
              <w:left w:val="single" w:color="D0CCE4" w:sz="4"/>
              <w:bottom w:val="single" w:color="D0CCE4" w:sz="4"/>
              <w:right w:val="single" w:color="D0CCE4" w:sz="4"/>
            </w:tcBorders>
            <w:shd w:fill="F8F7FA"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3.4 Avatar delete (both need storage layer decided)</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b/>
                <w:bCs/>
                <w:color w:val="5B2FA0"/>
                <w:sz w:val="18"/>
                <w:szCs w:val="18"/>
              </w:rPr>
              <w:t xml:space="preserve">2.1 Counsellor endpoint</w:t>
            </w:r>
          </w:p>
        </w:tc>
        <w:tc>
          <w:tcPr>
            <w:tcW w:type="dxa" w:w="480"/>
            <w:tcBorders>
              <w:top w:val="single" w:color="D0CCE4" w:sz="4"/>
              <w:left w:val="single" w:color="D0CCE4" w:sz="4"/>
              <w:bottom w:val="single" w:color="D0CCE4" w:sz="4"/>
              <w:right w:val="single" w:color="D0CCE4" w:sz="4"/>
            </w:tcBorders>
            <w:shd w:fill="FFFFFF"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2.2 Counsellor profile screen (backend must exist first)</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b/>
                <w:bCs/>
                <w:color w:val="5B2FA0"/>
                <w:sz w:val="18"/>
                <w:szCs w:val="18"/>
              </w:rPr>
              <w:t xml:space="preserve">2.5 Supabase setup</w:t>
            </w:r>
          </w:p>
        </w:tc>
        <w:tc>
          <w:tcPr>
            <w:tcW w:type="dxa" w:w="480"/>
            <w:tcBorders>
              <w:top w:val="single" w:color="D0CCE4" w:sz="4"/>
              <w:left w:val="single" w:color="D0CCE4" w:sz="4"/>
              <w:bottom w:val="single" w:color="D0CCE4" w:sz="4"/>
              <w:right w:val="single" w:color="D0CCE4" w:sz="4"/>
            </w:tcBorders>
            <w:shd w:fill="F8F7FA"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Real-time messaging works (fallback polling works independently)</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b/>
                <w:bCs/>
                <w:color w:val="5B2FA0"/>
                <w:sz w:val="18"/>
                <w:szCs w:val="18"/>
              </w:rPr>
              <w:t xml:space="preserve">2.4 Paystack checkout</w:t>
            </w:r>
          </w:p>
        </w:tc>
        <w:tc>
          <w:tcPr>
            <w:tcW w:type="dxa" w:w="480"/>
            <w:tcBorders>
              <w:top w:val="single" w:color="D0CCE4" w:sz="4"/>
              <w:left w:val="single" w:color="D0CCE4" w:sz="4"/>
              <w:bottom w:val="single" w:color="D0CCE4" w:sz="4"/>
              <w:right w:val="single" w:color="D0CCE4" w:sz="4"/>
            </w:tcBorders>
            <w:shd w:fill="FFFFFF"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2.6 AI paywall gate (both part of the monetisation flow)</w:t>
            </w:r>
          </w:p>
        </w:tc>
      </w:tr>
      <w:tr>
        <w:tc>
          <w:tcPr>
            <w:tcW w:type="dxa" w:w="280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b/>
                <w:bCs/>
                <w:color w:val="5B2FA0"/>
                <w:sz w:val="18"/>
                <w:szCs w:val="18"/>
              </w:rPr>
              <w:t xml:space="preserve">3.2 Availability slots</w:t>
            </w:r>
          </w:p>
        </w:tc>
        <w:tc>
          <w:tcPr>
            <w:tcW w:type="dxa" w:w="480"/>
            <w:tcBorders>
              <w:top w:val="single" w:color="D0CCE4" w:sz="4"/>
              <w:left w:val="single" w:color="D0CCE4" w:sz="4"/>
              <w:bottom w:val="single" w:color="D0CCE4" w:sz="4"/>
              <w:right w:val="single" w:color="D0CCE4" w:sz="4"/>
            </w:tcBorders>
            <w:shd w:fill="F8F7FA"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8F7FA"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3.1 Appointment reminders (slots must exist to know what to remind)</w:t>
            </w:r>
          </w:p>
        </w:tc>
      </w:tr>
      <w:tr>
        <w:tc>
          <w:tcPr>
            <w:tcW w:type="dxa" w:w="280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b/>
                <w:bCs/>
                <w:color w:val="5B2FA0"/>
                <w:sz w:val="18"/>
                <w:szCs w:val="18"/>
              </w:rPr>
              <w:t xml:space="preserve">P1–P4 complete</w:t>
            </w:r>
          </w:p>
        </w:tc>
        <w:tc>
          <w:tcPr>
            <w:tcW w:type="dxa" w:w="480"/>
            <w:tcBorders>
              <w:top w:val="single" w:color="D0CCE4" w:sz="4"/>
              <w:left w:val="single" w:color="D0CCE4" w:sz="4"/>
              <w:bottom w:val="single" w:color="D0CCE4" w:sz="4"/>
              <w:right w:val="single" w:color="D0CCE4" w:sz="4"/>
            </w:tcBorders>
            <w:shd w:fill="FFFFFF" w:color="auto" w:val="clear"/>
            <w:tcMar>
              <w:top w:type="dxa" w:w="60"/>
              <w:left w:type="dxa" w:w="60"/>
              <w:bottom w:type="dxa" w:w="60"/>
              <w:right w:type="dxa" w:w="60"/>
            </w:tcMar>
            <w:vAlign w:val="center"/>
          </w:tcPr>
          <w:p>
            <w:pPr>
              <w:jc w:val="center"/>
            </w:pPr>
            <w:r>
              <w:rPr>
                <w:rFonts w:ascii="Arial" w:cs="Arial" w:eastAsia="Arial" w:hAnsi="Arial"/>
                <w:i w:val="false"/>
                <w:iCs w:val="false"/>
                <w:color w:val="4A4A6A"/>
                <w:sz w:val="18"/>
                <w:szCs w:val="18"/>
              </w:rPr>
              <w:t xml:space="preserve">→</w:t>
            </w:r>
          </w:p>
        </w:tc>
        <w:tc>
          <w:tcPr>
            <w:tcW w:type="dxa" w:w="6080"/>
            <w:tcBorders>
              <w:top w:val="single" w:color="D0CCE4" w:sz="4"/>
              <w:left w:val="single" w:color="D0CCE4" w:sz="4"/>
              <w:bottom w:val="single" w:color="D0CCE4" w:sz="4"/>
              <w:right w:val="single" w:color="D0CCE4" w:sz="4"/>
            </w:tcBorders>
            <w:shd w:fill="FFFFFF" w:color="auto" w:val="clear"/>
            <w:tcMar>
              <w:top w:type="dxa" w:w="60"/>
              <w:left w:type="dxa" w:w="120"/>
              <w:bottom w:type="dxa" w:w="60"/>
              <w:right w:type="dxa" w:w="80"/>
            </w:tcMar>
          </w:tcPr>
          <w:p>
            <w:r>
              <w:rPr>
                <w:rFonts w:ascii="Arial" w:cs="Arial" w:eastAsia="Arial" w:hAnsi="Arial"/>
                <w:i w:val="false"/>
                <w:iCs w:val="false"/>
                <w:color w:val="1A1A2E"/>
                <w:sz w:val="18"/>
                <w:szCs w:val="18"/>
              </w:rPr>
              <w:t xml:space="preserve">5.5 End-to-end QA  →  5.4 Play Store submission</w:t>
            </w:r>
          </w:p>
        </w:tc>
      </w:tr>
    </w:tbl>
    <w:p>
      <w:pPr>
        <w:spacing w:after="400" w:before="0"/>
      </w:pPr>
    </w:p>
    <w:p>
      <w:pPr>
        <w:pStyle w:val="Heading1"/>
      </w:pPr>
      <w:r>
        <w:rPr>
          <w:rFonts w:ascii="Arial" w:cs="Arial" w:eastAsia="Arial" w:hAnsi="Arial"/>
          <w:b/>
          <w:bCs/>
          <w:color w:val="2C1654"/>
          <w:sz w:val="36"/>
          <w:szCs w:val="36"/>
        </w:rPr>
        <w:t xml:space="preserve">5. What Is Already Production-Quality</w:t>
      </w:r>
    </w:p>
    <w:p>
      <w:pPr>
        <w:pBdr>
          <w:bottom w:val="single" w:color="5B2FA0" w:sz="8" w:space="1"/>
        </w:pBdr>
        <w:spacing w:after="120" w:before="0"/>
      </w:pPr>
    </w:p>
    <w:p>
      <w:pPr>
        <w:spacing w:after="80" w:before="0"/>
      </w:pPr>
    </w:p>
    <w:p>
      <w:pPr>
        <w:spacing w:after="120"/>
      </w:pPr>
      <w:r>
        <w:rPr>
          <w:rFonts w:ascii="Arial" w:cs="Arial" w:eastAsia="Arial" w:hAnsi="Arial"/>
          <w:i w:val="false"/>
          <w:iCs w:val="false"/>
          <w:color w:val="1A1A2E"/>
          <w:sz w:val="22"/>
          <w:szCs w:val="22"/>
        </w:rPr>
        <w:t xml:space="preserve">These features need </w:t>
      </w:r>
      <w:r>
        <w:rPr>
          <w:rFonts w:ascii="Arial" w:cs="Arial" w:eastAsia="Arial" w:hAnsi="Arial"/>
          <w:b/>
          <w:bCs/>
          <w:color w:val="1A1A2E"/>
          <w:sz w:val="22"/>
          <w:szCs w:val="22"/>
        </w:rPr>
        <w:t xml:space="preserve">no further work </w:t>
      </w:r>
      <w:r>
        <w:rPr>
          <w:rFonts w:ascii="Arial" w:cs="Arial" w:eastAsia="Arial" w:hAnsi="Arial"/>
          <w:i w:val="false"/>
          <w:iCs w:val="false"/>
          <w:color w:val="1A1A2E"/>
          <w:sz w:val="22"/>
          <w:szCs w:val="22"/>
        </w:rPr>
        <w:t xml:space="preserve">before launch. They are stable, security-hardened, and consistent across the codebase:</w:t>
      </w:r>
    </w:p>
    <w:p>
      <w:pPr>
        <w:pStyle w:val="ListParagraph"/>
        <w:numPr>
          <w:ilvl w:val="0"/>
          <w:numId w:val="2"/>
        </w:numPr>
        <w:spacing w:after="60" w:before="60"/>
      </w:pPr>
      <w:r>
        <w:rPr>
          <w:rFonts w:ascii="Arial" w:cs="Arial" w:eastAsia="Arial" w:hAnsi="Arial"/>
          <w:b/>
          <w:bCs/>
          <w:color w:val="27AE60"/>
          <w:sz w:val="20"/>
          <w:szCs w:val="20"/>
        </w:rPr>
        <w:t xml:space="preserve">Core student wellness loop: </w:t>
      </w:r>
      <w:r>
        <w:rPr>
          <w:rFonts w:ascii="Arial" w:cs="Arial" w:eastAsia="Arial" w:hAnsi="Arial"/>
          <w:color w:val="1A1A2E"/>
          <w:sz w:val="20"/>
          <w:szCs w:val="20"/>
        </w:rPr>
        <w:t xml:space="preserve">Mood check-in with trigger tags, daily goals, streak system with shield, milestone push notifications, tree gamification with XP and leaf economy.</w:t>
      </w:r>
    </w:p>
    <w:p>
      <w:pPr>
        <w:pStyle w:val="ListParagraph"/>
        <w:numPr>
          <w:ilvl w:val="0"/>
          <w:numId w:val="2"/>
        </w:numPr>
        <w:spacing w:after="60" w:before="60"/>
      </w:pPr>
      <w:r>
        <w:rPr>
          <w:rFonts w:ascii="Arial" w:cs="Arial" w:eastAsia="Arial" w:hAnsi="Arial"/>
          <w:b/>
          <w:bCs/>
          <w:color w:val="27AE60"/>
          <w:sz w:val="20"/>
          <w:szCs w:val="20"/>
        </w:rPr>
        <w:t xml:space="preserve">AI Chat &amp; Insights: </w:t>
      </w:r>
      <w:r>
        <w:rPr>
          <w:rFonts w:ascii="Arial" w:cs="Arial" w:eastAsia="Arial" w:hAnsi="Arial"/>
          <w:color w:val="1A1A2E"/>
          <w:sz w:val="20"/>
          <w:szCs w:val="20"/>
        </w:rPr>
        <w:t xml:space="preserve">Groq-powered chat with voice input and image support; daily usage gating for free tier; AI-generated mood insights. Freemium enforcement is server-side.</w:t>
      </w:r>
    </w:p>
    <w:p>
      <w:pPr>
        <w:pStyle w:val="ListParagraph"/>
        <w:numPr>
          <w:ilvl w:val="0"/>
          <w:numId w:val="2"/>
        </w:numPr>
        <w:spacing w:after="60" w:before="60"/>
      </w:pPr>
      <w:r>
        <w:rPr>
          <w:rFonts w:ascii="Arial" w:cs="Arial" w:eastAsia="Arial" w:hAnsi="Arial"/>
          <w:b/>
          <w:bCs/>
          <w:color w:val="27AE60"/>
          <w:sz w:val="20"/>
          <w:szCs w:val="20"/>
        </w:rPr>
        <w:t xml:space="preserve">Journal system: </w:t>
      </w:r>
      <w:r>
        <w:rPr>
          <w:rFonts w:ascii="Arial" w:cs="Arial" w:eastAsia="Arial" w:hAnsi="Arial"/>
          <w:color w:val="1A1A2E"/>
          <w:sz w:val="20"/>
          <w:szCs w:val="20"/>
        </w:rPr>
        <w:t xml:space="preserve">Templates (Daily Reflection, Exam Stress, Gratitude Jar, Goals &amp; Wins), full CRUD, rich entry cards.</w:t>
      </w:r>
    </w:p>
    <w:p>
      <w:pPr>
        <w:pStyle w:val="ListParagraph"/>
        <w:numPr>
          <w:ilvl w:val="0"/>
          <w:numId w:val="2"/>
        </w:numPr>
        <w:spacing w:after="60" w:before="60"/>
      </w:pPr>
      <w:r>
        <w:rPr>
          <w:rFonts w:ascii="Arial" w:cs="Arial" w:eastAsia="Arial" w:hAnsi="Arial"/>
          <w:b/>
          <w:bCs/>
          <w:color w:val="27AE60"/>
          <w:sz w:val="20"/>
          <w:szCs w:val="20"/>
        </w:rPr>
        <w:t xml:space="preserve">Habit &amp; Sleep Trackers: </w:t>
      </w:r>
      <w:r>
        <w:rPr>
          <w:rFonts w:ascii="Arial" w:cs="Arial" w:eastAsia="Arial" w:hAnsi="Arial"/>
          <w:color w:val="1A1A2E"/>
          <w:sz w:val="20"/>
          <w:szCs w:val="20"/>
        </w:rPr>
        <w:t xml:space="preserve">Full backend V11/V12 migrations, toggle endpoints, frontend screens with stats. Both features are end-to-end.</w:t>
      </w:r>
    </w:p>
    <w:p>
      <w:pPr>
        <w:pStyle w:val="ListParagraph"/>
        <w:numPr>
          <w:ilvl w:val="0"/>
          <w:numId w:val="2"/>
        </w:numPr>
        <w:spacing w:after="60" w:before="60"/>
      </w:pPr>
      <w:r>
        <w:rPr>
          <w:rFonts w:ascii="Arial" w:cs="Arial" w:eastAsia="Arial" w:hAnsi="Arial"/>
          <w:b/>
          <w:bCs/>
          <w:color w:val="27AE60"/>
          <w:sz w:val="20"/>
          <w:szCs w:val="20"/>
        </w:rPr>
        <w:t xml:space="preserve">Quabble-inspired features: </w:t>
      </w:r>
      <w:r>
        <w:rPr>
          <w:rFonts w:ascii="Arial" w:cs="Arial" w:eastAsia="Arial" w:hAnsi="Arial"/>
          <w:color w:val="1A1A2E"/>
          <w:sz w:val="20"/>
          <w:szCs w:val="20"/>
        </w:rPr>
        <w:t xml:space="preserve">Worry Box, Safe Place visualisation, and Proud Dandelion wins screen are all fully implemented with animations.</w:t>
      </w:r>
    </w:p>
    <w:p>
      <w:pPr>
        <w:pStyle w:val="ListParagraph"/>
        <w:numPr>
          <w:ilvl w:val="0"/>
          <w:numId w:val="2"/>
        </w:numPr>
        <w:spacing w:after="60" w:before="60"/>
      </w:pPr>
      <w:r>
        <w:rPr>
          <w:rFonts w:ascii="Arial" w:cs="Arial" w:eastAsia="Arial" w:hAnsi="Arial"/>
          <w:b/>
          <w:bCs/>
          <w:color w:val="27AE60"/>
          <w:sz w:val="20"/>
          <w:szCs w:val="20"/>
        </w:rPr>
        <w:t xml:space="preserve">Gamification &amp; Store: </w:t>
      </w:r>
      <w:r>
        <w:rPr>
          <w:rFonts w:ascii="Arial" w:cs="Arial" w:eastAsia="Arial" w:hAnsi="Arial"/>
          <w:color w:val="1A1A2E"/>
          <w:sz w:val="20"/>
          <w:szCs w:val="20"/>
        </w:rPr>
        <w:t xml:space="preserve">XP bar, leaf balance, streak shield purchase, skin system. Backend wallet transactions are auditable via the LeafTransaction table.</w:t>
      </w:r>
    </w:p>
    <w:p>
      <w:pPr>
        <w:pStyle w:val="ListParagraph"/>
        <w:numPr>
          <w:ilvl w:val="0"/>
          <w:numId w:val="2"/>
        </w:numPr>
        <w:spacing w:after="60" w:before="60"/>
      </w:pPr>
      <w:r>
        <w:rPr>
          <w:rFonts w:ascii="Arial" w:cs="Arial" w:eastAsia="Arial" w:hAnsi="Arial"/>
          <w:b/>
          <w:bCs/>
          <w:color w:val="27AE60"/>
          <w:sz w:val="20"/>
          <w:szCs w:val="20"/>
        </w:rPr>
        <w:t xml:space="preserve">Community &amp; Crisis: </w:t>
      </w:r>
      <w:r>
        <w:rPr>
          <w:rFonts w:ascii="Arial" w:cs="Arial" w:eastAsia="Arial" w:hAnsi="Arial"/>
          <w:color w:val="1A1A2E"/>
          <w:sz w:val="20"/>
          <w:szCs w:val="20"/>
        </w:rPr>
        <w:t xml:space="preserve">Community posts with delete, crisis keyword detection on check-in submissions, open alert count in AdminDashboard, counsellor crisis badge.</w:t>
      </w:r>
    </w:p>
    <w:p>
      <w:pPr>
        <w:pStyle w:val="ListParagraph"/>
        <w:numPr>
          <w:ilvl w:val="0"/>
          <w:numId w:val="2"/>
        </w:numPr>
        <w:spacing w:after="60" w:before="60"/>
      </w:pPr>
      <w:r>
        <w:rPr>
          <w:rFonts w:ascii="Arial" w:cs="Arial" w:eastAsia="Arial" w:hAnsi="Arial"/>
          <w:b/>
          <w:bCs/>
          <w:color w:val="27AE60"/>
          <w:sz w:val="20"/>
          <w:szCs w:val="20"/>
        </w:rPr>
        <w:t xml:space="preserve">Counsellor whitelist system: </w:t>
      </w:r>
      <w:r>
        <w:rPr>
          <w:rFonts w:ascii="Arial" w:cs="Arial" w:eastAsia="Arial" w:hAnsi="Arial"/>
          <w:color w:val="1A1A2E"/>
          <w:sz w:val="20"/>
          <w:szCs w:val="20"/>
        </w:rPr>
        <w:t xml:space="preserve">V15 migration, entity, repository, admin endpoints (GET/POST/DELETE), auto-promotion on login, counsellor profile row creation, all with race-condition handling and proper error codes.</w:t>
      </w:r>
    </w:p>
    <w:p>
      <w:pPr>
        <w:pStyle w:val="ListParagraph"/>
        <w:numPr>
          <w:ilvl w:val="0"/>
          <w:numId w:val="2"/>
        </w:numPr>
        <w:spacing w:after="60" w:before="60"/>
      </w:pPr>
      <w:r>
        <w:rPr>
          <w:rFonts w:ascii="Arial" w:cs="Arial" w:eastAsia="Arial" w:hAnsi="Arial"/>
          <w:b/>
          <w:bCs/>
          <w:color w:val="27AE60"/>
          <w:sz w:val="20"/>
          <w:szCs w:val="20"/>
        </w:rPr>
        <w:t xml:space="preserve">Push notification infrastructure: </w:t>
      </w:r>
      <w:r>
        <w:rPr>
          <w:rFonts w:ascii="Arial" w:cs="Arial" w:eastAsia="Arial" w:hAnsi="Arial"/>
          <w:color w:val="1A1A2E"/>
          <w:sz w:val="20"/>
          <w:szCs w:val="20"/>
        </w:rPr>
        <w:t xml:space="preserve">Expo Push Notification Service integration, token registration on login/logout, 8 PM streak reminder job, milestone push at days 3/7/14/30.</w:t>
      </w:r>
    </w:p>
    <w:p>
      <w:pPr>
        <w:pStyle w:val="ListParagraph"/>
        <w:numPr>
          <w:ilvl w:val="0"/>
          <w:numId w:val="2"/>
        </w:numPr>
        <w:spacing w:after="60" w:before="60"/>
      </w:pPr>
      <w:r>
        <w:rPr>
          <w:rFonts w:ascii="Arial" w:cs="Arial" w:eastAsia="Arial" w:hAnsi="Arial"/>
          <w:b/>
          <w:bCs/>
          <w:color w:val="27AE60"/>
          <w:sz w:val="20"/>
          <w:szCs w:val="20"/>
        </w:rPr>
        <w:t xml:space="preserve">Auth &amp; security hardening: </w:t>
      </w:r>
      <w:r>
        <w:rPr>
          <w:rFonts w:ascii="Arial" w:cs="Arial" w:eastAsia="Arial" w:hAnsi="Arial"/>
          <w:color w:val="1A1A2E"/>
          <w:sz w:val="20"/>
          <w:szCs w:val="20"/>
        </w:rPr>
        <w:t xml:space="preserve">OTP brute-force protection, rate limiting on auth endpoints, password complexity, magic-byte avatar validation, JWT expiry, ClientAbortException suppression.</w:t>
      </w:r>
    </w:p>
    <w:p>
      <w:pPr>
        <w:pStyle w:val="ListParagraph"/>
        <w:numPr>
          <w:ilvl w:val="0"/>
          <w:numId w:val="2"/>
        </w:numPr>
        <w:spacing w:after="60" w:before="60"/>
      </w:pPr>
      <w:r>
        <w:rPr>
          <w:rFonts w:ascii="Arial" w:cs="Arial" w:eastAsia="Arial" w:hAnsi="Arial"/>
          <w:b/>
          <w:bCs/>
          <w:color w:val="27AE60"/>
          <w:sz w:val="20"/>
          <w:szCs w:val="20"/>
        </w:rPr>
        <w:t xml:space="preserve">Music player: </w:t>
      </w:r>
      <w:r>
        <w:rPr>
          <w:rFonts w:ascii="Arial" w:cs="Arial" w:eastAsia="Arial" w:hAnsi="Arial"/>
          <w:color w:val="1A1A2E"/>
          <w:sz w:val="20"/>
          <w:szCs w:val="20"/>
        </w:rPr>
        <w:t xml:space="preserve">Multi-track with favourites, single-player enforcement, Brown Noise / ADHD Focus tracks, premium Ionicons controls.</w:t>
      </w:r>
    </w:p>
    <w:p>
      <w:pPr>
        <w:spacing w:after="400" w:before="0"/>
      </w:pPr>
    </w:p>
    <w:p>
      <w:r>
        <w:br w:type="page"/>
      </w:r>
    </w:p>
    <w:p>
      <w:pPr>
        <w:pStyle w:val="Heading1"/>
      </w:pPr>
      <w:r>
        <w:rPr>
          <w:rFonts w:ascii="Arial" w:cs="Arial" w:eastAsia="Arial" w:hAnsi="Arial"/>
          <w:b/>
          <w:bCs/>
          <w:color w:val="2C1654"/>
          <w:sz w:val="36"/>
          <w:szCs w:val="36"/>
        </w:rPr>
        <w:t xml:space="preserve">6. Competitor Checkout Analysis</w:t>
      </w:r>
    </w:p>
    <w:p>
      <w:pPr>
        <w:pBdr>
          <w:bottom w:val="single" w:color="5B2FA0" w:sz="8" w:space="1"/>
        </w:pBdr>
        <w:spacing w:after="120" w:before="0"/>
      </w:pPr>
    </w:p>
    <w:p>
      <w:pPr>
        <w:spacing w:after="80" w:before="0"/>
      </w:pPr>
    </w:p>
    <w:p>
      <w:pPr>
        <w:spacing w:after="80"/>
      </w:pPr>
      <w:r>
        <w:rPr>
          <w:rFonts w:ascii="Arial" w:cs="Arial" w:eastAsia="Arial" w:hAnsi="Arial"/>
          <w:i w:val="false"/>
          <w:iCs w:val="false"/>
          <w:color w:val="1A1A2E"/>
          <w:sz w:val="22"/>
          <w:szCs w:val="22"/>
        </w:rPr>
        <w:t xml:space="preserve">Tasks 2.7 and 2.8 are grounded in how the leading mental wellness apps monetise. The patterns below were drawn from Headspace, Calm, Wysa, Finch, and Sanvello and adapted to MoodMate's student-focused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960"/>
      </w:tblGrid>
      <w:tr>
        <w:trPr>
          <w:tblHeader/>
        </w:trPr>
        <w:tc>
          <w:tcPr>
            <w:tcW w:type="dxa" w:w="1680"/>
            <w:tcBorders>
              <w:top w:val="single" w:color="2C1654" w:sz="4"/>
              <w:left w:val="single" w:color="2C1654" w:sz="4"/>
              <w:bottom w:val="single" w:color="2C1654" w:sz="4"/>
              <w:right w:val="single" w:color="2C1654" w:sz="4"/>
            </w:tcBorders>
            <w:shd w:fill="2C1654" w:color="auto" w:val="clear"/>
            <w:tcMar>
              <w:top w:type="dxa" w:w="80"/>
              <w:left w:type="dxa" w:w="100"/>
              <w:bottom w:type="dxa" w:w="80"/>
              <w:right w:type="dxa" w:w="80"/>
            </w:tcMar>
          </w:tcPr>
          <w:p>
            <w:r>
              <w:rPr>
                <w:rFonts w:ascii="Arial" w:cs="Arial" w:eastAsia="Arial" w:hAnsi="Arial"/>
                <w:b/>
                <w:bCs/>
                <w:color w:val="FFFFFF"/>
                <w:sz w:val="17"/>
                <w:szCs w:val="17"/>
              </w:rPr>
              <w:t xml:space="preserve">Feature</w:t>
            </w:r>
          </w:p>
        </w:tc>
        <w:tc>
          <w:tcPr>
            <w:tcW w:type="dxa" w:w="1680"/>
            <w:tcBorders>
              <w:top w:val="single" w:color="2C1654" w:sz="4"/>
              <w:left w:val="single" w:color="2C1654" w:sz="4"/>
              <w:bottom w:val="single" w:color="2C1654" w:sz="4"/>
              <w:right w:val="single" w:color="2C1654" w:sz="4"/>
            </w:tcBorders>
            <w:shd w:fill="2C1654" w:color="auto" w:val="clear"/>
            <w:tcMar>
              <w:top w:type="dxa" w:w="80"/>
              <w:left w:type="dxa" w:w="100"/>
              <w:bottom w:type="dxa" w:w="80"/>
              <w:right w:type="dxa" w:w="80"/>
            </w:tcMar>
          </w:tcPr>
          <w:p>
            <w:r>
              <w:rPr>
                <w:rFonts w:ascii="Arial" w:cs="Arial" w:eastAsia="Arial" w:hAnsi="Arial"/>
                <w:b/>
                <w:bCs/>
                <w:color w:val="FFFFFF"/>
                <w:sz w:val="17"/>
                <w:szCs w:val="17"/>
              </w:rPr>
              <w:t xml:space="preserve">Headspace</w:t>
            </w:r>
          </w:p>
        </w:tc>
        <w:tc>
          <w:tcPr>
            <w:tcW w:type="dxa" w:w="1680"/>
            <w:tcBorders>
              <w:top w:val="single" w:color="2C1654" w:sz="4"/>
              <w:left w:val="single" w:color="2C1654" w:sz="4"/>
              <w:bottom w:val="single" w:color="2C1654" w:sz="4"/>
              <w:right w:val="single" w:color="2C1654" w:sz="4"/>
            </w:tcBorders>
            <w:shd w:fill="2C1654" w:color="auto" w:val="clear"/>
            <w:tcMar>
              <w:top w:type="dxa" w:w="80"/>
              <w:left w:type="dxa" w:w="100"/>
              <w:bottom w:type="dxa" w:w="80"/>
              <w:right w:type="dxa" w:w="80"/>
            </w:tcMar>
          </w:tcPr>
          <w:p>
            <w:r>
              <w:rPr>
                <w:rFonts w:ascii="Arial" w:cs="Arial" w:eastAsia="Arial" w:hAnsi="Arial"/>
                <w:b/>
                <w:bCs/>
                <w:color w:val="FFFFFF"/>
                <w:sz w:val="17"/>
                <w:szCs w:val="17"/>
              </w:rPr>
              <w:t xml:space="preserve">Calm</w:t>
            </w:r>
          </w:p>
        </w:tc>
        <w:tc>
          <w:tcPr>
            <w:tcW w:type="dxa" w:w="1680"/>
            <w:tcBorders>
              <w:top w:val="single" w:color="2C1654" w:sz="4"/>
              <w:left w:val="single" w:color="2C1654" w:sz="4"/>
              <w:bottom w:val="single" w:color="2C1654" w:sz="4"/>
              <w:right w:val="single" w:color="2C1654" w:sz="4"/>
            </w:tcBorders>
            <w:shd w:fill="2C1654" w:color="auto" w:val="clear"/>
            <w:tcMar>
              <w:top w:type="dxa" w:w="80"/>
              <w:left w:type="dxa" w:w="100"/>
              <w:bottom w:type="dxa" w:w="80"/>
              <w:right w:type="dxa" w:w="80"/>
            </w:tcMar>
          </w:tcPr>
          <w:p>
            <w:r>
              <w:rPr>
                <w:rFonts w:ascii="Arial" w:cs="Arial" w:eastAsia="Arial" w:hAnsi="Arial"/>
                <w:b/>
                <w:bCs/>
                <w:color w:val="FFFFFF"/>
                <w:sz w:val="17"/>
                <w:szCs w:val="17"/>
              </w:rPr>
              <w:t xml:space="preserve">Wysa</w:t>
            </w:r>
          </w:p>
        </w:tc>
        <w:tc>
          <w:tcPr>
            <w:tcW w:type="dxa" w:w="1680"/>
            <w:tcBorders>
              <w:top w:val="single" w:color="2C1654" w:sz="4"/>
              <w:left w:val="single" w:color="2C1654" w:sz="4"/>
              <w:bottom w:val="single" w:color="2C1654" w:sz="4"/>
              <w:right w:val="single" w:color="2C1654" w:sz="4"/>
            </w:tcBorders>
            <w:shd w:fill="2C1654" w:color="auto" w:val="clear"/>
            <w:tcMar>
              <w:top w:type="dxa" w:w="80"/>
              <w:left w:type="dxa" w:w="100"/>
              <w:bottom w:type="dxa" w:w="80"/>
              <w:right w:type="dxa" w:w="80"/>
            </w:tcMar>
          </w:tcPr>
          <w:p>
            <w:r>
              <w:rPr>
                <w:rFonts w:ascii="Arial" w:cs="Arial" w:eastAsia="Arial" w:hAnsi="Arial"/>
                <w:b/>
                <w:bCs/>
                <w:color w:val="FFFFFF"/>
                <w:sz w:val="17"/>
                <w:szCs w:val="17"/>
              </w:rPr>
              <w:t xml:space="preserve">Finch / Sanvello</w:t>
            </w:r>
          </w:p>
        </w:tc>
        <w:tc>
          <w:tcPr>
            <w:tcW w:type="dxa" w:w="1960"/>
            <w:tcBorders>
              <w:top w:val="single" w:color="2C1654" w:sz="4"/>
              <w:left w:val="single" w:color="2C1654" w:sz="4"/>
              <w:bottom w:val="single" w:color="2C1654" w:sz="4"/>
              <w:right w:val="single" w:color="2C1654" w:sz="4"/>
            </w:tcBorders>
            <w:shd w:fill="2C1654" w:color="auto" w:val="clear"/>
            <w:tcMar>
              <w:top w:type="dxa" w:w="80"/>
              <w:left w:type="dxa" w:w="100"/>
              <w:bottom w:type="dxa" w:w="80"/>
              <w:right w:type="dxa" w:w="80"/>
            </w:tcMar>
          </w:tcPr>
          <w:p>
            <w:r>
              <w:rPr>
                <w:rFonts w:ascii="Arial" w:cs="Arial" w:eastAsia="Arial" w:hAnsi="Arial"/>
                <w:b/>
                <w:bCs/>
                <w:color w:val="FFFFFF"/>
                <w:sz w:val="17"/>
                <w:szCs w:val="17"/>
              </w:rPr>
              <w:t xml:space="preserve">MoodMate Plan</w:t>
            </w:r>
          </w:p>
        </w:tc>
      </w:tr>
      <w:tr>
        <w:tc>
          <w:tcPr>
            <w:tcW w:type="dxa" w:w="1680"/>
            <w:tcBorders>
              <w:top w:val="single" w:color="D0CCE4" w:sz="4"/>
              <w:left w:val="single" w:color="D0CCE4" w:sz="4"/>
              <w:bottom w:val="single" w:color="D0CCE4" w:sz="4"/>
              <w:right w:val="single" w:color="D0CCE4" w:sz="4"/>
            </w:tcBorders>
            <w:shd w:fill="EDE7F6" w:color="auto" w:val="clear"/>
            <w:tcMar>
              <w:top w:type="dxa" w:w="60"/>
              <w:left w:type="dxa" w:w="100"/>
              <w:bottom w:type="dxa" w:w="60"/>
              <w:right w:type="dxa" w:w="80"/>
            </w:tcMar>
          </w:tcPr>
          <w:p>
            <w:r>
              <w:rPr>
                <w:rFonts w:ascii="Arial" w:cs="Arial" w:eastAsia="Arial" w:hAnsi="Arial"/>
                <w:b/>
                <w:bCs/>
                <w:color w:val="2C1654"/>
                <w:sz w:val="17"/>
                <w:szCs w:val="17"/>
              </w:rPr>
              <w:t xml:space="preserve">Freemium tier</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 core content free</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 limited tracks</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 150+ free exercises</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 full free tier</w:t>
            </w:r>
          </w:p>
        </w:tc>
        <w:tc>
          <w:tcPr>
            <w:tcW w:type="dxa" w:w="196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bCs/>
                <w:color w:val="5B2FA0"/>
                <w:sz w:val="17"/>
                <w:szCs w:val="17"/>
              </w:rPr>
              <w:t xml:space="preserve">Yes — 5 AI msgs/day, all games free</w:t>
            </w:r>
          </w:p>
        </w:tc>
      </w:tr>
      <w:tr>
        <w:tc>
          <w:tcPr>
            <w:tcW w:type="dxa" w:w="1680"/>
            <w:tcBorders>
              <w:top w:val="single" w:color="D0CCE4" w:sz="4"/>
              <w:left w:val="single" w:color="D0CCE4" w:sz="4"/>
              <w:bottom w:val="single" w:color="D0CCE4" w:sz="4"/>
              <w:right w:val="single" w:color="D0CCE4" w:sz="4"/>
            </w:tcBorders>
            <w:shd w:fill="F3EEFF" w:color="auto" w:val="clear"/>
            <w:tcMar>
              <w:top w:type="dxa" w:w="60"/>
              <w:left w:type="dxa" w:w="100"/>
              <w:bottom w:type="dxa" w:w="60"/>
              <w:right w:type="dxa" w:w="80"/>
            </w:tcMar>
          </w:tcPr>
          <w:p>
            <w:r>
              <w:rPr>
                <w:rFonts w:ascii="Arial" w:cs="Arial" w:eastAsia="Arial" w:hAnsi="Arial"/>
                <w:b/>
                <w:bCs/>
                <w:color w:val="2C1654"/>
                <w:sz w:val="17"/>
                <w:szCs w:val="17"/>
              </w:rPr>
              <w:t xml:space="preserve">Free trial</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7-day free trial</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7-day free trial</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No trial, always free</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14-day free trial</w:t>
            </w:r>
          </w:p>
        </w:tc>
        <w:tc>
          <w:tcPr>
            <w:tcW w:type="dxa" w:w="196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bCs/>
                <w:color w:val="5B2FA0"/>
                <w:sz w:val="17"/>
                <w:szCs w:val="17"/>
              </w:rPr>
              <w:t xml:space="preserve">7-day Pro trial (Task 2.7)</w:t>
            </w:r>
          </w:p>
        </w:tc>
      </w:tr>
      <w:tr>
        <w:tc>
          <w:tcPr>
            <w:tcW w:type="dxa" w:w="1680"/>
            <w:tcBorders>
              <w:top w:val="single" w:color="D0CCE4" w:sz="4"/>
              <w:left w:val="single" w:color="D0CCE4" w:sz="4"/>
              <w:bottom w:val="single" w:color="D0CCE4" w:sz="4"/>
              <w:right w:val="single" w:color="D0CCE4" w:sz="4"/>
            </w:tcBorders>
            <w:shd w:fill="EDE7F6" w:color="auto" w:val="clear"/>
            <w:tcMar>
              <w:top w:type="dxa" w:w="60"/>
              <w:left w:type="dxa" w:w="100"/>
              <w:bottom w:type="dxa" w:w="60"/>
              <w:right w:type="dxa" w:w="80"/>
            </w:tcMar>
          </w:tcPr>
          <w:p>
            <w:r>
              <w:rPr>
                <w:rFonts w:ascii="Arial" w:cs="Arial" w:eastAsia="Arial" w:hAnsi="Arial"/>
                <w:b/>
                <w:bCs/>
                <w:color w:val="2C1654"/>
                <w:sz w:val="17"/>
                <w:szCs w:val="17"/>
              </w:rPr>
              <w:t xml:space="preserve">Monthly price</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$12.99 / mo</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$14.99 / mo</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$4.99 / mo</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$5.99–$8.99 / mo</w:t>
            </w:r>
          </w:p>
        </w:tc>
        <w:tc>
          <w:tcPr>
            <w:tcW w:type="dxa" w:w="196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bCs/>
                <w:color w:val="5B2FA0"/>
                <w:sz w:val="17"/>
                <w:szCs w:val="17"/>
              </w:rPr>
              <w:t xml:space="preserve">TBD — suggest ~$5.99</w:t>
            </w:r>
          </w:p>
        </w:tc>
      </w:tr>
      <w:tr>
        <w:tc>
          <w:tcPr>
            <w:tcW w:type="dxa" w:w="1680"/>
            <w:tcBorders>
              <w:top w:val="single" w:color="D0CCE4" w:sz="4"/>
              <w:left w:val="single" w:color="D0CCE4" w:sz="4"/>
              <w:bottom w:val="single" w:color="D0CCE4" w:sz="4"/>
              <w:right w:val="single" w:color="D0CCE4" w:sz="4"/>
            </w:tcBorders>
            <w:shd w:fill="F3EEFF" w:color="auto" w:val="clear"/>
            <w:tcMar>
              <w:top w:type="dxa" w:w="60"/>
              <w:left w:type="dxa" w:w="100"/>
              <w:bottom w:type="dxa" w:w="60"/>
              <w:right w:type="dxa" w:w="80"/>
            </w:tcMar>
          </w:tcPr>
          <w:p>
            <w:r>
              <w:rPr>
                <w:rFonts w:ascii="Arial" w:cs="Arial" w:eastAsia="Arial" w:hAnsi="Arial"/>
                <w:b/>
                <w:bCs/>
                <w:color w:val="2C1654"/>
                <w:sz w:val="17"/>
                <w:szCs w:val="17"/>
              </w:rPr>
              <w:t xml:space="preserve">Annual saving</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~55% off monthly</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~50% off monthly</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~60% off monthly</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~50% off monthly</w:t>
            </w:r>
          </w:p>
        </w:tc>
        <w:tc>
          <w:tcPr>
            <w:tcW w:type="dxa" w:w="196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bCs/>
                <w:color w:val="5B2FA0"/>
                <w:sz w:val="17"/>
                <w:szCs w:val="17"/>
              </w:rPr>
              <w:t xml:space="preserve">Show "Save 45%" badge prominently</w:t>
            </w:r>
          </w:p>
        </w:tc>
      </w:tr>
      <w:tr>
        <w:tc>
          <w:tcPr>
            <w:tcW w:type="dxa" w:w="1680"/>
            <w:tcBorders>
              <w:top w:val="single" w:color="D0CCE4" w:sz="4"/>
              <w:left w:val="single" w:color="D0CCE4" w:sz="4"/>
              <w:bottom w:val="single" w:color="D0CCE4" w:sz="4"/>
              <w:right w:val="single" w:color="D0CCE4" w:sz="4"/>
            </w:tcBorders>
            <w:shd w:fill="EDE7F6" w:color="auto" w:val="clear"/>
            <w:tcMar>
              <w:top w:type="dxa" w:w="60"/>
              <w:left w:type="dxa" w:w="100"/>
              <w:bottom w:type="dxa" w:w="60"/>
              <w:right w:type="dxa" w:w="80"/>
            </w:tcMar>
          </w:tcPr>
          <w:p>
            <w:r>
              <w:rPr>
                <w:rFonts w:ascii="Arial" w:cs="Arial" w:eastAsia="Arial" w:hAnsi="Arial"/>
                <w:b/>
                <w:bCs/>
                <w:color w:val="2C1654"/>
                <w:sz w:val="17"/>
                <w:szCs w:val="17"/>
              </w:rPr>
              <w:t xml:space="preserve">Lifetime option</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$399.99 one-time</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 $399.99</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No</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No</w:t>
            </w:r>
          </w:p>
        </w:tc>
        <w:tc>
          <w:tcPr>
            <w:tcW w:type="dxa" w:w="196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bCs/>
                <w:color w:val="5B2FA0"/>
                <w:sz w:val="17"/>
                <w:szCs w:val="17"/>
              </w:rPr>
              <w:t xml:space="preserve">Consider after launch</w:t>
            </w:r>
          </w:p>
        </w:tc>
      </w:tr>
      <w:tr>
        <w:tc>
          <w:tcPr>
            <w:tcW w:type="dxa" w:w="1680"/>
            <w:tcBorders>
              <w:top w:val="single" w:color="D0CCE4" w:sz="4"/>
              <w:left w:val="single" w:color="D0CCE4" w:sz="4"/>
              <w:bottom w:val="single" w:color="D0CCE4" w:sz="4"/>
              <w:right w:val="single" w:color="D0CCE4" w:sz="4"/>
            </w:tcBorders>
            <w:shd w:fill="F3EEFF" w:color="auto" w:val="clear"/>
            <w:tcMar>
              <w:top w:type="dxa" w:w="60"/>
              <w:left w:type="dxa" w:w="100"/>
              <w:bottom w:type="dxa" w:w="60"/>
              <w:right w:type="dxa" w:w="80"/>
            </w:tcMar>
          </w:tcPr>
          <w:p>
            <w:r>
              <w:rPr>
                <w:rFonts w:ascii="Arial" w:cs="Arial" w:eastAsia="Arial" w:hAnsi="Arial"/>
                <w:b/>
                <w:bCs/>
                <w:color w:val="2C1654"/>
                <w:sz w:val="17"/>
                <w:szCs w:val="17"/>
              </w:rPr>
              <w:t xml:space="preserve">IAP platform</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Google Play Billing + App Store IAP</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Google Play + App Store</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Google Play + App Store</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Google Play + App Store</w:t>
            </w:r>
          </w:p>
        </w:tc>
        <w:tc>
          <w:tcPr>
            <w:tcW w:type="dxa" w:w="196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bCs/>
                <w:color w:val="5B2FA0"/>
                <w:sz w:val="17"/>
                <w:szCs w:val="17"/>
              </w:rPr>
              <w:t xml:space="preserve">expo-iap (Task 2.8) + Paystack web fallback</w:t>
            </w:r>
          </w:p>
        </w:tc>
      </w:tr>
      <w:tr>
        <w:tc>
          <w:tcPr>
            <w:tcW w:type="dxa" w:w="1680"/>
            <w:tcBorders>
              <w:top w:val="single" w:color="D0CCE4" w:sz="4"/>
              <w:left w:val="single" w:color="D0CCE4" w:sz="4"/>
              <w:bottom w:val="single" w:color="D0CCE4" w:sz="4"/>
              <w:right w:val="single" w:color="D0CCE4" w:sz="4"/>
            </w:tcBorders>
            <w:shd w:fill="EDE7F6" w:color="auto" w:val="clear"/>
            <w:tcMar>
              <w:top w:type="dxa" w:w="60"/>
              <w:left w:type="dxa" w:w="100"/>
              <w:bottom w:type="dxa" w:w="60"/>
              <w:right w:type="dxa" w:w="80"/>
            </w:tcMar>
          </w:tcPr>
          <w:p>
            <w:r>
              <w:rPr>
                <w:rFonts w:ascii="Arial" w:cs="Arial" w:eastAsia="Arial" w:hAnsi="Arial"/>
                <w:b/>
                <w:bCs/>
                <w:color w:val="2C1654"/>
                <w:sz w:val="17"/>
                <w:szCs w:val="17"/>
              </w:rPr>
              <w:t xml:space="preserve">Plan comparison screen</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 table format</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 card format</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Minimal</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Feature list</w:t>
            </w:r>
          </w:p>
        </w:tc>
        <w:tc>
          <w:tcPr>
            <w:tcW w:type="dxa" w:w="196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bCs/>
                <w:color w:val="5B2FA0"/>
                <w:sz w:val="17"/>
                <w:szCs w:val="17"/>
              </w:rPr>
              <w:t xml:space="preserve">Table + animated toggle (Task 2.7)</w:t>
            </w:r>
          </w:p>
        </w:tc>
      </w:tr>
      <w:tr>
        <w:tc>
          <w:tcPr>
            <w:tcW w:type="dxa" w:w="1680"/>
            <w:tcBorders>
              <w:top w:val="single" w:color="D0CCE4" w:sz="4"/>
              <w:left w:val="single" w:color="D0CCE4" w:sz="4"/>
              <w:bottom w:val="single" w:color="D0CCE4" w:sz="4"/>
              <w:right w:val="single" w:color="D0CCE4" w:sz="4"/>
            </w:tcBorders>
            <w:shd w:fill="F3EEFF" w:color="auto" w:val="clear"/>
            <w:tcMar>
              <w:top w:type="dxa" w:w="60"/>
              <w:left w:type="dxa" w:w="100"/>
              <w:bottom w:type="dxa" w:w="60"/>
              <w:right w:type="dxa" w:w="80"/>
            </w:tcMar>
          </w:tcPr>
          <w:p>
            <w:r>
              <w:rPr>
                <w:rFonts w:ascii="Arial" w:cs="Arial" w:eastAsia="Arial" w:hAnsi="Arial"/>
                <w:b/>
                <w:bCs/>
                <w:color w:val="2C1654"/>
                <w:sz w:val="17"/>
                <w:szCs w:val="17"/>
              </w:rPr>
              <w:t xml:space="preserve">Restore purchases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w:t>
            </w:r>
          </w:p>
        </w:tc>
        <w:tc>
          <w:tcPr>
            <w:tcW w:type="dxa" w:w="196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bCs/>
                <w:color w:val="5B2FA0"/>
                <w:sz w:val="17"/>
                <w:szCs w:val="17"/>
              </w:rPr>
              <w:t xml:space="preserve">Required — add to ProScreen (Task 2.7)</w:t>
            </w:r>
          </w:p>
        </w:tc>
      </w:tr>
      <w:tr>
        <w:tc>
          <w:tcPr>
            <w:tcW w:type="dxa" w:w="1680"/>
            <w:tcBorders>
              <w:top w:val="single" w:color="D0CCE4" w:sz="4"/>
              <w:left w:val="single" w:color="D0CCE4" w:sz="4"/>
              <w:bottom w:val="single" w:color="D0CCE4" w:sz="4"/>
              <w:right w:val="single" w:color="D0CCE4" w:sz="4"/>
            </w:tcBorders>
            <w:shd w:fill="EDE7F6" w:color="auto" w:val="clear"/>
            <w:tcMar>
              <w:top w:type="dxa" w:w="60"/>
              <w:left w:type="dxa" w:w="100"/>
              <w:bottom w:type="dxa" w:w="60"/>
              <w:right w:type="dxa" w:w="80"/>
            </w:tcMar>
          </w:tcPr>
          <w:p>
            <w:r>
              <w:rPr>
                <w:rFonts w:ascii="Arial" w:cs="Arial" w:eastAsia="Arial" w:hAnsi="Arial"/>
                <w:b/>
                <w:bCs/>
                <w:color w:val="2C1654"/>
                <w:sz w:val="17"/>
                <w:szCs w:val="17"/>
              </w:rPr>
              <w:t xml:space="preserve">HSA/FSA payment</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Yes (US only)</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No</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No</w:t>
            </w:r>
          </w:p>
        </w:tc>
        <w:tc>
          <w:tcPr>
            <w:tcW w:type="dxa" w:w="168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No</w:t>
            </w:r>
          </w:p>
        </w:tc>
        <w:tc>
          <w:tcPr>
            <w:tcW w:type="dxa" w:w="1960"/>
            <w:tcBorders>
              <w:top w:val="single" w:color="D0CCE4" w:sz="4"/>
              <w:left w:val="single" w:color="D0CCE4" w:sz="4"/>
              <w:bottom w:val="single" w:color="D0CCE4" w:sz="4"/>
              <w:right w:val="single" w:color="D0CCE4" w:sz="4"/>
            </w:tcBorders>
            <w:shd w:fill="F8F7FA" w:color="auto" w:val="clear"/>
            <w:tcMar>
              <w:top w:type="dxa" w:w="60"/>
              <w:left w:type="dxa" w:w="100"/>
              <w:bottom w:type="dxa" w:w="60"/>
              <w:right w:type="dxa" w:w="80"/>
            </w:tcMar>
          </w:tcPr>
          <w:p>
            <w:r>
              <w:rPr>
                <w:rFonts w:ascii="Arial" w:cs="Arial" w:eastAsia="Arial" w:hAnsi="Arial"/>
                <w:b/>
                <w:bCs/>
                <w:color w:val="5B2FA0"/>
                <w:sz w:val="17"/>
                <w:szCs w:val="17"/>
              </w:rPr>
              <w:t xml:space="preserve">Out of scope for v1</w:t>
            </w:r>
          </w:p>
        </w:tc>
      </w:tr>
      <w:tr>
        <w:tc>
          <w:tcPr>
            <w:tcW w:type="dxa" w:w="1680"/>
            <w:tcBorders>
              <w:top w:val="single" w:color="D0CCE4" w:sz="4"/>
              <w:left w:val="single" w:color="D0CCE4" w:sz="4"/>
              <w:bottom w:val="single" w:color="D0CCE4" w:sz="4"/>
              <w:right w:val="single" w:color="D0CCE4" w:sz="4"/>
            </w:tcBorders>
            <w:shd w:fill="F3EEFF" w:color="auto" w:val="clear"/>
            <w:tcMar>
              <w:top w:type="dxa" w:w="60"/>
              <w:left w:type="dxa" w:w="100"/>
              <w:bottom w:type="dxa" w:w="60"/>
              <w:right w:type="dxa" w:w="80"/>
            </w:tcMar>
          </w:tcPr>
          <w:p>
            <w:r>
              <w:rPr>
                <w:rFonts w:ascii="Arial" w:cs="Arial" w:eastAsia="Arial" w:hAnsi="Arial"/>
                <w:b/>
                <w:bCs/>
                <w:color w:val="2C1654"/>
                <w:sz w:val="17"/>
                <w:szCs w:val="17"/>
              </w:rPr>
              <w:t xml:space="preserve">Games / activities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Mindfulness exercises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Breathing + sleep sounds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150+ CBT/DBT exercises</w:t>
            </w:r>
          </w:p>
        </w:tc>
        <w:tc>
          <w:tcPr>
            <w:tcW w:type="dxa" w:w="168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val="false"/>
                <w:bCs w:val="false"/>
                <w:color w:val="1A1A2E"/>
                <w:sz w:val="17"/>
                <w:szCs w:val="17"/>
              </w:rPr>
              <w:t xml:space="preserve">Self-care quests</w:t>
            </w:r>
          </w:p>
        </w:tc>
        <w:tc>
          <w:tcPr>
            <w:tcW w:type="dxa" w:w="1960"/>
            <w:tcBorders>
              <w:top w:val="single" w:color="D0CCE4" w:sz="4"/>
              <w:left w:val="single" w:color="D0CCE4" w:sz="4"/>
              <w:bottom w:val="single" w:color="D0CCE4" w:sz="4"/>
              <w:right w:val="single" w:color="D0CCE4" w:sz="4"/>
            </w:tcBorders>
            <w:shd w:fill="FFFFFF" w:color="auto" w:val="clear"/>
            <w:tcMar>
              <w:top w:type="dxa" w:w="60"/>
              <w:left w:type="dxa" w:w="100"/>
              <w:bottom w:type="dxa" w:w="60"/>
              <w:right w:type="dxa" w:w="80"/>
            </w:tcMar>
          </w:tcPr>
          <w:p>
            <w:r>
              <w:rPr>
                <w:rFonts w:ascii="Arial" w:cs="Arial" w:eastAsia="Arial" w:hAnsi="Arial"/>
                <w:b/>
                <w:bCs/>
                <w:color w:val="5B2FA0"/>
                <w:sz w:val="17"/>
                <w:szCs w:val="17"/>
              </w:rPr>
              <w:t xml:space="preserve">BubblePop + Breathing + Thought Untangler + Zen Garden</w:t>
            </w:r>
          </w:p>
        </w:tc>
      </w:tr>
    </w:tbl>
    <w:p>
      <w:pPr>
        <w:spacing w:after="240" w:before="0"/>
      </w:pPr>
    </w:p>
    <w:p>
      <w:pPr>
        <w:pStyle w:val="Heading2"/>
      </w:pPr>
      <w:r>
        <w:rPr>
          <w:rFonts w:ascii="Arial" w:cs="Arial" w:eastAsia="Arial" w:hAnsi="Arial"/>
          <w:b/>
          <w:bCs/>
          <w:color w:val="5B2FA0"/>
          <w:sz w:val="26"/>
          <w:szCs w:val="26"/>
        </w:rPr>
        <w:t xml:space="preserve">Key Checkout Design Principles (from competitor analysis)</w:t>
      </w:r>
    </w:p>
    <w:p>
      <w:pPr>
        <w:spacing w:after="80" w:before="0"/>
      </w:pPr>
    </w:p>
    <w:p>
      <w:pPr>
        <w:pStyle w:val="ListParagraph"/>
        <w:numPr>
          <w:ilvl w:val="0"/>
          <w:numId w:val="2"/>
        </w:numPr>
        <w:spacing w:after="60" w:before="60"/>
      </w:pPr>
      <w:r>
        <w:rPr>
          <w:rFonts w:ascii="Arial" w:cs="Arial" w:eastAsia="Arial" w:hAnsi="Arial"/>
          <w:b/>
          <w:bCs/>
          <w:color w:val="5B2FA0"/>
          <w:sz w:val="20"/>
          <w:szCs w:val="20"/>
        </w:rPr>
        <w:t xml:space="preserve">Lead with value, not price: </w:t>
      </w:r>
      <w:r>
        <w:rPr>
          <w:rFonts w:ascii="Arial" w:cs="Arial" w:eastAsia="Arial" w:hAnsi="Arial"/>
          <w:color w:val="1A1A2E"/>
          <w:sz w:val="20"/>
          <w:szCs w:val="20"/>
        </w:rPr>
        <w:t xml:space="preserve">Headspace and Calm both show the feature list before any pricing. Users who see what they are paying for convert at 2–3x the rate of those who see a price-first screen.</w:t>
      </w:r>
    </w:p>
    <w:p>
      <w:pPr>
        <w:pStyle w:val="ListParagraph"/>
        <w:numPr>
          <w:ilvl w:val="0"/>
          <w:numId w:val="2"/>
        </w:numPr>
        <w:spacing w:after="60" w:before="60"/>
      </w:pPr>
      <w:r>
        <w:rPr>
          <w:rFonts w:ascii="Arial" w:cs="Arial" w:eastAsia="Arial" w:hAnsi="Arial"/>
          <w:b/>
          <w:bCs/>
          <w:color w:val="5B2FA0"/>
          <w:sz w:val="20"/>
          <w:szCs w:val="20"/>
        </w:rPr>
        <w:t xml:space="preserve">Annual plan as the default selection: </w:t>
      </w:r>
      <w:r>
        <w:rPr>
          <w:rFonts w:ascii="Arial" w:cs="Arial" w:eastAsia="Arial" w:hAnsi="Arial"/>
          <w:color w:val="1A1A2E"/>
          <w:sz w:val="20"/>
          <w:szCs w:val="20"/>
        </w:rPr>
        <w:t xml:space="preserve">All top apps default to the annual toggle with the monthly equivalent shown ("just $4.16/mo"). Monthly is available but de-emphasised. This directly increases LTV.</w:t>
      </w:r>
    </w:p>
    <w:p>
      <w:pPr>
        <w:pStyle w:val="ListParagraph"/>
        <w:numPr>
          <w:ilvl w:val="0"/>
          <w:numId w:val="2"/>
        </w:numPr>
        <w:spacing w:after="60" w:before="60"/>
      </w:pPr>
      <w:r>
        <w:rPr>
          <w:rFonts w:ascii="Arial" w:cs="Arial" w:eastAsia="Arial" w:hAnsi="Arial"/>
          <w:b/>
          <w:bCs/>
          <w:color w:val="5B2FA0"/>
          <w:sz w:val="20"/>
          <w:szCs w:val="20"/>
        </w:rPr>
        <w:t xml:space="preserve">Free trial with no credit card required: </w:t>
      </w:r>
      <w:r>
        <w:rPr>
          <w:rFonts w:ascii="Arial" w:cs="Arial" w:eastAsia="Arial" w:hAnsi="Arial"/>
          <w:color w:val="1A1A2E"/>
          <w:sz w:val="20"/>
          <w:szCs w:val="20"/>
        </w:rPr>
        <w:t xml:space="preserve">Wysa and Finch prove that a permanently-free tier can drive retention without a trial. MoodMate's hybrid — free tier + 7-day Pro trial — captures both audiences.</w:t>
      </w:r>
    </w:p>
    <w:p>
      <w:pPr>
        <w:pStyle w:val="ListParagraph"/>
        <w:numPr>
          <w:ilvl w:val="0"/>
          <w:numId w:val="2"/>
        </w:numPr>
        <w:spacing w:after="60" w:before="60"/>
      </w:pPr>
      <w:r>
        <w:rPr>
          <w:rFonts w:ascii="Arial" w:cs="Arial" w:eastAsia="Arial" w:hAnsi="Arial"/>
          <w:b/>
          <w:bCs/>
          <w:color w:val="5B2FA0"/>
          <w:sz w:val="20"/>
          <w:szCs w:val="20"/>
        </w:rPr>
        <w:t xml:space="preserve">Google Play Billing is non-negotiable: </w:t>
      </w:r>
      <w:r>
        <w:rPr>
          <w:rFonts w:ascii="Arial" w:cs="Arial" w:eastAsia="Arial" w:hAnsi="Arial"/>
          <w:color w:val="1A1A2E"/>
          <w:sz w:val="20"/>
          <w:szCs w:val="20"/>
        </w:rPr>
        <w:t xml:space="preserve">Google Play Store policy requires digital subscription goods to use Play Billing. Paystack alone will result in app removal. expo-iap wraps the native billing API and is the correct solution for Expo apps.</w:t>
      </w:r>
    </w:p>
    <w:p>
      <w:pPr>
        <w:pStyle w:val="ListParagraph"/>
        <w:numPr>
          <w:ilvl w:val="0"/>
          <w:numId w:val="2"/>
        </w:numPr>
        <w:spacing w:after="60" w:before="60"/>
      </w:pPr>
      <w:r>
        <w:rPr>
          <w:rFonts w:ascii="Arial" w:cs="Arial" w:eastAsia="Arial" w:hAnsi="Arial"/>
          <w:b/>
          <w:bCs/>
          <w:color w:val="5B2FA0"/>
          <w:sz w:val="20"/>
          <w:szCs w:val="20"/>
        </w:rPr>
        <w:t xml:space="preserve">Restore Purchases: </w:t>
      </w:r>
      <w:r>
        <w:rPr>
          <w:rFonts w:ascii="Arial" w:cs="Arial" w:eastAsia="Arial" w:hAnsi="Arial"/>
          <w:color w:val="1A1A2E"/>
          <w:sz w:val="20"/>
          <w:szCs w:val="20"/>
        </w:rPr>
        <w:t xml:space="preserve">Required by both Google Play and Apple App Store review guidelines. Omitting it is a rejection reason. It must appear on the paywall screen.</w:t>
      </w:r>
    </w:p>
    <w:p>
      <w:pPr>
        <w:spacing w:after="240" w:before="0"/>
      </w:pPr>
    </w:p>
    <w:p>
      <w:pPr>
        <w:pStyle w:val="Heading2"/>
      </w:pPr>
      <w:r>
        <w:rPr>
          <w:rFonts w:ascii="Arial" w:cs="Arial" w:eastAsia="Arial" w:hAnsi="Arial"/>
          <w:b/>
          <w:bCs/>
          <w:color w:val="5B2FA0"/>
          <w:sz w:val="26"/>
          <w:szCs w:val="26"/>
        </w:rPr>
        <w:t xml:space="preserve">New Games: Design Rationale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80"/>
        <w:gridCol w:w="2380"/>
        <w:gridCol w:w="3200"/>
      </w:tblGrid>
      <w:tr>
        <w:trPr>
          <w:tblHeader/>
        </w:trPr>
        <w:tc>
          <w:tcPr>
            <w:tcW w:type="dxa" w:w="14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r>
              <w:rPr>
                <w:rFonts w:ascii="Arial" w:cs="Arial" w:eastAsia="Arial" w:hAnsi="Arial"/>
                <w:b/>
                <w:bCs/>
                <w:color w:val="FFFFFF"/>
                <w:sz w:val="18"/>
                <w:szCs w:val="18"/>
              </w:rPr>
              <w:t xml:space="preserve">Game</w:t>
            </w:r>
          </w:p>
        </w:tc>
        <w:tc>
          <w:tcPr>
            <w:tcW w:type="dxa" w:w="238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r>
              <w:rPr>
                <w:rFonts w:ascii="Arial" w:cs="Arial" w:eastAsia="Arial" w:hAnsi="Arial"/>
                <w:b/>
                <w:bCs/>
                <w:color w:val="FFFFFF"/>
                <w:sz w:val="18"/>
                <w:szCs w:val="18"/>
              </w:rPr>
              <w:t xml:space="preserve">Therapeutic Basis</w:t>
            </w:r>
          </w:p>
        </w:tc>
        <w:tc>
          <w:tcPr>
            <w:tcW w:type="dxa" w:w="238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r>
              <w:rPr>
                <w:rFonts w:ascii="Arial" w:cs="Arial" w:eastAsia="Arial" w:hAnsi="Arial"/>
                <w:b/>
                <w:bCs/>
                <w:color w:val="FFFFFF"/>
                <w:sz w:val="18"/>
                <w:szCs w:val="18"/>
              </w:rPr>
              <w:t xml:space="preserve">Inspiration</w:t>
            </w:r>
          </w:p>
        </w:tc>
        <w:tc>
          <w:tcPr>
            <w:tcW w:type="dxa" w:w="3200"/>
            <w:tcBorders>
              <w:top w:val="single" w:color="2C1654" w:sz="4"/>
              <w:left w:val="single" w:color="2C1654" w:sz="4"/>
              <w:bottom w:val="single" w:color="2C1654" w:sz="4"/>
              <w:right w:val="single" w:color="2C1654" w:sz="4"/>
            </w:tcBorders>
            <w:shd w:fill="2C1654" w:color="auto" w:val="clear"/>
            <w:tcMar>
              <w:top w:type="dxa" w:w="80"/>
              <w:left w:type="dxa" w:w="120"/>
              <w:bottom w:type="dxa" w:w="80"/>
              <w:right w:type="dxa" w:w="80"/>
            </w:tcMar>
          </w:tcPr>
          <w:p>
            <w:r>
              <w:rPr>
                <w:rFonts w:ascii="Arial" w:cs="Arial" w:eastAsia="Arial" w:hAnsi="Arial"/>
                <w:b/>
                <w:bCs/>
                <w:color w:val="FFFFFF"/>
                <w:sz w:val="18"/>
                <w:szCs w:val="18"/>
              </w:rPr>
              <w:t xml:space="preserve">MoodMate Fit</w:t>
            </w:r>
          </w:p>
        </w:tc>
      </w:tr>
      <w:tr>
        <w:tc>
          <w:tcPr>
            <w:tcW w:type="dxa" w:w="1400"/>
            <w:tcBorders>
              <w:top w:val="single" w:color="D0CCE4" w:sz="4"/>
              <w:left w:val="single" w:color="D0CCE4" w:sz="4"/>
              <w:bottom w:val="single" w:color="D0CCE4" w:sz="4"/>
              <w:right w:val="single" w:color="D0CCE4" w:sz="4"/>
            </w:tcBorders>
            <w:shd w:fill="EDE7F6" w:color="auto" w:val="clear"/>
            <w:tcMar>
              <w:top w:type="dxa" w:w="80"/>
              <w:left w:type="dxa" w:w="120"/>
              <w:bottom w:type="dxa" w:w="80"/>
              <w:right w:type="dxa" w:w="80"/>
            </w:tcMar>
          </w:tcPr>
          <w:p>
            <w:r>
              <w:rPr>
                <w:rFonts w:ascii="Arial" w:cs="Arial" w:eastAsia="Arial" w:hAnsi="Arial"/>
                <w:b/>
                <w:bCs/>
                <w:color w:val="2C1654"/>
                <w:sz w:val="19"/>
                <w:szCs w:val="19"/>
              </w:rPr>
              <w:t xml:space="preserve">Thought Untangler</w:t>
            </w:r>
          </w:p>
        </w:tc>
        <w:tc>
          <w:tcPr>
            <w:tcW w:type="dxa" w:w="2380"/>
            <w:tcBorders>
              <w:top w:val="single" w:color="D0CCE4" w:sz="4"/>
              <w:left w:val="single" w:color="D0CCE4" w:sz="4"/>
              <w:bottom w:val="single" w:color="D0CCE4" w:sz="4"/>
              <w:right w:val="single" w:color="D0CCE4" w:sz="4"/>
            </w:tcBorders>
            <w:shd w:fill="F8F7FA" w:color="auto" w:val="clear"/>
            <w:tcMar>
              <w:top w:type="dxa" w:w="80"/>
              <w:left w:type="dxa" w:w="120"/>
              <w:bottom w:type="dxa" w:w="80"/>
              <w:right w:type="dxa" w:w="80"/>
            </w:tcMar>
          </w:tcPr>
          <w:p>
            <w:r>
              <w:rPr>
                <w:rFonts w:ascii="Arial" w:cs="Arial" w:eastAsia="Arial" w:hAnsi="Arial"/>
                <w:i w:val="false"/>
                <w:iCs w:val="false"/>
                <w:color w:val="1A1A2E"/>
                <w:sz w:val="18"/>
                <w:szCs w:val="18"/>
              </w:rPr>
              <w:t xml:space="preserve">Cognitive Behavioural Therapy (CBT) — specifically cognitive restructuring and identification of cognitive distortions. Clinically validated for anxiety and depression.</w:t>
            </w:r>
          </w:p>
        </w:tc>
        <w:tc>
          <w:tcPr>
            <w:tcW w:type="dxa" w:w="2380"/>
            <w:tcBorders>
              <w:top w:val="single" w:color="D0CCE4" w:sz="4"/>
              <w:left w:val="single" w:color="D0CCE4" w:sz="4"/>
              <w:bottom w:val="single" w:color="D0CCE4" w:sz="4"/>
              <w:right w:val="single" w:color="D0CCE4" w:sz="4"/>
            </w:tcBorders>
            <w:shd w:fill="F8F7FA" w:color="auto" w:val="clear"/>
            <w:tcMar>
              <w:top w:type="dxa" w:w="80"/>
              <w:left w:type="dxa" w:w="120"/>
              <w:bottom w:type="dxa" w:w="80"/>
              <w:right w:type="dxa" w:w="80"/>
            </w:tcMar>
          </w:tcPr>
          <w:p>
            <w:r>
              <w:rPr>
                <w:rFonts w:ascii="Arial" w:cs="Arial" w:eastAsia="Arial" w:hAnsi="Arial"/>
                <w:i w:val="false"/>
                <w:iCs w:val="false"/>
                <w:color w:val="1A1A2E"/>
                <w:sz w:val="18"/>
                <w:szCs w:val="18"/>
              </w:rPr>
              <w:t xml:space="preserve">Wysa's 150+ CBT exercises, Woebot's thought-challenging conversations, SuperBetter's "Bad Guys" mechanic for defeating negative patterns.</w:t>
            </w:r>
          </w:p>
        </w:tc>
        <w:tc>
          <w:tcPr>
            <w:tcW w:type="dxa" w:w="3200"/>
            <w:tcBorders>
              <w:top w:val="single" w:color="D0CCE4" w:sz="4"/>
              <w:left w:val="single" w:color="D0CCE4" w:sz="4"/>
              <w:bottom w:val="single" w:color="D0CCE4" w:sz="4"/>
              <w:right w:val="single" w:color="D0CCE4" w:sz="4"/>
            </w:tcBorders>
            <w:shd w:fill="F8F7FA" w:color="auto" w:val="clear"/>
            <w:tcMar>
              <w:top w:type="dxa" w:w="80"/>
              <w:left w:type="dxa" w:w="120"/>
              <w:bottom w:type="dxa" w:w="80"/>
              <w:right w:type="dxa" w:w="80"/>
            </w:tcMar>
          </w:tcPr>
          <w:p>
            <w:r>
              <w:rPr>
                <w:rFonts w:ascii="Arial" w:cs="Arial" w:eastAsia="Arial" w:hAnsi="Arial"/>
                <w:i w:val="false"/>
                <w:iCs w:val="false"/>
                <w:color w:val="1A1A2E"/>
                <w:sz w:val="18"/>
                <w:szCs w:val="18"/>
              </w:rPr>
              <w:t xml:space="preserve">Extends the existing CBT Thought Diary screen with a game loop. Data (distortion patterns identified) feeds into AI Insights. Rewards XP, reinforcing the streak + gamification system.</w:t>
            </w:r>
          </w:p>
        </w:tc>
      </w:tr>
      <w:tr>
        <w:tc>
          <w:tcPr>
            <w:tcW w:type="dxa" w:w="1400"/>
            <w:tcBorders>
              <w:top w:val="single" w:color="D0CCE4" w:sz="4"/>
              <w:left w:val="single" w:color="D0CCE4" w:sz="4"/>
              <w:bottom w:val="single" w:color="D0CCE4" w:sz="4"/>
              <w:right w:val="single" w:color="D0CCE4" w:sz="4"/>
            </w:tcBorders>
            <w:shd w:fill="EDE7F6" w:color="auto" w:val="clear"/>
            <w:tcMar>
              <w:top w:type="dxa" w:w="80"/>
              <w:left w:type="dxa" w:w="120"/>
              <w:bottom w:type="dxa" w:w="80"/>
              <w:right w:type="dxa" w:w="80"/>
            </w:tcMar>
          </w:tcPr>
          <w:p>
            <w:r>
              <w:rPr>
                <w:rFonts w:ascii="Arial" w:cs="Arial" w:eastAsia="Arial" w:hAnsi="Arial"/>
                <w:b/>
                <w:bCs/>
                <w:color w:val="2C1654"/>
                <w:sz w:val="19"/>
                <w:szCs w:val="19"/>
              </w:rPr>
              <w:t xml:space="preserve">Zen Garden</w:t>
            </w:r>
          </w:p>
        </w:tc>
        <w:tc>
          <w:tcPr>
            <w:tcW w:type="dxa" w:w="2380"/>
            <w:tcBorders>
              <w:top w:val="single" w:color="D0CCE4" w:sz="4"/>
              <w:left w:val="single" w:color="D0CCE4" w:sz="4"/>
              <w:bottom w:val="single" w:color="D0CCE4" w:sz="4"/>
              <w:right w:val="single" w:color="D0CCE4" w:sz="4"/>
            </w:tcBorders>
            <w:shd w:fill="FFFFFF" w:color="auto" w:val="clear"/>
            <w:tcMar>
              <w:top w:type="dxa" w:w="80"/>
              <w:left w:type="dxa" w:w="120"/>
              <w:bottom w:type="dxa" w:w="80"/>
              <w:right w:type="dxa" w:w="80"/>
            </w:tcMar>
          </w:tcPr>
          <w:p>
            <w:r>
              <w:rPr>
                <w:rFonts w:ascii="Arial" w:cs="Arial" w:eastAsia="Arial" w:hAnsi="Arial"/>
                <w:i w:val="false"/>
                <w:iCs w:val="false"/>
                <w:color w:val="1A1A2E"/>
                <w:sz w:val="18"/>
                <w:szCs w:val="18"/>
              </w:rPr>
              <w:t xml:space="preserve">Mindfulness-based stress reduction (MBSR) — specifically sensory grounding and present-moment focus. The act of slow, deliberate drawing activates the parasympathetic nervous system.</w:t>
            </w:r>
          </w:p>
        </w:tc>
        <w:tc>
          <w:tcPr>
            <w:tcW w:type="dxa" w:w="2380"/>
            <w:tcBorders>
              <w:top w:val="single" w:color="D0CCE4" w:sz="4"/>
              <w:left w:val="single" w:color="D0CCE4" w:sz="4"/>
              <w:bottom w:val="single" w:color="D0CCE4" w:sz="4"/>
              <w:right w:val="single" w:color="D0CCE4" w:sz="4"/>
            </w:tcBorders>
            <w:shd w:fill="FFFFFF" w:color="auto" w:val="clear"/>
            <w:tcMar>
              <w:top w:type="dxa" w:w="80"/>
              <w:left w:type="dxa" w:w="120"/>
              <w:bottom w:type="dxa" w:w="80"/>
              <w:right w:type="dxa" w:w="80"/>
            </w:tcMar>
          </w:tcPr>
          <w:p>
            <w:r>
              <w:rPr>
                <w:rFonts w:ascii="Arial" w:cs="Arial" w:eastAsia="Arial" w:hAnsi="Arial"/>
                <w:i w:val="false"/>
                <w:iCs w:val="false"/>
                <w:color w:val="1A1A2E"/>
                <w:sz w:val="18"/>
                <w:szCs w:val="18"/>
              </w:rPr>
              <w:t xml:space="preserve">Calm's soundscapes, Headspace's "mini meditations," and the physical zen garden tradition used in occupational therapy and school counselling settings.</w:t>
            </w:r>
          </w:p>
        </w:tc>
        <w:tc>
          <w:tcPr>
            <w:tcW w:type="dxa" w:w="3200"/>
            <w:tcBorders>
              <w:top w:val="single" w:color="D0CCE4" w:sz="4"/>
              <w:left w:val="single" w:color="D0CCE4" w:sz="4"/>
              <w:bottom w:val="single" w:color="D0CCE4" w:sz="4"/>
              <w:right w:val="single" w:color="D0CCE4" w:sz="4"/>
            </w:tcBorders>
            <w:shd w:fill="FFFFFF" w:color="auto" w:val="clear"/>
            <w:tcMar>
              <w:top w:type="dxa" w:w="80"/>
              <w:left w:type="dxa" w:w="120"/>
              <w:bottom w:type="dxa" w:w="80"/>
              <w:right w:type="dxa" w:w="80"/>
            </w:tcMar>
          </w:tcPr>
          <w:p>
            <w:r>
              <w:rPr>
                <w:rFonts w:ascii="Arial" w:cs="Arial" w:eastAsia="Arial" w:hAnsi="Arial"/>
                <w:i w:val="false"/>
                <w:iCs w:val="false"/>
                <w:color w:val="1A1A2E"/>
                <w:sz w:val="18"/>
                <w:szCs w:val="18"/>
              </w:rPr>
              <w:t xml:space="preserve">No win/lose state removes performance anxiety — rare in the existing game set. Reuses the music player service. Counts as mindfulness minutes toward the daily goal. Appeals to students who prefer creativity over challenge.</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1654" w:sz="4"/>
              <w:left w:val="single" w:color="2C1654" w:sz="4"/>
              <w:bottom w:val="single" w:color="2C1654" w:sz="4"/>
              <w:right w:val="single" w:color="2C1654" w:sz="4"/>
            </w:tcBorders>
            <w:shd w:fill="2C1654" w:color="auto" w:val="clear"/>
            <w:tcMar>
              <w:top w:type="dxa" w:w="300"/>
              <w:left w:type="dxa" w:w="400"/>
              <w:bottom w:type="dxa" w:w="300"/>
              <w:right w:type="dxa" w:w="400"/>
            </w:tcMar>
          </w:tcPr>
          <w:p>
            <w:pPr>
              <w:spacing w:after="80"/>
              <w:jc w:val="center"/>
            </w:pPr>
            <w:r>
              <w:rPr>
                <w:rFonts w:ascii="Arial" w:cs="Arial" w:eastAsia="Arial" w:hAnsi="Arial"/>
                <w:color w:val="BDB5D8"/>
                <w:sz w:val="20"/>
                <w:szCs w:val="20"/>
              </w:rPr>
              <w:t xml:space="preserve">Completing this plan takes MoodMate from a strong local prototype</w:t>
            </w:r>
          </w:p>
          <w:p>
            <w:pPr>
              <w:spacing w:after="80"/>
              <w:jc w:val="center"/>
            </w:pPr>
            <w:r>
              <w:rPr>
                <w:rFonts w:ascii="Arial" w:cs="Arial" w:eastAsia="Arial" w:hAnsi="Arial"/>
                <w:color w:val="BDB5D8"/>
                <w:sz w:val="20"/>
                <w:szCs w:val="20"/>
              </w:rPr>
              <w:t xml:space="preserve">to a shippable, monetisable, production-grade mental wellness app.</w:t>
            </w:r>
          </w:p>
          <w:p>
            <w:pPr>
              <w:jc w:val="center"/>
            </w:pPr>
            <w:r>
              <w:rPr>
                <w:rFonts w:ascii="Arial" w:cs="Arial" w:eastAsia="Arial" w:hAnsi="Arial"/>
                <w:b/>
                <w:bCs/>
                <w:color w:val="FFFFFF"/>
                <w:sz w:val="24"/>
                <w:szCs w:val="24"/>
              </w:rPr>
              <w:t xml:space="preserve">~16 developer-days  •  5 phases  •  99.9% complete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CE4" w:sz="4" w:space="1"/>
      </w:pBdr>
      <w:tabs>
        <w:tab w:val="right" w:pos="9360"/>
      </w:tabs>
      <w:spacing w:before="80"/>
    </w:pPr>
    <w:r>
      <w:rPr>
        <w:rFonts w:ascii="Arial" w:cs="Arial" w:eastAsia="Arial" w:hAnsi="Arial"/>
        <w:color w:val="4A4A6A"/>
        <w:sz w:val="16"/>
        <w:szCs w:val="16"/>
      </w:rPr>
      <w:t xml:space="preserve">MoodMate • Internal Development Plan</w:t>
    </w:r>
    <w:r>
      <w:rPr>
        <w:rFonts w:ascii="Arial" w:cs="Arial" w:eastAsia="Arial" w:hAnsi="Arial"/>
      </w:rPr>
      <w:t xml:space="preserve">	</w:t>
    </w:r>
    <w:r>
      <w:rPr>
        <w:rFonts w:ascii="Arial" w:cs="Arial" w:eastAsia="Arial" w:hAnsi="Arial"/>
        <w:color w:val="4A4A6A"/>
        <w:sz w:val="16"/>
        <w:szCs w:val="16"/>
      </w:rPr>
      <w:t xml:space="preserve">Page </w:t>
    </w:r>
    <w:r>
      <w:rPr>
        <w:rFonts w:ascii="Arial" w:cs="Arial" w:eastAsia="Arial" w:hAnsi="Arial"/>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FA0" w:sz="4" w:space="1"/>
      </w:pBdr>
      <w:tabs>
        <w:tab w:val="right" w:pos="9360"/>
      </w:tabs>
      <w:spacing w:after="0"/>
    </w:pPr>
    <w:r>
      <w:rPr>
        <w:rFonts w:ascii="Arial" w:cs="Arial" w:eastAsia="Arial" w:hAnsi="Arial"/>
        <w:b/>
        <w:bCs/>
        <w:color w:val="5B2FA0"/>
        <w:sz w:val="18"/>
        <w:szCs w:val="18"/>
      </w:rPr>
      <w:t xml:space="preserve">MoodMate  </w:t>
    </w:r>
    <w:r>
      <w:rPr>
        <w:rFonts w:ascii="Arial" w:cs="Arial" w:eastAsia="Arial" w:hAnsi="Arial"/>
        <w:color w:val="4A4A6A"/>
        <w:sz w:val="18"/>
        <w:szCs w:val="18"/>
      </w:rPr>
      <w:t xml:space="preserve">99.9% Completeness Implementation Plan</w:t>
    </w:r>
    <w:r>
      <w:rPr>
        <w:rFonts w:ascii="Arial" w:cs="Arial" w:eastAsia="Arial" w:hAnsi="Arial"/>
      </w:rPr>
      <w:t xml:space="preserve">	</w:t>
    </w:r>
    <w:r>
      <w:rPr>
        <w:rFonts w:ascii="Arial" w:cs="Arial" w:eastAsia="Arial" w:hAnsi="Arial"/>
        <w:color w:val="4A4A6A"/>
        <w:sz w:val="16"/>
        <w:szCs w:val="16"/>
      </w:rPr>
      <w:t xml:space="preserve">Confidential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165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B2F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2026-07-10T17:24:56.273Z</dcterms:created>
  <dcterms:modified xsi:type="dcterms:W3CDTF">2026-07-10T17:24:56.285Z</dcterms:modified>
</cp:coreProperties>
</file>

<file path=docProps/custom.xml><?xml version="1.0" encoding="utf-8"?>
<Properties xmlns="http://schemas.openxmlformats.org/officeDocument/2006/custom-properties" xmlns:vt="http://schemas.openxmlformats.org/officeDocument/2006/docPropsVTypes"/>
</file>