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МИНИСТЕРСТВО ОБРАЗОВАНИЯ И НАУКИ УКРАИНЫ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ХАРЬКОВСКИЙ НАЦИОНАЛЬНЫЙ УНИВЕРСИТЕТ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имени В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hAnsi="Times New Roman" w:hint="default"/>
          <w:sz w:val="36"/>
          <w:szCs w:val="36"/>
          <w:rtl w:val="0"/>
        </w:rPr>
        <w:t>Н</w:t>
      </w:r>
      <w:r>
        <w:rPr>
          <w:rFonts w:ascii="Times New Roman" w:hAnsi="Times New Roman"/>
          <w:sz w:val="36"/>
          <w:szCs w:val="36"/>
          <w:rtl w:val="0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</w:rPr>
        <w:t>КАРАЗИНА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Реферат по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 xml:space="preserve">Управление разработкой программных проектов </w:t>
      </w: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Модели качества процессов ЖЦ ПО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SPICE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it-IT"/>
        </w:rPr>
        <w:t>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Выполнил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и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 xml:space="preserve"> студент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ы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факультета математики и информатики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группы МФ</w:t>
      </w:r>
      <w:r>
        <w:rPr>
          <w:rFonts w:ascii="Times New Roman" w:hAnsi="Times New Roman"/>
          <w:sz w:val="32"/>
          <w:szCs w:val="32"/>
          <w:rtl w:val="0"/>
        </w:rPr>
        <w:t>-</w:t>
      </w:r>
      <w:r>
        <w:rPr>
          <w:rFonts w:ascii="Times New Roman" w:hAnsi="Times New Roman"/>
          <w:sz w:val="32"/>
          <w:szCs w:val="32"/>
          <w:rtl w:val="0"/>
          <w:lang w:val="ru-RU"/>
        </w:rPr>
        <w:t>5</w:t>
      </w:r>
      <w:r>
        <w:rPr>
          <w:rFonts w:ascii="Times New Roman" w:hAnsi="Times New Roman"/>
          <w:sz w:val="32"/>
          <w:szCs w:val="32"/>
          <w:rtl w:val="0"/>
        </w:rPr>
        <w:t>1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Минаев А</w:t>
      </w:r>
      <w:r>
        <w:rPr>
          <w:rFonts w:ascii="Times New Roman" w:hAnsi="Times New Roman"/>
          <w:sz w:val="32"/>
          <w:szCs w:val="32"/>
          <w:rtl w:val="0"/>
        </w:rPr>
        <w:t>.</w:t>
      </w:r>
      <w:r>
        <w:rPr>
          <w:rFonts w:ascii="Times New Roman" w:hAnsi="Times New Roman" w:hint="default"/>
          <w:sz w:val="32"/>
          <w:szCs w:val="32"/>
          <w:rtl w:val="0"/>
        </w:rPr>
        <w:t>Ю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Радченко А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Харьков </w:t>
      </w:r>
      <w:r>
        <w:rPr>
          <w:rFonts w:ascii="Times New Roman" w:hAnsi="Times New Roman"/>
          <w:sz w:val="28"/>
          <w:szCs w:val="28"/>
          <w:rtl w:val="0"/>
        </w:rPr>
        <w:t>2017</w:t>
      </w:r>
    </w:p>
    <w:p>
      <w:pPr>
        <w:pStyle w:val="Body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Содержание</w:t>
      </w:r>
    </w:p>
    <w:p>
      <w:pPr>
        <w:keepNext w:val="1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1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>SPICE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>– происхождение и структура ………………………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>3</w:t>
      </w:r>
    </w:p>
    <w:p>
      <w:pPr>
        <w:keepNext w:val="1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240" w:after="240" w:line="240" w:lineRule="auto"/>
        <w:ind w:right="0"/>
        <w:jc w:val="left"/>
        <w:outlineLvl w:val="1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 xml:space="preserve">SDLC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>– происхождение и структура ………………………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>.6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  <w:lang w:val="ru-RU"/>
        </w:rPr>
        <w:br w:type="page"/>
      </w:r>
    </w:p>
    <w:p>
      <w:pPr>
        <w:keepNext w:val="1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240" w:after="240" w:line="240" w:lineRule="auto"/>
        <w:ind w:left="0" w:right="0" w:firstLine="0"/>
        <w:jc w:val="left"/>
        <w:outlineLvl w:val="1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>1.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 xml:space="preserve"> ISO 15504 (SPICE)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ru-RU"/>
        </w:rPr>
        <w:t>– происхождение и структура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Аббревиатура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раскрывается как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Software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Process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Improvement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and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Capability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dEtermination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можно перевести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Основные цели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4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удовлетворение растущих потребностей в оценке возможностей процессов производства ПО в подразделениях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4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гармонизация методов и моделей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используемых для оценки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line">
              <wp:posOffset>1560195</wp:posOffset>
            </wp:positionV>
            <wp:extent cx="4457700" cy="1919605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Проект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был начат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июле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Архитектура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двумерная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и состоит из так называемых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уровней возможностей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их насчитывается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6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плюс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атрибутов процессов и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правила менеджмента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категорий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(5)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 типовых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(29),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 также типовых практик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(200).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.9.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Источники для составления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SPICE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Аттестационные возможности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дает повторяемые результаты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поэтому на их основе можно сравнивать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принимает во внимание контекст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котором выполняются аттестуемые процессы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  <w:drawing>
          <wp:inline distT="0" distB="0" distL="0" distR="0">
            <wp:extent cx="5575936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6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.10.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Состав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ISO 15504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20" w:line="360" w:lineRule="auto"/>
        <w:ind w:left="0" w:right="0"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предлагает достаточно законченную и подробную модель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Модель улучшения процессов 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двумерная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удовлетворенность заказчиков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качество продукции и продуктивность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 другой – возможности персонала и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Собственно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параллельность не является требованием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это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скорее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рекомендация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Оценка процесса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происходит путем сравнения процесса разработки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Анализ результатов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 также внутренние риски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присущие данному процессу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помогает оценить эффективность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Определение возможностей процесса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поставщиком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widowControl w:val="0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организации может появиться понимание необходимости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улучшения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того или иного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 xml:space="preserve"> процесса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Хотя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 уже говорилось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вобрал в себя все самое лучшее из целого ряда популярных стандартов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он не стал простым их объединением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Для того чтобы показать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чем же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 наиболее известных стандартов из мира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 таблице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приведен список уровней возможностей модели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SPICE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4"/>
          <w:szCs w:val="24"/>
          <w:u w:color="000000"/>
          <w:rtl w:val="0"/>
          <w:lang w:val="es-ES_tradnl"/>
        </w:rPr>
        <w:t xml:space="preserve"> 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s-ES_tradnl"/>
        </w:rPr>
        <w:t xml:space="preserve">а данный момент не существует русского перевода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57"/>
        <w:jc w:val="right"/>
        <w:rPr>
          <w:rFonts w:ascii="Times New Roman" w:cs="Times New Roman" w:hAnsi="Times New Roman" w:eastAsia="Times New Roman"/>
          <w:i w:val="0"/>
          <w:iCs w:val="0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 xml:space="preserve">Уровни возможностей процесса в стандарте 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en-US"/>
        </w:rPr>
        <w:t>SPICE</w:t>
      </w:r>
    </w:p>
    <w:tbl>
      <w:tblPr>
        <w:tblW w:w="67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8"/>
        <w:gridCol w:w="4860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Уровни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Название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0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Процесс не выполняется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>Выполняемый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1.1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производительности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Управляемый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производительностью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2.2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созданием продуктов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3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Установленный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Документирование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3.2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Отслеживание ресурсов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4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Предсказуемый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Измерение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4.2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Управление процессом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u w:color="000000"/>
                <w:rtl w:val="0"/>
                <w:lang w:val="ru-RU"/>
              </w:rPr>
              <w:t>5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u w:color="000000"/>
                <w:rtl w:val="0"/>
                <w:lang w:val="es-ES_tradnl"/>
              </w:rPr>
              <w:t>Оптимизирующий процесс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Изменение процесса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/>
                <w:u w:color="000000"/>
                <w:rtl w:val="0"/>
                <w:lang w:val="es-ES_tradnl"/>
              </w:rPr>
              <w:t>5.2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bidi w:val="0"/>
              <w:ind w:left="0" w:right="0" w:firstLine="357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u w:color="000000"/>
                <w:rtl w:val="0"/>
                <w:lang w:val="es-ES_tradnl"/>
              </w:rPr>
              <w:t>Постоянное совершенствование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4"/>
          <w:szCs w:val="24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Сравнение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SPICE </w:t>
      </w: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ru-RU"/>
        </w:rPr>
        <w:t xml:space="preserve">и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ISO 12207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изначально создавался как стандарт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ориентирован на программную индустрию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используется в специфическом контексте разработки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реализует процессный подход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;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предоставляет более детальную модель процессов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во многом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полностью совместим со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SPICE.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ru-RU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  <w:rtl w:val="0"/>
          <w:lang w:val="ru-RU"/>
        </w:rPr>
      </w:pP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2.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SDLC standard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>ISO 12207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является удачной попыткой применения процессного подхода для компаний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разработчиков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Первая редакция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была подготовлена в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1995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году объединенным техническим комитетом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ISO/IEC JTC1 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Информационные технологии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подкомитет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SC7,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проектирование программного обеспечения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Настоящий стандарт устанавливает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используя четко определенную терминологию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общую структуру процессов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lang w:val="ru-RU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lang w:val="ru-RU"/>
        </w:rPr>
        <w:instrText xml:space="preserve"> HYPERLINK "http://click.begun.ru/kick.jsp?url=4vrJyDwKGbW0TlsJvBaWfpF2Pon6bC8DAOemdA81YoFulTbNptYd2KAWAMgJ7MaSwZxT7FYJ8A7GRQUDFm4Zouds3tDqGo3bBu1iXSI8e_C3m3IinK2ZfVHKXOhPpFvrA1Sk_G91QppOGC5c4Kyd-H2b_r8dk3PQ1dArUGNYN76ib9ERvGJu61l50YjjnexYf6UNZyaM1FYcqq-idM5Tiah0_bsvF_paw46uMqhpFGSc55vNWy9FmmD63Q4Jvvgcx4qPocB04-4ybFwMzbBSBFj9Nni4VG_41leH4TRsXh2eNSQj6d27fujW015ApQlyUqRqtsI_hk4hF5OVEC4IbDBQNXMPrk5BOzqBrE8V4M9BZzdibVYVozlH2VecC6XpQQ8R5kk-zEpGahqGNh5BbbT5Jz8t7WuzSE-dXqaylAvmez4KlhwN2g67jbdWgV0QWT-lVGEDTZGlcX4TiTG6qw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  <w:u w:color="000000"/>
          <w:lang w:val="ru-RU"/>
        </w:rPr>
        <w:fldChar w:fldCharType="separate" w:fldLock="0"/>
      </w:r>
      <w:r>
        <w:rPr>
          <w:rStyle w:val="Hyperlink.0"/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жизненного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  <w:fldChar w:fldCharType="end" w:fldLock="0"/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цикла программных средств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 которую можно ориентироваться в программной индустрии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Далее он определяет процессы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работы и задачи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которые используются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приобретении системы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содержащей программные средства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или отдельно поставляемого программного продукта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оказании программной услуги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 также при поставке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разработке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эксплуатации и сопровождении программных продуктов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Понятие программных средств также охватывает программный компонент программно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аппаратных средств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также процесс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который может быть использован при определении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контроле и модернизации процессов жизненного цикла программных средств и набор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предназначенных для адаптации к условиям конкретных программных проектов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Процесс адаптации 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настройки на проект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заключается в исключении неприменяемых в условиях конкретного проекта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работ и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 определению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– базовый стандарт процессов ЖЦ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ориентированный на различные виды ПО и типы проектов разработки информационных систем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Стандарт определяет стратегию и общий порядок в создании и эксплуатации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он охватывает ЖЦ ПО от концептуализации идей до завершения ЖЦ программного продукта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Нужно отметить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процессы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используемые во время ЖЦ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должны быть совместимы с процессами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используемыми во время ЖЦ информационной системы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равносильно ориентирован на организацию действий каждой из двух сторон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поставщик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разработчик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и покупатель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пользователь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может быть в равной степени применен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когда обе стороны – из одной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hint="default"/>
          <w:b w:val="1"/>
          <w:bCs w:val="1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Общая структура стандарта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Процессы ЖЦ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По сравнению с известными стандартами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состоит из гораздо более крупных обобщенных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 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приобретение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поставка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", 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 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Каждый процесс разделен на набор действий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каждое действие – на набор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Очень важное отличие от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9001: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каждый процесс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действие или задача инициируется и выполняется другим процессом по мере необходимости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причем нет заранее определенных последовательностей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естественно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сохранении логики связей по исходным сведениям задач и 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.). </w:t>
      </w: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hint="default"/>
          <w:b w:val="1"/>
          <w:bCs w:val="1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Структура процессов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В стандарте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дана четкая классификация процессов ЖЦ ПО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: 5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основных процессов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8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вспомогательных и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4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организационных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 xml:space="preserve">5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основных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процессов ЖЦ ПО</w:t>
      </w:r>
      <w:r>
        <w:rPr>
          <w:rFonts w:ascii="Times New Roman" w:hAnsi="Times New Roman"/>
          <w:sz w:val="24"/>
          <w:szCs w:val="24"/>
          <w:u w:color="000000"/>
          <w:rtl w:val="0"/>
        </w:rPr>
        <w:t>: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заказа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работы заказчика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которая приобретает систему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программный продукт или программную услугу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поставки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действия предприятия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поставщика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которое снабжает покупателя системой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программным продуктом или сервисом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разработки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работы разработчика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которая проектирует и разрабатывает программный продукт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эксплуатации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работы оператора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которая обеспечивает эксплуатационное обслуживание вычислительной системы в заданных условиях в интересах пользователей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сопровождения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работы персонала сопровождения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 есть организации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которая предоставляет услуги по сопровождению программного продукта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состоящие в контролируемом изменении программного продукта с целью сохранения его исходного состояния и функциональных возможностей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Данный процесс охватывает перенос и снятие с эксплуатации программного продукта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8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вспомогательных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которые поддерживают реализацию другого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будучи неотъемлемой частью всего ЖЦ программного изделия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 обеспечивают должное качество проекта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документирования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процесс управления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конфигурацией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обеспечения качества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верификации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аттестации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совместного анализа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аудита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Body"/>
        <w:numPr>
          <w:ilvl w:val="0"/>
          <w:numId w:val="1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решения проблем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  <w:drawing>
          <wp:inline distT="0" distB="0" distL="0" distR="0">
            <wp:extent cx="3562350" cy="485838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8.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Процессная область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ISO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357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Приводится по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Международному стандарту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ISO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 12207</w:t>
      </w:r>
    </w:p>
    <w:p>
      <w:pPr>
        <w:pStyle w:val="Default"/>
        <w:numPr>
          <w:ilvl w:val="0"/>
          <w:numId w:val="8"/>
        </w:numPr>
        <w:spacing w:before="120" w:line="360" w:lineRule="auto"/>
        <w:jc w:val="both"/>
        <w:rPr>
          <w:rFonts w:ascii="Times New Roman" w:hAnsi="Times New Roman"/>
          <w:sz w:val="24"/>
          <w:szCs w:val="24"/>
          <w:u w:color="000000"/>
          <w:lang w:val="ru-RU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организационных процесса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Они применяются в какой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либо организации для создания и реализации основной структуры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охватывающей взаимосвязанные процессы жизненного цикла и соответствующий персонал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а также для постоянного совершенствования данной структуры и процессов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Эти процессы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 правило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являются типовыми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независимо от области реализации конкретных проектов и договоров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однако уроки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извлеченные из таких проектов и договоров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способствуют совершенствованию организационных вопросов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Body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управления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Body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создания инфраструктуры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усовершенствования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Определяет основные работы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которые организация </w:t>
      </w:r>
      <w:r>
        <w:rPr>
          <w:rFonts w:ascii="Times New Roman" w:hAnsi="Times New Roman"/>
          <w:sz w:val="24"/>
          <w:szCs w:val="24"/>
          <w:u w:color="000000"/>
          <w:rtl w:val="0"/>
        </w:rPr>
        <w:t>(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заказчика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поставщика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разработчика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оператора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персонала сопровождения или администратора другого процесса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выполняет при создании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оценке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контроле и усовершенствовании выбранных процессов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жизненного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 цикла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</w:p>
    <w:p>
      <w:pPr>
        <w:pStyle w:val="Body"/>
        <w:numPr>
          <w:ilvl w:val="0"/>
          <w:numId w:val="1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Процесс обучения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 ним примыкает особый Процесс адаптации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который определяет основные действия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 xml:space="preserve">необходимые для адаптации стандарта 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 условиям конкретного проекта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Каких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либо этапов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фаз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стадий не предусмотрено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что дает описываемую ниже степень адаптивности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hint="default"/>
          <w:b w:val="1"/>
          <w:bCs w:val="1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ru-RU"/>
        </w:rPr>
        <w:t>Особенности</w:t>
      </w:r>
    </w:p>
    <w:p>
      <w:pPr>
        <w:pStyle w:val="Default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  <w:u w:color="000000"/>
          <w:lang w:val="ru-RU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Динамический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характер стандарта определяется способом определения последовательности выполнения процессов и задач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 котором один процесс при необходимости вызывает другой или его часть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8"/>
        </w:numPr>
        <w:spacing w:line="360" w:lineRule="auto"/>
        <w:jc w:val="both"/>
        <w:rPr>
          <w:rFonts w:ascii="Times New Roman" w:hAnsi="Times New Roman" w:hint="default"/>
          <w:sz w:val="24"/>
          <w:szCs w:val="24"/>
          <w:u w:color="00000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Примеры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u w:color="000000"/>
          <w:rtl w:val="0"/>
          <w:lang w:val="ru-RU"/>
        </w:rPr>
        <w:t>.</w:t>
      </w: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line="360" w:lineRule="auto"/>
        <w:ind w:left="0" w:right="0" w:firstLine="360"/>
        <w:jc w:val="both"/>
        <w:rPr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Такой характер позволяет реализовывать любую модель ЖЦ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для всех этапов жизненного цикла программных продуктов разработчик должен самостоятельно разрабатывать комплексы показателей качества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которые совокупности образуют систему показателей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Он также самостоятельно должен выявлять факторы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влияющие на качество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ru-RU"/>
        </w:rPr>
        <w:t>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</w:t>
      </w:r>
      <w:r>
        <w:rPr>
          <w:rFonts w:ascii="Times New Roman" w:hAnsi="Times New Roman"/>
          <w:sz w:val="24"/>
          <w:szCs w:val="24"/>
          <w:u w:color="000000"/>
          <w:rtl w:val="0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7"/>
  </w:abstractNum>
  <w:abstractNum w:abstractNumId="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43"/>
          <w:tab w:val="left" w:pos="720"/>
          <w:tab w:val="num" w:pos="140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9" w:hanging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43"/>
          <w:tab w:val="left" w:pos="72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43"/>
          <w:tab w:val="left" w:pos="720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9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1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204"/>
        </w:tabs>
        <w:ind w:left="58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204"/>
        </w:tabs>
        <w:ind w:left="6557" w:hanging="3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3"/>
  </w:abstractNum>
  <w:abstractNum w:abstractNumId="9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4"/>
  </w:abstractNum>
  <w:abstractNum w:abstractNumId="11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2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39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68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0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20"/>
          <w:tab w:val="left" w:pos="6372"/>
          <w:tab w:val="left" w:pos="7080"/>
          <w:tab w:val="left" w:pos="7788"/>
          <w:tab w:val="left" w:pos="8496"/>
          <w:tab w:val="left" w:pos="9204"/>
        </w:tabs>
        <w:ind w:left="57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➢"/>
        <w:lvlJc w:val="left"/>
        <w:pPr>
          <w:tabs>
            <w:tab w:val="num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83" w:firstLine="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➢"/>
        <w:lvlJc w:val="left"/>
        <w:pPr>
          <w:tabs>
            <w:tab w:val="left" w:pos="643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7">
    <w:name w:val="Imported Style 7"/>
    <w:pPr>
      <w:numPr>
        <w:numId w:val="5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numbering" w:styleId="Imported Style 2">
    <w:name w:val="Imported Style 2"/>
    <w:pPr>
      <w:numPr>
        <w:numId w:val="9"/>
      </w:numPr>
    </w:pPr>
  </w:style>
  <w:style w:type="numbering" w:styleId="Imported Style 3">
    <w:name w:val="Imported Style 3"/>
    <w:pPr>
      <w:numPr>
        <w:numId w:val="11"/>
      </w:numPr>
    </w:pPr>
  </w:style>
  <w:style w:type="numbering" w:styleId="Imported Style 4">
    <w:name w:val="Imported Style 4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