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Risk Register</w:t>
      </w:r>
    </w:p>
    <w:p>
      <w:pPr>
        <w:spacing w:after="160"/>
      </w:pPr>
      <w:r>
        <w:rPr>
          <w:i/>
          <w:iCs/>
          <w:color w:val="595959"/>
        </w:rPr>
        <w:t xml:space="preserve">BinTool - Card BIN Classification &amp; Commission Configuration Tool</w:t>
      </w:r>
    </w:p>
    <w:tbl>
      <w:tblPr>
        <w:tblW w:type="dxa" w:w="14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1150"/>
        <w:gridCol w:w="900"/>
        <w:gridCol w:w="800"/>
        <w:gridCol w:w="950"/>
        <w:gridCol w:w="1250"/>
        <w:gridCol w:w="2600"/>
        <w:gridCol w:w="1150"/>
        <w:gridCol w:w="1150"/>
        <w:gridCol w:w="1080"/>
      </w:tblGrid>
      <w:tr>
        <w:trPr>
          <w:tblHeader/>
        </w:trP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Risk Description</w:t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Probability (1-5)</w:t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 (1-5)</w:t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Risk Rank (P x I)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Response Strategy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Response Actions</w:t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R1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R2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R3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R4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R5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R6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R7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R8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R9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>R10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t xml:space="preserve">Field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Category — </w:t>
      </w:r>
      <w:r>
        <w:t xml:space="preserve">Technical, Schedule, Dependency, Compliance/Security, Resource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Probability / Impact — </w:t>
      </w:r>
      <w:r>
        <w:t xml:space="preserve">Rate each on a 1-5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Risk Rank (P x I) — </w:t>
      </w:r>
      <w:r>
        <w:t xml:space="preserve">Probability multiplied by Impact (1-25). Bands: 1-6 Low, 8-12 Medium, 15-25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Response Strategy — </w:t>
      </w:r>
      <w:r>
        <w:t xml:space="preserve">Avoid, Mitigate, Transfer, or Accept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 — </w:t>
      </w:r>
      <w:r>
        <w:t xml:space="preserve">Person accountable for carrying out the response (intern, mentor, compliance,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 Date — </w:t>
      </w:r>
      <w:r>
        <w:t xml:space="preserve">Date the risk was identified or last reviewed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 — </w:t>
      </w:r>
      <w:r>
        <w:t xml:space="preserve">Open, In Progress, Mitigated, or Closed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2026-08-03T11:38:39.767Z</dcterms:created>
  <dcterms:modified xsi:type="dcterms:W3CDTF">2026-08-03T11:38:39.769Z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