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BIN Import CSV Layout</w:t>
      </w:r>
    </w:p>
    <w:p>
      <w:pPr>
        <w:spacing w:after="120"/>
      </w:pPr>
      <w:r>
        <w:rPr>
          <w:i/>
          <w:iCs/>
          <w:color w:val="595959"/>
        </w:rPr>
        <w:t xml:space="preserve">BinTool - Card BIN Classification &amp; Commission Configuration Tool</w:t>
      </w:r>
    </w:p>
    <w:p>
      <w:pPr>
        <w:pBdr>
          <w:bottom w:val="single" w:color="BFBFBF" w:sz="6"/>
        </w:pBdr>
        <w:spacing w:after="240" w:before="120"/>
      </w:pPr>
      <w:r>
        <w:t xml:space="preserv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/>
      </w:pPr>
      <w:r>
        <w:t xml:space="preserve">This document defines the column layout for the CSV file used to bulk-import BIN (Bank Identification Number) ranges into BinTool. It is intended as the agreed format between the development team and the mentor before the import service (Story 3.2) is implemented.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must include a header 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Comma-delimited (.csv)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UTF-8 encoding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BIN range per row</w:t>
      </w:r>
    </w:p>
    <w:p>
      <w:pPr>
        <w:pStyle w:val="Heading1"/>
        <w:spacing w:after="120" w:before="240"/>
      </w:pPr>
      <w:r>
        <w:t xml:space="preserve">2. Column Specification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300"/>
        <w:gridCol w:w="1000"/>
        <w:gridCol w:w="2400"/>
        <w:gridCol w:w="3500"/>
      </w:tblGrid>
      <w:tr>
        <w:trPr>
          <w:tblHeader/>
        </w:trP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Validation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Prefix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BinRange.Prefix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6-8 digits, unique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CardScheme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CardScheme.Name (lookup)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Must match an existing scheme name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ProductType.Name (lookup)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Must match an existing product type name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FundingType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FundingType.Name (lookup)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Must match an existing funding type name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CountryCode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Country.IsoCode (lookup)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 3166-1 alpha-2, must exist in Countries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ValidFrom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BinRange.ValidFrom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 yyyy-MM-dd</w:t>
            </w:r>
          </w:p>
        </w:tc>
      </w:tr>
      <w:tr>
        <w:tc>
          <w:tcPr>
            <w:tcW w:type="dxa" w:w="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ValidTo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BinRange.ValidTo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 yyyy-MM-dd, blank = open-ended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Note: PrefixLength is not a CSV column. It is derived automatically from Prefix.Length during import, so it cannot be submitted inconsistently with the prefix itself.</w:t>
      </w:r>
    </w:p>
    <w:p>
      <w:pPr>
        <w:pStyle w:val="Heading1"/>
        <w:spacing w:after="120" w:before="240"/>
      </w:pPr>
      <w:r>
        <w:t xml:space="preserve">3. Valid Lookup Values</w:t>
      </w:r>
    </w:p>
    <w:p>
      <w:pPr>
        <w:spacing w:after="120"/>
      </w:pPr>
      <w:r>
        <w:t xml:space="preserve">The values below reflect the reference data currently seeded in the database. Any value outside this list will cause the row to be rejected.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3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Lookup</w:t>
            </w:r>
          </w:p>
        </w:tc>
        <w:tc>
          <w:tcPr>
            <w:tcW w:type="dxa" w:w="8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 values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CardScheme</w:t>
            </w:r>
          </w:p>
        </w:tc>
        <w:tc>
          <w:tcPr>
            <w:tcW w:type="dxa" w:w="8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Visa, Mastercard, American Express, Diners Club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ProductType</w:t>
            </w:r>
          </w:p>
        </w:tc>
        <w:tc>
          <w:tcPr>
            <w:tcW w:type="dxa" w:w="8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Consumer, Commercial, Prepaid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FundingType</w:t>
            </w:r>
          </w:p>
        </w:tc>
        <w:tc>
          <w:tcPr>
            <w:tcW w:type="dxa" w:w="8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Credit, Debit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CountryCode</w:t>
            </w:r>
          </w:p>
        </w:tc>
        <w:tc>
          <w:tcPr>
            <w:tcW w:type="dxa" w:w="8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BG, AT, BE, FR, DE, IT, ES, NL, SE, GB, US, CA, JP, CN</w:t>
            </w:r>
          </w:p>
        </w:tc>
      </w:tr>
    </w:tbl>
    <w:p>
      <w:pPr>
        <w:pStyle w:val="Heading1"/>
        <w:spacing w:after="120" w:before="240"/>
      </w:pPr>
      <w:r>
        <w:t xml:space="preserve">4. Example Row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1300"/>
        <w:gridCol w:w="1300"/>
        <w:gridCol w:w="1300"/>
        <w:gridCol w:w="1500"/>
        <w:gridCol w:w="1500"/>
      </w:tblGrid>
      <w:tr>
        <w:trPr>
          <w:tblHeader/>
        </w:trP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CardScheme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FundingType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CountryCode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ValidFrom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ValidTo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400001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400003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GB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2026-12-31</w:t>
            </w:r>
          </w:p>
        </w:tc>
      </w:tr>
    </w:tbl>
    <w:p>
      <w:pPr>
        <w:pStyle w:val="Heading1"/>
        <w:spacing w:after="120" w:before="240"/>
      </w:pPr>
      <w:r>
        <w:t xml:space="preserve">5. Sample Data (20 rows)</w:t>
      </w:r>
    </w:p>
    <w:p>
      <w:pPr>
        <w:spacing w:after="120"/>
      </w:pPr>
      <w:r>
        <w:t xml:space="preserve">A full sample file covering all card schemes, product types, funding types and multiple countries is provided below and as a companion file (bin_import_sample.csv).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1300"/>
        <w:gridCol w:w="1300"/>
        <w:gridCol w:w="1300"/>
        <w:gridCol w:w="1500"/>
        <w:gridCol w:w="1500"/>
      </w:tblGrid>
      <w:tr>
        <w:trPr>
          <w:tblHeader/>
        </w:trP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CardScheme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ProductType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FundingType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CountryCode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ValidFrom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2F549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ValidTo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400001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400002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400003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GB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2026-12-31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400004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Prepaid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451234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2026-12-31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456123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520000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545678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Prepaid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2025-12-31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340000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370001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375999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360000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JP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380055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GB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2024-01-01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2027-06-30</w:t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601100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NL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2024-02-15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554433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2024-02-15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478912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2024-03-01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523456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Mastercard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2024-03-01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341111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2024-03-01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36007788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Consumer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2024-03-01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41234567</w:t>
            </w:r>
          </w:p>
        </w:tc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Visa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Prepaid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Debit</w:t>
            </w:r>
          </w:p>
        </w:tc>
        <w:tc>
          <w:tcPr>
            <w:tcW w:type="dxa" w:w="1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2024-03-01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2025-03-01</w:t>
            </w:r>
          </w:p>
        </w:tc>
      </w:tr>
    </w:tbl>
    <w:p>
      <w:pPr>
        <w:pStyle w:val="Heading1"/>
        <w:spacing w:after="120" w:before="240"/>
      </w:pPr>
      <w:r>
        <w:t xml:space="preserve">6. Error Handling</w:t>
      </w:r>
    </w:p>
    <w:p>
      <w:pPr>
        <w:spacing w:after="120"/>
      </w:pPr>
      <w:r>
        <w:t xml:space="preserve">Rows that fail validation (unknown lookup value, invalid prefix length, malformed date) are skipped and recorded individually rather than failing the whole file.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 rows are recorded in RejectedImportRow with a reason and the raw row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import run is summarized in ImportHistory (ImportedRows, UpdatedRows, RejectedRows, Status)</w:t>
      </w:r>
    </w:p>
    <w:p>
      <w:pPr>
        <w:pStyle w:val="Heading1"/>
        <w:spacing w:after="120" w:before="240"/>
      </w:pPr>
      <w:r>
        <w:t xml:space="preserve">7. Open Questions for Mentor Sign-off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Prefix on import: upsert (update existing row) or reject as an error?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 lookup value: reject just that row, or fail the whole file?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Case sensitivity for CardScheme / ProductType / FundingType / CountryCode matching?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Should ValidTo be required instead of optional (i.e. no open-ended ranges)?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2026-08-03T06:39:19.691Z</dcterms:created>
  <dcterms:modified xsi:type="dcterms:W3CDTF">2026-08-03T06:39:19.692Z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