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BIN Import CSV Layout</w:t>
      </w:r>
    </w:p>
    <w:p>
      <w:pPr>
        <w:spacing w:after="120"/>
      </w:pPr>
      <w:r>
        <w:rPr>
          <w:i/>
          <w:iCs/>
          <w:color w:val="595959"/>
        </w:rPr>
        <w:t xml:space="preserve">BinTool - Card BIN Classification &amp; Commission Configuration Tool</w:t>
      </w:r>
    </w:p>
    <w:p>
      <w:pPr>
        <w:pBdr>
          <w:bottom w:val="single" w:color="BFBFBF" w:sz="6"/>
        </w:pBdr>
        <w:spacing w:after="240" w:before="120"/>
      </w:pPr>
      <w:r>
        <w:t xml:space="preserve"/>
      </w:r>
    </w:p>
    <w:p>
      <w:pPr>
        <w:pStyle w:val="Heading1"/>
        <w:spacing w:after="120" w:before="240"/>
      </w:pPr>
      <w:r>
        <w:t xml:space="preserve">1. Overview</w:t>
      </w:r>
    </w:p>
    <w:p>
      <w:pPr>
        <w:spacing w:after="120"/>
      </w:pPr>
      <w:r>
        <w:t xml:space="preserve">This document defines the column layout for the CSV file used to bulk-import BIN (Bank Identification Number) ranges into BinTool. It is the agreed format between the development team and the mentor, and it now also documents the behaviour of the implemented import service (Story 3.2).</w:t>
      </w:r>
    </w:p>
    <w:p>
      <w:pPr>
        <w:pStyle w:val="ListParagraph"/>
        <w:numPr>
          <w:ilvl w:val="0"/>
          <w:numId w:val="2"/>
        </w:numPr>
        <w:spacing w:after="60"/>
      </w:pPr>
      <w:r>
        <w:t xml:space="preserve">File must include a header row</w:t>
      </w:r>
    </w:p>
    <w:p>
      <w:pPr>
        <w:pStyle w:val="ListParagraph"/>
        <w:numPr>
          <w:ilvl w:val="0"/>
          <w:numId w:val="2"/>
        </w:numPr>
        <w:spacing w:after="60"/>
      </w:pPr>
      <w:r>
        <w:t xml:space="preserve">Comma-delimited (.csv)</w:t>
      </w:r>
    </w:p>
    <w:p>
      <w:pPr>
        <w:pStyle w:val="ListParagraph"/>
        <w:numPr>
          <w:ilvl w:val="0"/>
          <w:numId w:val="2"/>
        </w:numPr>
        <w:spacing w:after="60"/>
      </w:pPr>
      <w:r>
        <w:t xml:space="preserve">UTF-8 encoding</w:t>
      </w:r>
    </w:p>
    <w:p>
      <w:pPr>
        <w:pStyle w:val="ListParagraph"/>
        <w:numPr>
          <w:ilvl w:val="0"/>
          <w:numId w:val="2"/>
        </w:numPr>
        <w:spacing w:after="60"/>
      </w:pPr>
      <w:r>
        <w:t xml:space="preserve">One BIN range per row</w:t>
      </w:r>
    </w:p>
    <w:p>
      <w:pPr>
        <w:pStyle w:val="Heading1"/>
        <w:spacing w:after="120" w:before="240"/>
      </w:pPr>
      <w:r>
        <w:t xml:space="preserve">2. Column Specification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300"/>
        <w:gridCol w:w="1000"/>
        <w:gridCol w:w="2400"/>
        <w:gridCol w:w="3500"/>
      </w:tblGrid>
      <w:tr>
        <w:trPr>
          <w:tblHeader/>
        </w:trPr>
        <w:tc>
          <w:tcPr>
            <w:tcW w:type="dxa" w:w="5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w:t>
            </w:r>
          </w:p>
        </w:tc>
        <w:tc>
          <w:tcPr>
            <w:tcW w:type="dxa" w:w="18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Column</w:t>
            </w:r>
          </w:p>
        </w:tc>
        <w:tc>
          <w:tcPr>
            <w:tcW w:type="dxa" w:w="1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Required</w:t>
            </w:r>
          </w:p>
        </w:tc>
        <w:tc>
          <w:tcPr>
            <w:tcW w:type="dxa" w:w="10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Type</w:t>
            </w:r>
          </w:p>
        </w:tc>
        <w:tc>
          <w:tcPr>
            <w:tcW w:type="dxa" w:w="24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Maps to</w:t>
            </w:r>
          </w:p>
        </w:tc>
        <w:tc>
          <w:tcPr>
            <w:tcW w:type="dxa" w:w="35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Validation</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1</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Prefix</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string</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BinRange.Prefix</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6-8 digits, unique</w:t>
            </w:r>
          </w:p>
        </w:tc>
      </w:tr>
      <w:tr>
        <w:tc>
          <w:tcPr>
            <w:tcW w:type="dxa" w:w="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w:t>
            </w:r>
          </w:p>
        </w:tc>
        <w:tc>
          <w:tcPr>
            <w:tcW w:type="dxa" w:w="1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CardScheme</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string</w:t>
            </w:r>
          </w:p>
        </w:tc>
        <w:tc>
          <w:tcPr>
            <w:tcW w:type="dxa" w:w="2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CardScheme.Name (lookup)</w:t>
            </w:r>
          </w:p>
        </w:tc>
        <w:tc>
          <w:tcPr>
            <w:tcW w:type="dxa" w:w="3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Must match an existing scheme name</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ProductType</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string</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ProductType.Name (lookup)</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Must match an existing product type name</w:t>
            </w:r>
          </w:p>
        </w:tc>
      </w:tr>
      <w:tr>
        <w:tc>
          <w:tcPr>
            <w:tcW w:type="dxa" w:w="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4</w:t>
            </w:r>
          </w:p>
        </w:tc>
        <w:tc>
          <w:tcPr>
            <w:tcW w:type="dxa" w:w="1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FundingType</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string</w:t>
            </w:r>
          </w:p>
        </w:tc>
        <w:tc>
          <w:tcPr>
            <w:tcW w:type="dxa" w:w="2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FundingType.Name (lookup)</w:t>
            </w:r>
          </w:p>
        </w:tc>
        <w:tc>
          <w:tcPr>
            <w:tcW w:type="dxa" w:w="3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Must match an existing funding type name</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5</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CountryCode</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string</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Country.IsoCode (lookup)</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ISO 3166-1 alpha-2, must exist in Countries</w:t>
            </w:r>
          </w:p>
        </w:tc>
      </w:tr>
      <w:tr>
        <w:tc>
          <w:tcPr>
            <w:tcW w:type="dxa" w:w="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6</w:t>
            </w:r>
          </w:p>
        </w:tc>
        <w:tc>
          <w:tcPr>
            <w:tcW w:type="dxa" w:w="1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ValidFrom</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date</w:t>
            </w:r>
          </w:p>
        </w:tc>
        <w:tc>
          <w:tcPr>
            <w:tcW w:type="dxa" w:w="2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BinRange.ValidFrom</w:t>
            </w:r>
          </w:p>
        </w:tc>
        <w:tc>
          <w:tcPr>
            <w:tcW w:type="dxa" w:w="3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Format yyyy-MM-dd</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7</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ValidTo</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date</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BinRange.ValidTo</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Format yyyy-MM-dd, blank = open-ended</w:t>
            </w:r>
          </w:p>
        </w:tc>
      </w:tr>
    </w:tbl>
    <w:p>
      <w:pPr>
        <w:spacing w:after="120"/>
      </w:pPr>
      <w:r>
        <w:t xml:space="preserve"/>
      </w:r>
    </w:p>
    <w:p>
      <w:pPr>
        <w:spacing w:after="120"/>
      </w:pPr>
      <w:r>
        <w:rPr>
          <w:i/>
          <w:iCs/>
        </w:rPr>
        <w:t xml:space="preserve">Note: PrefixLength is not a CSV column. It is derived automatically from Prefix.Length during import, so it cannot be submitted inconsistently with the prefix itself.</w:t>
      </w:r>
    </w:p>
    <w:p>
      <w:pPr>
        <w:pStyle w:val="Heading1"/>
        <w:spacing w:after="120" w:before="240"/>
      </w:pPr>
      <w:r>
        <w:t xml:space="preserve">3. Valid Lookup Values</w:t>
      </w:r>
    </w:p>
    <w:p>
      <w:pPr>
        <w:spacing w:after="120"/>
      </w:pPr>
      <w:r>
        <w:t xml:space="preserve">The values below reflect the reference data currently seeded in the database. Any value outside this list will cause the row to be rejected.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8300"/>
      </w:tblGrid>
      <w:tr>
        <w:trPr>
          <w:tblHeader/>
        </w:trPr>
        <w:tc>
          <w:tcPr>
            <w:tcW w:type="dxa" w:w="22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Lookup</w:t>
            </w:r>
          </w:p>
        </w:tc>
        <w:tc>
          <w:tcPr>
            <w:tcW w:type="dxa" w:w="8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Valid values</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CardScheme</w:t>
            </w:r>
          </w:p>
        </w:tc>
        <w:tc>
          <w:tcPr>
            <w:tcW w:type="dxa" w:w="8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Visa, Mastercard, American Express, Diners Club</w:t>
            </w:r>
          </w:p>
        </w:tc>
      </w:tr>
      <w:tr>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ProductType</w:t>
            </w:r>
          </w:p>
        </w:tc>
        <w:tc>
          <w:tcPr>
            <w:tcW w:type="dxa" w:w="8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Consumer, Commercial, Prepaid</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FundingType</w:t>
            </w:r>
          </w:p>
        </w:tc>
        <w:tc>
          <w:tcPr>
            <w:tcW w:type="dxa" w:w="8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Credit, Debit</w:t>
            </w:r>
          </w:p>
        </w:tc>
      </w:tr>
      <w:tr>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CountryCode</w:t>
            </w:r>
          </w:p>
        </w:tc>
        <w:tc>
          <w:tcPr>
            <w:tcW w:type="dxa" w:w="8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BG, AT, BE, FR, DE, IT, ES, NL, SE, GB, US, CA, JP, CN</w:t>
            </w:r>
          </w:p>
        </w:tc>
      </w:tr>
    </w:tbl>
    <w:p>
      <w:pPr>
        <w:pStyle w:val="Heading1"/>
        <w:spacing w:after="120" w:before="240"/>
      </w:pPr>
      <w:r>
        <w:t xml:space="preserve">4. Example Row</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300"/>
        <w:gridCol w:w="1300"/>
        <w:gridCol w:w="1300"/>
        <w:gridCol w:w="1500"/>
        <w:gridCol w:w="1500"/>
      </w:tblGrid>
      <w:tr>
        <w:trPr>
          <w:tblHeader/>
        </w:trPr>
        <w:tc>
          <w:tcPr>
            <w:tcW w:type="dxa" w:w="1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Prefix</w:t>
            </w:r>
          </w:p>
        </w:tc>
        <w:tc>
          <w:tcPr>
            <w:tcW w:type="dxa" w:w="19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CardScheme</w:t>
            </w:r>
          </w:p>
        </w:tc>
        <w:tc>
          <w:tcPr>
            <w:tcW w:type="dxa" w:w="1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ProductType</w:t>
            </w:r>
          </w:p>
        </w:tc>
        <w:tc>
          <w:tcPr>
            <w:tcW w:type="dxa" w:w="1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FundingType</w:t>
            </w:r>
          </w:p>
        </w:tc>
        <w:tc>
          <w:tcPr>
            <w:tcW w:type="dxa" w:w="1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CountryCode</w:t>
            </w:r>
          </w:p>
        </w:tc>
        <w:tc>
          <w:tcPr>
            <w:tcW w:type="dxa" w:w="15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ValidFrom</w:t>
            </w:r>
          </w:p>
        </w:tc>
        <w:tc>
          <w:tcPr>
            <w:tcW w:type="dxa" w:w="15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ValidTo</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400001</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Visa</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US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400003</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Visa</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Commercial</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GB</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2026-12-31</w:t>
            </w:r>
          </w:p>
        </w:tc>
      </w:tr>
    </w:tbl>
    <w:p>
      <w:pPr>
        <w:pStyle w:val="Heading1"/>
        <w:spacing w:after="120" w:before="240"/>
      </w:pPr>
      <w:r>
        <w:t xml:space="preserve">5. Sample Data (20 rows)</w:t>
      </w:r>
    </w:p>
    <w:p>
      <w:pPr>
        <w:spacing w:after="120"/>
      </w:pPr>
      <w:r>
        <w:t xml:space="preserve">A full sample file covering all card schemes, product types, funding types and multiple countries is provided below and as a companion file (bin_import_sample.csv).</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300"/>
        <w:gridCol w:w="1300"/>
        <w:gridCol w:w="1300"/>
        <w:gridCol w:w="1500"/>
        <w:gridCol w:w="1500"/>
      </w:tblGrid>
      <w:tr>
        <w:trPr>
          <w:tblHeader/>
        </w:trPr>
        <w:tc>
          <w:tcPr>
            <w:tcW w:type="dxa" w:w="1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Prefix</w:t>
            </w:r>
          </w:p>
        </w:tc>
        <w:tc>
          <w:tcPr>
            <w:tcW w:type="dxa" w:w="19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CardScheme</w:t>
            </w:r>
          </w:p>
        </w:tc>
        <w:tc>
          <w:tcPr>
            <w:tcW w:type="dxa" w:w="1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ProductType</w:t>
            </w:r>
          </w:p>
        </w:tc>
        <w:tc>
          <w:tcPr>
            <w:tcW w:type="dxa" w:w="1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FundingType</w:t>
            </w:r>
          </w:p>
        </w:tc>
        <w:tc>
          <w:tcPr>
            <w:tcW w:type="dxa" w:w="1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CountryCode</w:t>
            </w:r>
          </w:p>
        </w:tc>
        <w:tc>
          <w:tcPr>
            <w:tcW w:type="dxa" w:w="15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ValidFrom</w:t>
            </w:r>
          </w:p>
        </w:tc>
        <w:tc>
          <w:tcPr>
            <w:tcW w:type="dxa" w:w="15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ValidTo</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400001</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Visa</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US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400002</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Visa</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Debit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BG</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400003</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Visa</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Commercial</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GB</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2026-12-31</w:t>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400004</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Visa</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Prepaid</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Debit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DE</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451234</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Mastercard</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Commercial</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Debit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BG</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2026-12-31</w:t>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456123</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Mastercard</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US</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520000</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Mastercard</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Debit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FR</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545678</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Mastercard</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Prepaid</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IT</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2025-12-31</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340000</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American Express</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US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370001</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American Express</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Commercial</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CA</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375999</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American Express</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ES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360000</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Diners Club</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JP</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380055</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Diners Club</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Commercial</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GB</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2024-01-01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2027-06-30</w:t>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601100</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Visa</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Debit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NL</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2024-02-15</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554433</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Mastercard</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Commercial</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Debit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SE</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2024-02-15</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478912</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Visa</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AT</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2024-03-01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523456</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Mastercard</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BE</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2024-03-01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341111</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American Express</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Commercial</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Credit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CN</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2024-03-01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36007788</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Diners Club</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Consumer</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Debit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US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2024-03-01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41234567</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Visa</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Prepaid</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Debit</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BG</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2024-03-01</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2025-03-01</w:t>
            </w:r>
          </w:p>
        </w:tc>
      </w:tr>
    </w:tbl>
    <w:p>
      <w:pPr>
        <w:pStyle w:val="Heading1"/>
        <w:spacing w:after="120" w:before="240"/>
      </w:pPr>
      <w:r>
        <w:t xml:space="preserve">6. Import Outcomes &amp; Error Handling</w:t>
      </w:r>
    </w:p>
    <w:p>
      <w:pPr>
        <w:spacing w:after="120"/>
      </w:pPr>
      <w:r>
        <w:t xml:space="preserve">Every data row lands in exactly one of four outcomes. A row that fails validation never fails the whole file, and no row is silently discarded - each one is either stored, counted or recorded with a reason.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4800"/>
      </w:tblGrid>
      <w:tr>
        <w:trPr>
          <w:tblHeader/>
        </w:trPr>
        <w:tc>
          <w:tcPr>
            <w:tcW w:type="dxa" w:w="14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Outcome</w:t>
            </w:r>
          </w:p>
        </w:tc>
        <w:tc>
          <w:tcPr>
            <w:tcW w:type="dxa" w:w="4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Meaning</w:t>
            </w:r>
          </w:p>
        </w:tc>
        <w:tc>
          <w:tcPr>
            <w:tcW w:type="dxa" w:w="48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Where it is recorded</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Inserted</w:t>
            </w:r>
          </w:p>
        </w:tc>
        <w:tc>
          <w:tcPr>
            <w:tcW w:type="dxa" w:w="4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The prefix is new to the database. A prefix whose only record was previously soft-deleted is revived in place rather than duplicated, and counts here.</w:t>
            </w:r>
          </w:p>
        </w:tc>
        <w:tc>
          <w:tcPr>
            <w:tcW w:type="dxa" w:w="4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BinRange (new or revived row); ImportHistory.ImportedRows</w:t>
            </w:r>
          </w:p>
        </w:tc>
      </w:tr>
      <w:tr>
        <w:tc>
          <w:tcPr>
            <w:tcW w:type="dxa" w:w="1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Unchanged</w:t>
            </w:r>
          </w:p>
        </w:tc>
        <w:tc>
          <w:tcPr>
            <w:tcW w:type="dxa" w:w="4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The prefix already exists and every mapped column matches the stored record. Skipped - nothing is written.</w:t>
            </w:r>
          </w:p>
        </w:tc>
        <w:tc>
          <w:tcPr>
            <w:tcW w:type="dxa" w:w="4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Counted only, in the import result</w:t>
            </w:r>
          </w:p>
        </w:tc>
      </w:tr>
      <w:tr>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Conflict</w:t>
            </w:r>
          </w:p>
        </w:tc>
        <w:tc>
          <w:tcPr>
            <w:tcW w:type="dxa" w:w="4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The prefix already exists with at least one differing column. Nothing is overwritten; the row is staged for a decision.</w:t>
            </w:r>
          </w:p>
        </w:tc>
        <w:tc>
          <w:tcPr>
            <w:tcW w:type="dxa" w:w="4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PendingBinConflict (Status = Pending). See section 7.</w:t>
            </w:r>
          </w:p>
        </w:tc>
      </w:tr>
      <w:tr>
        <w:tc>
          <w:tcPr>
            <w:tcW w:type="dxa" w:w="1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Rejected</w:t>
            </w:r>
          </w:p>
        </w:tc>
        <w:tc>
          <w:tcPr>
            <w:tcW w:type="dxa" w:w="4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Unknown lookup value, invalid prefix length, malformed date, or a duplicate of an earlier row in the same file.</w:t>
            </w:r>
          </w:p>
        </w:tc>
        <w:tc>
          <w:tcPr>
            <w:tcW w:type="dxa" w:w="4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RejectedImportRow (reason + raw row); ImportHistory.RejectedRows</w:t>
            </w:r>
          </w:p>
        </w:tc>
      </w:tr>
    </w:tbl>
    <w:p>
      <w:pPr>
        <w:pStyle w:val="ListParagraph"/>
        <w:numPr>
          <w:ilvl w:val="0"/>
          <w:numId w:val="2"/>
        </w:numPr>
        <w:spacing w:after="60"/>
      </w:pPr>
      <w:r>
        <w:t xml:space="preserve">Rejected rows are recorded in RejectedImportRow with a reason and the raw row data</w:t>
      </w:r>
    </w:p>
    <w:p>
      <w:pPr>
        <w:pStyle w:val="ListParagraph"/>
        <w:numPr>
          <w:ilvl w:val="0"/>
          <w:numId w:val="2"/>
        </w:numPr>
        <w:spacing w:after="60"/>
      </w:pPr>
      <w:r>
        <w:t xml:space="preserve">Each import run is summarized in ImportHistory (ImportedRows, UpdatedRows, RejectedRows, Status)</w:t>
      </w:r>
    </w:p>
    <w:p>
      <w:pPr>
        <w:pStyle w:val="ListParagraph"/>
        <w:numPr>
          <w:ilvl w:val="0"/>
          <w:numId w:val="2"/>
        </w:numPr>
        <w:spacing w:after="60"/>
      </w:pPr>
      <w:r>
        <w:t xml:space="preserve">Status is Failed only when every row in the file was rejected; otherwise it is Success</w:t>
      </w:r>
    </w:p>
    <w:p>
      <w:pPr>
        <w:pStyle w:val="ListParagraph"/>
        <w:numPr>
          <w:ilvl w:val="0"/>
          <w:numId w:val="2"/>
        </w:numPr>
        <w:spacing w:after="60"/>
      </w:pPr>
      <w:r>
        <w:t xml:space="preserve">Inserts, revivals, rejections and staged conflicts are written in a single save, so an import run is all-or-nothing at the database level</w:t>
      </w:r>
    </w:p>
    <w:p>
      <w:pPr>
        <w:pStyle w:val="Heading1"/>
        <w:spacing w:after="120" w:before="240"/>
      </w:pPr>
      <w:r>
        <w:t xml:space="preserve">7. Duplicate Prefix Handling (Conflict Workflow)</w:t>
      </w:r>
    </w:p>
    <w:p>
      <w:pPr>
        <w:spacing w:after="120"/>
      </w:pPr>
      <w:r>
        <w:t xml:space="preserve">A prefix that already exists but carries different values is neither rejected nor silently overwritten. Overwriting live BIN data on the strength of an uploaded file is not safe, so the import stages the incoming row and a person decides what happens to it.</w:t>
      </w:r>
    </w:p>
    <w:p>
      <w:pPr>
        <w:pStyle w:val="ListParagraph"/>
        <w:numPr>
          <w:ilvl w:val="0"/>
          <w:numId w:val="2"/>
        </w:numPr>
        <w:spacing w:after="60"/>
      </w:pPr>
      <w:r>
        <w:t xml:space="preserve">The import writes the incoming values to PendingBinConflict with Status = Pending, together with the id of the BIN range it would overwrite and the raw CSV line. The stored BIN range is left untouched.</w:t>
      </w:r>
    </w:p>
    <w:p>
      <w:pPr>
        <w:pStyle w:val="ListParagraph"/>
        <w:numPr>
          <w:ilvl w:val="0"/>
          <w:numId w:val="2"/>
        </w:numPr>
        <w:spacing w:after="60"/>
      </w:pPr>
      <w:r>
        <w:t xml:space="preserve">GET /api/BinCsvImport/conflicts returns the outstanding conflicts, each with a per-field diff (field name, current value, incoming value). The diff is recomputed when it is read, so it stays accurate if the stored record changed after the import.</w:t>
      </w:r>
    </w:p>
    <w:p>
      <w:pPr>
        <w:pStyle w:val="ListParagraph"/>
        <w:numPr>
          <w:ilvl w:val="0"/>
          <w:numId w:val="2"/>
        </w:numPr>
        <w:spacing w:after="60"/>
      </w:pPr>
      <w:r>
        <w:t xml:space="preserve">POST /api/BinCsvImport/resolve-conflicts applies one decision per conflict. Update writes the imported values onto the existing BIN range, keeping the same record and its creation audit fields. Discard keeps the stored record and drops the imported row.</w:t>
      </w:r>
    </w:p>
    <w:p>
      <w:pPr>
        <w:pStyle w:val="ListParagraph"/>
        <w:numPr>
          <w:ilvl w:val="0"/>
          <w:numId w:val="2"/>
        </w:numPr>
        <w:spacing w:after="60"/>
      </w:pPr>
      <w:r>
        <w:t xml:space="preserve">Either decision closes the conflict (Status = Applied or Discarded), and it stops being returned by the conflicts endpoint.</w:t>
      </w:r>
    </w:p>
    <w:p>
      <w:pPr>
        <w:spacing w:after="120"/>
      </w:pPr>
      <w:r>
        <w:t xml:space="preserve">Two consequences worth noting:</w:t>
      </w:r>
    </w:p>
    <w:p>
      <w:pPr>
        <w:pStyle w:val="ListParagraph"/>
        <w:numPr>
          <w:ilvl w:val="0"/>
          <w:numId w:val="2"/>
        </w:numPr>
        <w:spacing w:after="60"/>
      </w:pPr>
      <w:r>
        <w:t xml:space="preserve">Because conflicts are persisted rather than held in memory, the review list survives a page reload or an application restart - the file does not have to be uploaded again.</w:t>
      </w:r>
    </w:p>
    <w:p>
      <w:pPr>
        <w:pStyle w:val="ListParagraph"/>
        <w:numPr>
          <w:ilvl w:val="0"/>
          <w:numId w:val="2"/>
        </w:numPr>
        <w:spacing w:after="60"/>
      </w:pPr>
      <w:r>
        <w:t xml:space="preserve">Resolution is idempotent. Ids that are unknown or already resolved are counted under notFoundCount instead of failing the request, so a batch can safely be retried. If the same id is sent twice, the last decision wins.</w:t>
      </w:r>
    </w:p>
    <w:p>
      <w:pPr>
        <w:pStyle w:val="Heading1"/>
        <w:spacing w:after="120" w:before="240"/>
      </w:pPr>
      <w:r>
        <w:t xml:space="preserve">8. Decisions for Mentor Sign-off</w:t>
      </w:r>
    </w:p>
    <w:p>
      <w:pPr>
        <w:spacing w:after="120"/>
      </w:pPr>
      <w:r>
        <w:t xml:space="preserve">The open questions raised in the first draft of this document have been implemented as described below. Please confirm each decision, or state the alternative you would prefer.</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300"/>
        <w:gridCol w:w="1600"/>
      </w:tblGrid>
      <w:tr>
        <w:trPr>
          <w:tblHeader/>
        </w:trPr>
        <w:tc>
          <w:tcPr>
            <w:tcW w:type="dxa" w:w="4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w:t>
            </w:r>
          </w:p>
        </w:tc>
        <w:tc>
          <w:tcPr>
            <w:tcW w:type="dxa" w:w="32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Question</w:t>
            </w:r>
          </w:p>
        </w:tc>
        <w:tc>
          <w:tcPr>
            <w:tcW w:type="dxa" w:w="53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Decision as implemented</w:t>
            </w:r>
          </w:p>
        </w:tc>
        <w:tc>
          <w:tcPr>
            <w:tcW w:type="dxa" w:w="1600"/>
            <w:tcBorders>
              <w:top w:val="single" w:color="BFBFBF" w:sz="2"/>
              <w:left w:val="single" w:color="BFBFBF" w:sz="2"/>
              <w:bottom w:val="single" w:color="BFBFBF" w:sz="2"/>
              <w:right w:val="single" w:color="BFBFBF" w:sz="2"/>
            </w:tcBorders>
            <w:shd w:fill="2F5496" w:val="clear"/>
            <w:tcMar>
              <w:top w:type="dxa" w:w="80"/>
              <w:left w:type="dxa" w:w="100"/>
              <w:bottom w:type="dxa" w:w="80"/>
              <w:right w:type="dxa" w:w="100"/>
            </w:tcMar>
            <w:vAlign w:val="center"/>
          </w:tcPr>
          <w:p>
            <w:r>
              <w:rPr>
                <w:b/>
                <w:bCs/>
                <w:color w:val="FFFFFF"/>
                <w:sz w:val="20"/>
                <w:szCs w:val="20"/>
              </w:rPr>
              <w:t xml:space="preserve">Sign-off</w:t>
            </w:r>
          </w:p>
        </w:tc>
      </w:tr>
      <w:tr>
        <w:tc>
          <w:tcPr>
            <w:tcW w:type="dxa" w:w="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1</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Duplicate Prefix on import: upsert (update existing row) or reject as an error?</w:t>
            </w:r>
          </w:p>
        </w:tc>
        <w:tc>
          <w:tcPr>
            <w:tcW w:type="dxa" w:w="5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Neither. A row identical to the stored record is skipped as Unchanged. A row that differs is staged as a conflict for an explicit update/discard decision (section 7).</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2</w:t>
            </w:r>
          </w:p>
        </w:tc>
        <w:tc>
          <w:tcPr>
            <w:tcW w:type="dxa" w:w="3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Unknown lookup value: reject just that row, or fail the whole file?</w:t>
            </w:r>
          </w:p>
        </w:tc>
        <w:tc>
          <w:tcPr>
            <w:tcW w:type="dxa" w:w="5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Reject just that row, with the reason and the raw row. The rest of the file still imports.</w:t>
            </w:r>
          </w:p>
        </w:tc>
        <w:tc>
          <w:tcPr>
            <w:tcW w:type="dxa" w:w="1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r>
        <w:tc>
          <w:tcPr>
            <w:tcW w:type="dxa" w:w="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Case sensitivity for CardScheme / ProductType / FundingType / CountryCode matching?</w:t>
            </w:r>
          </w:p>
        </w:tc>
        <w:tc>
          <w:tcPr>
            <w:tcW w:type="dxa" w:w="5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Case-insensitive. "visa", "Visa" and "VISA" all resolve to the same scheme. Surrounding whitespace is trimmed. No new reference data is ever created by an import.</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
            </w:r>
          </w:p>
        </w:tc>
      </w:tr>
      <w:tr>
        <w:tc>
          <w:tcPr>
            <w:tcW w:type="dxa" w:w="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4</w:t>
            </w:r>
          </w:p>
        </w:tc>
        <w:tc>
          <w:tcPr>
            <w:tcW w:type="dxa" w:w="3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Should ValidTo be required instead of optional (i.e. no open-ended ranges)?</w:t>
            </w:r>
          </w:p>
        </w:tc>
        <w:tc>
          <w:tcPr>
            <w:tcW w:type="dxa" w:w="5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Optional. A blank ValidTo means an open-ended range. When supplied, ValidTo must be later than ValidFrom, otherwise the row is rejected.</w:t>
            </w:r>
          </w:p>
        </w:tc>
        <w:tc>
          <w:tcPr>
            <w:tcW w:type="dxa" w:w="1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sz w:val="20"/>
                <w:szCs w:val="20"/>
              </w:rPr>
              <w:t xml:space="preserve"/>
            </w:r>
          </w:p>
        </w:tc>
      </w:tr>
    </w:tbl>
    <w:p>
      <w:pPr>
        <w:spacing w:after="120"/>
      </w:pPr>
      <w:r>
        <w:t xml:space="preserve">Still open, and raised by the implementation rather than by the original draft:</w:t>
      </w:r>
    </w:p>
    <w:p>
      <w:pPr>
        <w:pStyle w:val="ListParagraph"/>
        <w:numPr>
          <w:ilvl w:val="0"/>
          <w:numId w:val="2"/>
        </w:numPr>
        <w:spacing w:after="60"/>
      </w:pPr>
      <w:r>
        <w:t xml:space="preserve">ImportHistory.UpdatedRows is not incremented when a staged conflict is later applied. Confirm whether an applied conflict should count against the import run that raised it, or be recorded separately.</w:t>
      </w:r>
    </w:p>
    <w:p>
      <w:pPr>
        <w:pStyle w:val="ListParagraph"/>
        <w:numPr>
          <w:ilvl w:val="0"/>
          <w:numId w:val="2"/>
        </w:numPr>
        <w:spacing w:after="60"/>
      </w:pPr>
      <w:r>
        <w:t xml:space="preserve">A CSV can revive a BIN range that was previously soft-deleted, and this currently counts as Inserted. Confirm whether reactivation should be reported as an outcome of its own.</w:t>
      </w:r>
    </w:p>
    <w:p>
      <w:pPr>
        <w:pStyle w:val="ListParagraph"/>
        <w:numPr>
          <w:ilvl w:val="0"/>
          <w:numId w:val="2"/>
        </w:numPr>
        <w:spacing w:after="60"/>
      </w:pPr>
      <w:r>
        <w:t xml:space="preserve">Applying a conflict overwrites live BIN data without writing an AuditEntry. Confirm the audit granularity required for compliance.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2026-08-03T06:39:19.691Z</dcterms:created>
  <dcterms:modified xsi:type="dcterms:W3CDTF">2026-08-03T06:39:19.692Z</dcterms:modified>
</cp:coreProperties>
</file>

<file path=docProps/custom.xml><?xml version="1.0" encoding="utf-8"?>
<Properties xmlns="http://schemas.openxmlformats.org/officeDocument/2006/custom-properties" xmlns:vt="http://schemas.openxmlformats.org/officeDocument/2006/docPropsVTypes"/>
</file>