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FD0" w:rsidRPr="00CC3B05" w:rsidRDefault="00DC7F6A" w:rsidP="00995329">
      <w:pPr>
        <w:pStyle w:val="Titre"/>
        <w:framePr w:hSpace="0" w:wrap="auto" w:vAnchor="margin" w:xAlign="left" w:yAlign="inline"/>
        <w:pBdr>
          <w:bottom w:val="none" w:sz="0" w:space="0" w:color="auto"/>
        </w:pBdr>
        <w:jc w:val="center"/>
        <w:rPr>
          <w:rFonts w:ascii="Microsoft Sans Serif" w:eastAsiaTheme="minorHAnsi" w:hAnsi="Microsoft Sans Serif" w:cs="Microsoft Sans Serif"/>
          <w:color w:val="548DD4" w:themeColor="text2" w:themeTint="99"/>
          <w:sz w:val="40"/>
          <w:szCs w:val="40"/>
        </w:rPr>
      </w:pPr>
      <w:bookmarkStart w:id="0" w:name="_GoBack"/>
      <w:bookmarkEnd w:id="0"/>
      <w:r w:rsidRPr="00CC3B05">
        <w:rPr>
          <w:rFonts w:ascii="Microsoft Sans Serif" w:eastAsiaTheme="minorHAnsi" w:hAnsi="Microsoft Sans Serif" w:cs="Microsoft Sans Serif"/>
          <w:color w:val="548DD4" w:themeColor="text2" w:themeTint="99"/>
          <w:sz w:val="40"/>
          <w:szCs w:val="40"/>
        </w:rPr>
        <w:t>PROJET</w:t>
      </w:r>
      <w:r w:rsidR="00C65FD0" w:rsidRPr="00CC3B05">
        <w:rPr>
          <w:rFonts w:ascii="Microsoft Sans Serif" w:eastAsiaTheme="minorHAnsi" w:hAnsi="Microsoft Sans Serif" w:cs="Microsoft Sans Serif"/>
          <w:color w:val="548DD4" w:themeColor="text2" w:themeTint="99"/>
          <w:sz w:val="40"/>
          <w:szCs w:val="40"/>
        </w:rPr>
        <w:t xml:space="preserve"> FINANCE QUANTITATIVE</w:t>
      </w:r>
    </w:p>
    <w:p w:rsidR="00870854" w:rsidRDefault="00870854" w:rsidP="00995329">
      <w:pPr>
        <w:framePr w:hSpace="0" w:wrap="auto" w:vAnchor="margin" w:xAlign="left" w:yAlign="inline"/>
        <w:jc w:val="both"/>
        <w:rPr>
          <w:rFonts w:eastAsiaTheme="minorHAnsi"/>
          <w:color w:val="548DD4" w:themeColor="text2" w:themeTint="99"/>
          <w:sz w:val="28"/>
          <w:szCs w:val="28"/>
        </w:rPr>
      </w:pPr>
    </w:p>
    <w:p w:rsidR="00995329" w:rsidRPr="00CC3B05" w:rsidRDefault="00995329" w:rsidP="00995329">
      <w:pPr>
        <w:framePr w:hSpace="0" w:wrap="auto" w:vAnchor="margin" w:xAlign="left" w:yAlign="inline"/>
        <w:jc w:val="both"/>
        <w:rPr>
          <w:rFonts w:eastAsiaTheme="minorHAnsi"/>
          <w:color w:val="548DD4" w:themeColor="text2" w:themeTint="99"/>
          <w:sz w:val="28"/>
          <w:szCs w:val="28"/>
        </w:rPr>
      </w:pPr>
      <w:r w:rsidRPr="00CC3B05">
        <w:rPr>
          <w:rFonts w:eastAsiaTheme="minorHAnsi"/>
          <w:color w:val="548DD4" w:themeColor="text2" w:themeTint="99"/>
          <w:sz w:val="28"/>
          <w:szCs w:val="28"/>
        </w:rPr>
        <w:t>LIVRABLES</w:t>
      </w:r>
    </w:p>
    <w:p w:rsidR="00995329" w:rsidRPr="00CC3B05" w:rsidRDefault="00995329" w:rsidP="00995329">
      <w:pPr>
        <w:framePr w:hSpace="0" w:wrap="auto" w:vAnchor="margin" w:xAlign="left" w:yAlign="inline"/>
        <w:jc w:val="both"/>
        <w:rPr>
          <w:rFonts w:eastAsiaTheme="minorHAnsi"/>
          <w:color w:val="auto"/>
          <w:sz w:val="22"/>
          <w:szCs w:val="22"/>
        </w:rPr>
      </w:pPr>
    </w:p>
    <w:p w:rsidR="00D56ABC" w:rsidRPr="00CC3B05" w:rsidRDefault="00D56ABC" w:rsidP="00995329">
      <w:pPr>
        <w:framePr w:hSpace="0" w:wrap="auto" w:vAnchor="margin" w:xAlign="left" w:yAlign="inline"/>
        <w:jc w:val="both"/>
        <w:rPr>
          <w:color w:val="auto"/>
          <w:sz w:val="22"/>
          <w:szCs w:val="22"/>
          <w:lang w:bidi="fr-FR"/>
        </w:rPr>
      </w:pPr>
      <w:r w:rsidRPr="00CC3B05">
        <w:rPr>
          <w:rFonts w:eastAsiaTheme="minorHAnsi"/>
          <w:color w:val="auto"/>
          <w:sz w:val="22"/>
          <w:szCs w:val="22"/>
        </w:rPr>
        <w:t xml:space="preserve">Le </w:t>
      </w:r>
      <w:r w:rsidR="00DC7F6A" w:rsidRPr="00CC3B05">
        <w:rPr>
          <w:rFonts w:eastAsiaTheme="minorHAnsi"/>
          <w:color w:val="auto"/>
          <w:sz w:val="22"/>
          <w:szCs w:val="22"/>
        </w:rPr>
        <w:t>livrable</w:t>
      </w:r>
      <w:r w:rsidRPr="00CC3B05">
        <w:rPr>
          <w:rFonts w:eastAsiaTheme="minorHAnsi"/>
          <w:color w:val="auto"/>
          <w:sz w:val="22"/>
          <w:szCs w:val="22"/>
        </w:rPr>
        <w:t xml:space="preserve"> doit comprendre (au moins)</w:t>
      </w:r>
    </w:p>
    <w:p w:rsidR="00D56ABC" w:rsidRPr="00CC3B05" w:rsidRDefault="00D56AB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613C2" w:rsidRDefault="00D613C2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- les fichiers contenant les données, les codes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et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les résultats</w:t>
      </w:r>
    </w:p>
    <w:p w:rsidR="00870854" w:rsidRPr="00CC3B05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613C2" w:rsidRPr="00CC3B05" w:rsidRDefault="00D613C2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-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u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n fichier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en W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ord /</w:t>
      </w:r>
      <w:proofErr w:type="spellStart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pdf</w:t>
      </w:r>
      <w:proofErr w:type="spellEnd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présentant les analyses,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interprétant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les r</w:t>
      </w:r>
      <w:r w:rsidR="00D56ABC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ésultats,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et </w:t>
      </w:r>
      <w:r w:rsidR="00D56ABC" w:rsidRPr="00CC3B05">
        <w:rPr>
          <w:rFonts w:eastAsiaTheme="minorHAnsi"/>
          <w:noProof w:val="0"/>
          <w:color w:val="auto"/>
          <w:kern w:val="0"/>
          <w:sz w:val="22"/>
          <w:szCs w:val="22"/>
        </w:rPr>
        <w:t>expliquant la démarche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adoptée, etc.</w:t>
      </w:r>
    </w:p>
    <w:p w:rsidR="00D613C2" w:rsidRPr="00CC3B05" w:rsidRDefault="00D613C2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613C2" w:rsidRPr="00CC3B05" w:rsidRDefault="00D613C2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Le travail est à rendre au plus tard</w:t>
      </w:r>
      <w:r w:rsidR="00BC6813" w:rsidRPr="00CC3B05">
        <w:rPr>
          <w:rFonts w:eastAsiaTheme="minorHAnsi"/>
          <w:noProof w:val="0"/>
          <w:color w:val="auto"/>
          <w:kern w:val="0"/>
          <w:sz w:val="22"/>
          <w:szCs w:val="22"/>
        </w:rPr>
        <w:t> </w:t>
      </w:r>
      <w:r w:rsidR="003D1886"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 xml:space="preserve">01 avril </w:t>
      </w:r>
      <w:r w:rsid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>2020</w:t>
      </w:r>
    </w:p>
    <w:p w:rsidR="00DC7F6A" w:rsidRPr="00CC3B05" w:rsidRDefault="00DC7F6A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</w:p>
    <w:p w:rsidR="001B645C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1B645C" w:rsidRPr="00CC3B05" w:rsidRDefault="00995329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548DD4" w:themeColor="text2" w:themeTint="99"/>
          <w:kern w:val="0"/>
          <w:sz w:val="28"/>
          <w:szCs w:val="28"/>
        </w:rPr>
      </w:pPr>
      <w:r w:rsidRPr="00CC3B05">
        <w:rPr>
          <w:rFonts w:eastAsiaTheme="minorHAnsi"/>
          <w:noProof w:val="0"/>
          <w:color w:val="548DD4" w:themeColor="text2" w:themeTint="99"/>
          <w:kern w:val="0"/>
          <w:sz w:val="28"/>
          <w:szCs w:val="28"/>
        </w:rPr>
        <w:t>DESCRIPTION &amp; INPUTS</w:t>
      </w:r>
    </w:p>
    <w:p w:rsidR="006E512B" w:rsidRPr="00CC3B05" w:rsidRDefault="006E512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</w:p>
    <w:p w:rsidR="006E512B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>Données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6E512B" w:rsidRPr="00CC3B05" w:rsidRDefault="006E512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Le fichier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E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xcel correspond aux performances mensuelles des titres qui ont le score ESG </w:t>
      </w:r>
      <w:proofErr w:type="spellStart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disclosures</w:t>
      </w:r>
      <w:proofErr w:type="spellEnd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les plus élevés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(source Bloomberg)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.</w:t>
      </w:r>
    </w:p>
    <w:p w:rsidR="003D1886" w:rsidRPr="00CC3B05" w:rsidRDefault="003D1886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</w:p>
    <w:p w:rsidR="001B645C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>Objectif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C7F6A" w:rsidRPr="00CC3B05" w:rsidRDefault="00DC7F6A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Conception de fonds actions intégrant les critères ESG dans la sélection de valeurs. 2 stratégies seront proposées :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C7F6A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A)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long-</w:t>
      </w:r>
      <w:proofErr w:type="spellStart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only</w:t>
      </w:r>
      <w:proofErr w:type="spellEnd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 : l’objectif de performance du fonds est de battre l’indice S&amp;P 500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C7F6A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B)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long/short : l’objectif est de battre un indice absolu : </w:t>
      </w:r>
      <w:proofErr w:type="spellStart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Eonia</w:t>
      </w:r>
      <w:proofErr w:type="spellEnd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+ 4% </w:t>
      </w:r>
      <w:proofErr w:type="spellStart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p.a</w:t>
      </w:r>
      <w:proofErr w:type="spellEnd"/>
    </w:p>
    <w:p w:rsidR="00DC7F6A" w:rsidRPr="00CC3B05" w:rsidRDefault="00DC7F6A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3D1886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La conception passe la mise en place d’un processus d’investissement qui est structuré autour de :</w:t>
      </w:r>
    </w:p>
    <w:p w:rsidR="00870854" w:rsidRPr="00CC3B05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652B1B" w:rsidRPr="00CC3B05" w:rsidRDefault="00652B1B" w:rsidP="001B645C">
      <w:pPr>
        <w:pStyle w:val="Paragraphedeliste"/>
        <w:framePr w:hSpace="0" w:wrap="auto" w:vAnchor="margin" w:xAlign="left" w:yAlign="inline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la méthode d’analyse et de choix de valeurs. A titre d’exemple,  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BC6813" w:rsidRPr="00CC3B05" w:rsidRDefault="00BC6813" w:rsidP="001B645C">
      <w:pPr>
        <w:pStyle w:val="Paragraphedeliste"/>
        <w:framePr w:hSpace="0" w:wrap="auto" w:vAnchor="margin" w:xAlign="left" w:yAlign="inline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des méthodes traditionnelles (approche basé</w:t>
      </w:r>
      <w:r w:rsidR="003D1886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e</w:t>
      </w:r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 sur modèle factoriel ou de </w:t>
      </w:r>
      <w:proofErr w:type="spellStart"/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Risk</w:t>
      </w:r>
      <w:proofErr w:type="spellEnd"/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/</w:t>
      </w:r>
      <w:proofErr w:type="spellStart"/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Reward</w:t>
      </w:r>
      <w:proofErr w:type="spellEnd"/>
      <w:r w:rsidR="003D1886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 classique</w:t>
      </w:r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)  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Cs/>
          <w:noProof w:val="0"/>
          <w:color w:val="auto"/>
          <w:kern w:val="0"/>
          <w:sz w:val="22"/>
          <w:szCs w:val="22"/>
        </w:rPr>
      </w:pPr>
    </w:p>
    <w:p w:rsidR="00BC6813" w:rsidRPr="00CC3B05" w:rsidRDefault="00652B1B" w:rsidP="001B645C">
      <w:pPr>
        <w:pStyle w:val="Paragraphedeliste"/>
        <w:framePr w:hSpace="0" w:wrap="auto" w:vAnchor="margin" w:xAlign="left" w:yAlign="inline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auto"/>
          <w:sz w:val="22"/>
          <w:szCs w:val="22"/>
        </w:rPr>
      </w:pPr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d</w:t>
      </w:r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es méthodes d’IA ou de machine </w:t>
      </w:r>
      <w:proofErr w:type="spellStart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learning</w:t>
      </w:r>
      <w:proofErr w:type="spellEnd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 (</w:t>
      </w:r>
      <w:proofErr w:type="spellStart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clustering</w:t>
      </w:r>
      <w:proofErr w:type="spellEnd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, </w:t>
      </w:r>
      <w:proofErr w:type="spellStart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text</w:t>
      </w:r>
      <w:proofErr w:type="spellEnd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 </w:t>
      </w:r>
      <w:proofErr w:type="spellStart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mining</w:t>
      </w:r>
      <w:proofErr w:type="spellEnd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, </w:t>
      </w:r>
      <w:r w:rsidR="004D60FD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arbre</w:t>
      </w:r>
      <w:r w:rsidR="004D60FD" w:rsidRPr="00CC3B05">
        <w:rPr>
          <w:color w:val="auto"/>
          <w:sz w:val="22"/>
          <w:szCs w:val="22"/>
        </w:rPr>
        <w:t xml:space="preserve"> Bagging et Forêts Aléatoires,Réseaux de Neurone,</w:t>
      </w:r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…</w:t>
      </w:r>
      <w:r w:rsidR="004D60FD" w:rsidRPr="00CC3B05">
        <w:rPr>
          <w:color w:val="auto"/>
          <w:sz w:val="22"/>
          <w:szCs w:val="22"/>
        </w:rPr>
        <w:t xml:space="preserve"> Support Vecteurs Machine, 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color w:val="auto"/>
          <w:sz w:val="22"/>
          <w:szCs w:val="22"/>
        </w:rPr>
      </w:pPr>
    </w:p>
    <w:p w:rsidR="00652B1B" w:rsidRPr="00CC3B05" w:rsidRDefault="00652B1B" w:rsidP="001B645C">
      <w:pPr>
        <w:pStyle w:val="Paragraphedeliste"/>
        <w:framePr w:hSpace="0" w:wrap="auto" w:vAnchor="margin" w:xAlign="left" w:yAlign="inline"/>
        <w:numPr>
          <w:ilvl w:val="0"/>
          <w:numId w:val="9"/>
        </w:numPr>
        <w:autoSpaceDE w:val="0"/>
        <w:autoSpaceDN w:val="0"/>
        <w:adjustRightInd w:val="0"/>
        <w:ind w:left="284" w:hanging="295"/>
        <w:jc w:val="both"/>
        <w:rPr>
          <w:rFonts w:eastAsiaTheme="minorHAnsi"/>
          <w:bCs/>
          <w:noProof w:val="0"/>
          <w:color w:val="auto"/>
          <w:kern w:val="0"/>
          <w:sz w:val="22"/>
          <w:szCs w:val="22"/>
        </w:rPr>
      </w:pPr>
      <w:r w:rsidRPr="00CC3B05">
        <w:rPr>
          <w:color w:val="auto"/>
          <w:sz w:val="22"/>
          <w:szCs w:val="22"/>
        </w:rPr>
        <w:t>l’approche dans la construction de portefeuille (risque guidelines, limite de turnover, lervier, VaR, tracking error…)</w:t>
      </w:r>
    </w:p>
    <w:p w:rsidR="00BC6813" w:rsidRPr="00CC3B05" w:rsidRDefault="00BC6813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 xml:space="preserve">Back </w:t>
      </w:r>
      <w:proofErr w:type="spellStart"/>
      <w:r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>testing</w:t>
      </w:r>
      <w:proofErr w:type="spellEnd"/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3627EE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Dans cette partie, nous nous basons sur les résultats du back-</w:t>
      </w:r>
      <w:proofErr w:type="spellStart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testing</w:t>
      </w:r>
      <w:proofErr w:type="spellEnd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des 2 fonds. 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</w:pP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  <w:t>Note :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  <w:t>Il est préférable d’intégrer les frais de gestion et de performance dans le back-</w:t>
      </w:r>
      <w:proofErr w:type="spellStart"/>
      <w:r w:rsidRPr="00CC3B05"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  <w:t>testing</w:t>
      </w:r>
      <w:proofErr w:type="spellEnd"/>
      <w:r w:rsidRPr="00CC3B05"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  <w:t xml:space="preserve"> (1% de frais de gestion + 20% de frais de performance par rapport aux benchmarks)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3627EE" w:rsidRPr="00CC3B05" w:rsidRDefault="009F6290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lastRenderedPageBreak/>
        <w:t>Statistiques et indicateurs de performance risque à fournir pour chaque fonds</w:t>
      </w:r>
    </w:p>
    <w:p w:rsidR="003627EE" w:rsidRPr="00CC3B05" w:rsidRDefault="003627EE" w:rsidP="00995329">
      <w:pPr>
        <w:framePr w:hSpace="0" w:wrap="auto" w:vAnchor="margin" w:xAlign="left" w:yAlign="inline"/>
        <w:autoSpaceDE w:val="0"/>
        <w:autoSpaceDN w:val="0"/>
        <w:adjustRightInd w:val="0"/>
        <w:ind w:left="36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3627EE" w:rsidRPr="00CC3B05" w:rsidRDefault="00D613C2" w:rsidP="001B645C">
      <w:pPr>
        <w:pStyle w:val="Paragraphedeliste"/>
        <w:framePr w:hSpace="0" w:wrap="auto" w:vAnchor="margin" w:xAlign="left" w:yAlign="inline"/>
        <w:numPr>
          <w:ilvl w:val="0"/>
          <w:numId w:val="6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Calcul des statistiques descriptives (rendements, volatilités,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autocorrélations, asymétries, kurtosis) sur la totalité de la période.</w:t>
      </w:r>
    </w:p>
    <w:p w:rsidR="003D1886" w:rsidRPr="00CC3B05" w:rsidRDefault="00D613C2" w:rsidP="001B645C">
      <w:pPr>
        <w:pStyle w:val="Paragraphedeliste"/>
        <w:framePr w:hSpace="0" w:wrap="auto" w:vAnchor="margin" w:xAlign="left" w:yAlign="inline"/>
        <w:numPr>
          <w:ilvl w:val="0"/>
          <w:numId w:val="6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Commentez les résultats obtenus. Discutez des propriétés ainsi révélées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(normalité des distributions, marche aléat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oire, importance des événements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extrêmes).</w:t>
      </w:r>
    </w:p>
    <w:p w:rsidR="003D1886" w:rsidRPr="00CC3B05" w:rsidRDefault="00D613C2" w:rsidP="001B645C">
      <w:pPr>
        <w:pStyle w:val="Paragraphedeliste"/>
        <w:framePr w:hSpace="0" w:wrap="auto" w:vAnchor="margin" w:xAlign="left" w:yAlign="inline"/>
        <w:numPr>
          <w:ilvl w:val="0"/>
          <w:numId w:val="6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Calcul des rendements moyens, de la volatilité et de l’autocorrélation par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périodes de 36 mois glissantes – commentez les évolutions observées de ces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variables, les relations entre elles.</w:t>
      </w:r>
    </w:p>
    <w:p w:rsidR="00D613C2" w:rsidRPr="00CC3B05" w:rsidRDefault="00D613C2" w:rsidP="001B645C">
      <w:pPr>
        <w:pStyle w:val="Paragraphedeliste"/>
        <w:framePr w:hSpace="0" w:wrap="auto" w:vAnchor="margin" w:xAlign="left" w:yAlign="inline"/>
        <w:numPr>
          <w:ilvl w:val="0"/>
          <w:numId w:val="6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Evaluation du modèle de marché (avec calcul des alphas)</w:t>
      </w:r>
    </w:p>
    <w:p w:rsidR="003D1886" w:rsidRPr="00CC3B05" w:rsidRDefault="003D1886" w:rsidP="001B645C">
      <w:pPr>
        <w:framePr w:hSpace="0" w:wrap="auto" w:vAnchor="margin" w:xAlign="left" w:yAlign="inline"/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613C2" w:rsidRPr="00CC3B05" w:rsidRDefault="00D613C2" w:rsidP="00995329">
      <w:pPr>
        <w:pStyle w:val="Paragraphedeliste"/>
        <w:framePr w:hSpace="0" w:wrap="auto" w:vAnchor="margin" w:xAlign="left" w:yAlign="inline"/>
        <w:numPr>
          <w:ilvl w:val="1"/>
          <w:numId w:val="7"/>
        </w:numPr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Sur la totalité de la période</w:t>
      </w:r>
    </w:p>
    <w:p w:rsidR="00D613C2" w:rsidRPr="00CC3B05" w:rsidRDefault="00D613C2" w:rsidP="00995329">
      <w:pPr>
        <w:pStyle w:val="Paragraphedeliste"/>
        <w:framePr w:hSpace="0" w:wrap="auto" w:vAnchor="margin" w:xAlign="left" w:yAlign="inline"/>
        <w:numPr>
          <w:ilvl w:val="1"/>
          <w:numId w:val="7"/>
        </w:numPr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Sur des périodes glissantes de 36 mois</w:t>
      </w:r>
    </w:p>
    <w:p w:rsidR="00D613C2" w:rsidRPr="00CC3B05" w:rsidRDefault="00D613C2" w:rsidP="00995329">
      <w:pPr>
        <w:pStyle w:val="Paragraphedeliste"/>
        <w:framePr w:hSpace="0" w:wrap="auto" w:vAnchor="margin" w:xAlign="left" w:yAlign="inline"/>
        <w:numPr>
          <w:ilvl w:val="1"/>
          <w:numId w:val="7"/>
        </w:numPr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A l’aide des précédents résultats, dis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cutez de l’évolution des alphas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et des bêtas, de l’importance relative du risque systém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atique et du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risque spécifique.</w:t>
      </w:r>
    </w:p>
    <w:p w:rsidR="003D1886" w:rsidRPr="00CC3B05" w:rsidRDefault="003D1886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sectPr w:rsidR="003D1886" w:rsidRPr="00CC3B05" w:rsidSect="00870854">
      <w:footerReference w:type="default" r:id="rId8"/>
      <w:pgSz w:w="11906" w:h="16838"/>
      <w:pgMar w:top="993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7AF" w:rsidRDefault="00DC77AF" w:rsidP="00CC3B05">
      <w:pPr>
        <w:framePr w:wrap="around"/>
      </w:pPr>
      <w:r>
        <w:separator/>
      </w:r>
    </w:p>
  </w:endnote>
  <w:endnote w:type="continuationSeparator" w:id="0">
    <w:p w:rsidR="00DC77AF" w:rsidRDefault="00DC77AF" w:rsidP="00CC3B05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B05" w:rsidRPr="00870854" w:rsidRDefault="00CC3B05" w:rsidP="00870854">
    <w:pPr>
      <w:pStyle w:val="Pieddepage"/>
      <w:framePr w:w="11682" w:h="394" w:hRule="exact" w:wrap="around" w:hAnchor="page" w:x="220" w:y="309"/>
      <w:tabs>
        <w:tab w:val="left" w:pos="8789"/>
      </w:tabs>
      <w:ind w:right="334"/>
      <w:rPr>
        <w:color w:val="auto"/>
        <w:sz w:val="20"/>
      </w:rPr>
    </w:pPr>
    <w:r w:rsidRPr="00870854">
      <w:rPr>
        <w:color w:val="auto"/>
        <w:sz w:val="20"/>
      </w:rPr>
      <w:t>PROJET FINANCE QUANTITATIVE – 2019/20</w:t>
    </w:r>
    <w:r w:rsidRPr="00870854">
      <w:rPr>
        <w:color w:val="auto"/>
        <w:sz w:val="20"/>
      </w:rPr>
      <w:tab/>
    </w:r>
    <w:r w:rsidRPr="00870854">
      <w:rPr>
        <w:color w:val="auto"/>
        <w:sz w:val="20"/>
      </w:rPr>
      <w:tab/>
      <w:t>Page</w:t>
    </w:r>
    <w:r w:rsidR="00870854" w:rsidRPr="00870854">
      <w:rPr>
        <w:color w:val="auto"/>
        <w:sz w:val="20"/>
      </w:rPr>
      <w:t xml:space="preserve"> </w:t>
    </w:r>
    <w:r w:rsidRPr="00870854">
      <w:rPr>
        <w:noProof w:val="0"/>
        <w:color w:val="auto"/>
        <w:sz w:val="20"/>
      </w:rPr>
      <w:fldChar w:fldCharType="begin"/>
    </w:r>
    <w:r w:rsidRPr="00870854">
      <w:rPr>
        <w:color w:val="auto"/>
        <w:sz w:val="20"/>
      </w:rPr>
      <w:instrText xml:space="preserve"> PAGE   \* MERGEFORMAT </w:instrText>
    </w:r>
    <w:r w:rsidRPr="00870854">
      <w:rPr>
        <w:noProof w:val="0"/>
        <w:color w:val="auto"/>
        <w:sz w:val="20"/>
      </w:rPr>
      <w:fldChar w:fldCharType="separate"/>
    </w:r>
    <w:r w:rsidR="00C91CE5">
      <w:rPr>
        <w:color w:val="auto"/>
        <w:sz w:val="20"/>
      </w:rPr>
      <w:t>2</w:t>
    </w:r>
    <w:r w:rsidRPr="00870854">
      <w:rPr>
        <w:color w:val="auto"/>
        <w:sz w:val="20"/>
      </w:rPr>
      <w:fldChar w:fldCharType="end"/>
    </w:r>
    <w:r w:rsidR="00870854" w:rsidRPr="00870854">
      <w:rPr>
        <w:color w:val="auto"/>
        <w:sz w:val="20"/>
      </w:rPr>
      <w:t xml:space="preserve"> - 2</w:t>
    </w:r>
  </w:p>
  <w:p w:rsidR="00CC3B05" w:rsidRDefault="00CC3B05">
    <w:pPr>
      <w:pStyle w:val="Pieddepage"/>
      <w:framePr w:wrap="aroun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7AF" w:rsidRDefault="00DC77AF" w:rsidP="00CC3B05">
      <w:pPr>
        <w:framePr w:wrap="around"/>
      </w:pPr>
      <w:r>
        <w:separator/>
      </w:r>
    </w:p>
  </w:footnote>
  <w:footnote w:type="continuationSeparator" w:id="0">
    <w:p w:rsidR="00DC77AF" w:rsidRDefault="00DC77AF" w:rsidP="00CC3B05">
      <w:pPr>
        <w:framePr w:wrap="around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0F0E"/>
    <w:multiLevelType w:val="hybridMultilevel"/>
    <w:tmpl w:val="CC3E0248"/>
    <w:lvl w:ilvl="0" w:tplc="76DA1A2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D3D8A"/>
    <w:multiLevelType w:val="hybridMultilevel"/>
    <w:tmpl w:val="39BA0BC2"/>
    <w:lvl w:ilvl="0" w:tplc="040C0017">
      <w:start w:val="1"/>
      <w:numFmt w:val="lowerLetter"/>
      <w:lvlText w:val="%1)"/>
      <w:lvlJc w:val="left"/>
      <w:pPr>
        <w:ind w:left="1080" w:hanging="72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124A9"/>
    <w:multiLevelType w:val="hybridMultilevel"/>
    <w:tmpl w:val="A73C3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3583"/>
    <w:multiLevelType w:val="hybridMultilevel"/>
    <w:tmpl w:val="537666DA"/>
    <w:lvl w:ilvl="0" w:tplc="040C0017">
      <w:start w:val="1"/>
      <w:numFmt w:val="lowerLetter"/>
      <w:lvlText w:val="%1)"/>
      <w:lvlJc w:val="left"/>
      <w:pPr>
        <w:ind w:left="1080" w:hanging="720"/>
      </w:pPr>
    </w:lvl>
    <w:lvl w:ilvl="1" w:tplc="5A1E8A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F1BFB"/>
    <w:multiLevelType w:val="hybridMultilevel"/>
    <w:tmpl w:val="CC3E0248"/>
    <w:lvl w:ilvl="0" w:tplc="76DA1A2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D322B"/>
    <w:multiLevelType w:val="hybridMultilevel"/>
    <w:tmpl w:val="1E3894F4"/>
    <w:lvl w:ilvl="0" w:tplc="040C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960240"/>
    <w:multiLevelType w:val="hybridMultilevel"/>
    <w:tmpl w:val="A8F2F60E"/>
    <w:lvl w:ilvl="0" w:tplc="C1DA78BE">
      <w:numFmt w:val="bullet"/>
      <w:lvlText w:val="-"/>
      <w:lvlJc w:val="left"/>
      <w:pPr>
        <w:ind w:left="720" w:hanging="360"/>
      </w:pPr>
      <w:rPr>
        <w:rFonts w:ascii="Cambria" w:eastAsiaTheme="minorHAnsi" w:hAnsi="Cambria" w:cs="TrebuchetMS-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15EF8"/>
    <w:multiLevelType w:val="hybridMultilevel"/>
    <w:tmpl w:val="EDD6BEC0"/>
    <w:lvl w:ilvl="0" w:tplc="042EAB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00B57"/>
    <w:multiLevelType w:val="hybridMultilevel"/>
    <w:tmpl w:val="221E2AAA"/>
    <w:lvl w:ilvl="0" w:tplc="3E780D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22"/>
    <w:rsid w:val="00077D31"/>
    <w:rsid w:val="001B645C"/>
    <w:rsid w:val="002D1A33"/>
    <w:rsid w:val="003170CC"/>
    <w:rsid w:val="003627EE"/>
    <w:rsid w:val="003D1886"/>
    <w:rsid w:val="004D60FD"/>
    <w:rsid w:val="00652B1B"/>
    <w:rsid w:val="006E512B"/>
    <w:rsid w:val="00870854"/>
    <w:rsid w:val="00887952"/>
    <w:rsid w:val="00995329"/>
    <w:rsid w:val="009C7CE0"/>
    <w:rsid w:val="009F6290"/>
    <w:rsid w:val="00A22622"/>
    <w:rsid w:val="00BB6E55"/>
    <w:rsid w:val="00BC6813"/>
    <w:rsid w:val="00C65FD0"/>
    <w:rsid w:val="00C91CE5"/>
    <w:rsid w:val="00CC3B05"/>
    <w:rsid w:val="00D56ABC"/>
    <w:rsid w:val="00D613C2"/>
    <w:rsid w:val="00DC77AF"/>
    <w:rsid w:val="00D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22"/>
    <w:pPr>
      <w:framePr w:hSpace="180" w:wrap="around" w:vAnchor="text" w:hAnchor="text" w:x="45" w:y="11138"/>
      <w:spacing w:after="0" w:line="240" w:lineRule="auto"/>
    </w:pPr>
    <w:rPr>
      <w:rFonts w:ascii="Microsoft Sans Serif" w:eastAsia="Times New Roman" w:hAnsi="Microsoft Sans Serif" w:cs="Microsoft Sans Serif"/>
      <w:noProof/>
      <w:color w:val="1F497D" w:themeColor="text2"/>
      <w:kern w:val="28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D1886"/>
    <w:pPr>
      <w:keepNext/>
      <w:keepLines/>
      <w:framePr w:wrap="around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next w:val="Normal"/>
    <w:link w:val="Titre2Car"/>
    <w:qFormat/>
    <w:rsid w:val="00A22622"/>
    <w:pPr>
      <w:keepNext/>
      <w:spacing w:before="240" w:after="240" w:line="240" w:lineRule="auto"/>
      <w:outlineLvl w:val="1"/>
    </w:pPr>
    <w:rPr>
      <w:rFonts w:ascii="Franklin Gothic Demi" w:eastAsia="Times New Roman" w:hAnsi="Franklin Gothic Demi" w:cs="Arial"/>
      <w:b/>
      <w:bCs/>
      <w:iCs/>
      <w:spacing w:val="20"/>
      <w:kern w:val="28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22622"/>
    <w:rPr>
      <w:rFonts w:ascii="Franklin Gothic Demi" w:eastAsia="Times New Roman" w:hAnsi="Franklin Gothic Demi" w:cs="Arial"/>
      <w:b/>
      <w:bCs/>
      <w:iCs/>
      <w:spacing w:val="20"/>
      <w:kern w:val="28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D613C2"/>
    <w:pPr>
      <w:framePr w:wrap="around"/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1886"/>
    <w:rPr>
      <w:rFonts w:asciiTheme="majorHAnsi" w:eastAsiaTheme="majorEastAsia" w:hAnsiTheme="majorHAnsi" w:cstheme="majorBidi"/>
      <w:b/>
      <w:bCs/>
      <w:noProof/>
      <w:color w:val="365F91" w:themeColor="accent1" w:themeShade="BF"/>
      <w:kern w:val="28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65FD0"/>
    <w:pPr>
      <w:framePr w:wrap="around"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5FD0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C3B05"/>
    <w:pPr>
      <w:framePr w:wrap="around"/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3B05"/>
    <w:rPr>
      <w:rFonts w:ascii="Microsoft Sans Serif" w:eastAsia="Times New Roman" w:hAnsi="Microsoft Sans Serif" w:cs="Microsoft Sans Serif"/>
      <w:noProof/>
      <w:color w:val="1F497D" w:themeColor="text2"/>
      <w:kern w:val="28"/>
      <w:sz w:val="24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C3B05"/>
    <w:pPr>
      <w:framePr w:wrap="around"/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3B05"/>
    <w:rPr>
      <w:rFonts w:ascii="Microsoft Sans Serif" w:eastAsia="Times New Roman" w:hAnsi="Microsoft Sans Serif" w:cs="Microsoft Sans Serif"/>
      <w:noProof/>
      <w:color w:val="1F497D" w:themeColor="text2"/>
      <w:kern w:val="28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22"/>
    <w:pPr>
      <w:framePr w:hSpace="180" w:wrap="around" w:vAnchor="text" w:hAnchor="text" w:x="45" w:y="11138"/>
      <w:spacing w:after="0" w:line="240" w:lineRule="auto"/>
    </w:pPr>
    <w:rPr>
      <w:rFonts w:ascii="Microsoft Sans Serif" w:eastAsia="Times New Roman" w:hAnsi="Microsoft Sans Serif" w:cs="Microsoft Sans Serif"/>
      <w:noProof/>
      <w:color w:val="1F497D" w:themeColor="text2"/>
      <w:kern w:val="28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D1886"/>
    <w:pPr>
      <w:keepNext/>
      <w:keepLines/>
      <w:framePr w:wrap="around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next w:val="Normal"/>
    <w:link w:val="Titre2Car"/>
    <w:qFormat/>
    <w:rsid w:val="00A22622"/>
    <w:pPr>
      <w:keepNext/>
      <w:spacing w:before="240" w:after="240" w:line="240" w:lineRule="auto"/>
      <w:outlineLvl w:val="1"/>
    </w:pPr>
    <w:rPr>
      <w:rFonts w:ascii="Franklin Gothic Demi" w:eastAsia="Times New Roman" w:hAnsi="Franklin Gothic Demi" w:cs="Arial"/>
      <w:b/>
      <w:bCs/>
      <w:iCs/>
      <w:spacing w:val="20"/>
      <w:kern w:val="28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22622"/>
    <w:rPr>
      <w:rFonts w:ascii="Franklin Gothic Demi" w:eastAsia="Times New Roman" w:hAnsi="Franklin Gothic Demi" w:cs="Arial"/>
      <w:b/>
      <w:bCs/>
      <w:iCs/>
      <w:spacing w:val="20"/>
      <w:kern w:val="28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D613C2"/>
    <w:pPr>
      <w:framePr w:wrap="around"/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1886"/>
    <w:rPr>
      <w:rFonts w:asciiTheme="majorHAnsi" w:eastAsiaTheme="majorEastAsia" w:hAnsiTheme="majorHAnsi" w:cstheme="majorBidi"/>
      <w:b/>
      <w:bCs/>
      <w:noProof/>
      <w:color w:val="365F91" w:themeColor="accent1" w:themeShade="BF"/>
      <w:kern w:val="28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65FD0"/>
    <w:pPr>
      <w:framePr w:wrap="around"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5FD0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C3B05"/>
    <w:pPr>
      <w:framePr w:wrap="around"/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3B05"/>
    <w:rPr>
      <w:rFonts w:ascii="Microsoft Sans Serif" w:eastAsia="Times New Roman" w:hAnsi="Microsoft Sans Serif" w:cs="Microsoft Sans Serif"/>
      <w:noProof/>
      <w:color w:val="1F497D" w:themeColor="text2"/>
      <w:kern w:val="28"/>
      <w:sz w:val="24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C3B05"/>
    <w:pPr>
      <w:framePr w:wrap="around"/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3B05"/>
    <w:rPr>
      <w:rFonts w:ascii="Microsoft Sans Serif" w:eastAsia="Times New Roman" w:hAnsi="Microsoft Sans Serif" w:cs="Microsoft Sans Serif"/>
      <w:noProof/>
      <w:color w:val="1F497D" w:themeColor="text2"/>
      <w:kern w:val="28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Paris 1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2020-01-25T08:05:00Z</dcterms:created>
  <dcterms:modified xsi:type="dcterms:W3CDTF">2020-01-25T08:05:00Z</dcterms:modified>
</cp:coreProperties>
</file>