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02F7C" w14:textId="72FD3122" w:rsidR="004940BA" w:rsidRDefault="00AA6C86">
      <w:pPr>
        <w:rPr>
          <w:lang w:val="en-US"/>
        </w:rPr>
      </w:pPr>
      <w:r>
        <w:rPr>
          <w:noProof/>
          <w:lang w:val="en-US"/>
        </w:rPr>
        <mc:AlternateContent>
          <mc:Choice Requires="wpg">
            <w:drawing>
              <wp:anchor distT="0" distB="2540" distL="0" distR="635" simplePos="0" relativeHeight="7" behindDoc="1" locked="0" layoutInCell="0" allowOverlap="1" wp14:anchorId="604EEC90" wp14:editId="07777777">
                <wp:simplePos x="0" y="0"/>
                <wp:positionH relativeFrom="page">
                  <wp:posOffset>533400</wp:posOffset>
                </wp:positionH>
                <wp:positionV relativeFrom="page">
                  <wp:posOffset>1924050</wp:posOffset>
                </wp:positionV>
                <wp:extent cx="6857365" cy="7769860"/>
                <wp:effectExtent l="635" t="0" r="0" b="0"/>
                <wp:wrapNone/>
                <wp:docPr id="1" name="Grupa 1"/>
                <wp:cNvGraphicFramePr/>
                <a:graphic xmlns:a="http://schemas.openxmlformats.org/drawingml/2006/main">
                  <a:graphicData uri="http://schemas.microsoft.com/office/word/2010/wordprocessingGroup">
                    <wpg:wgp>
                      <wpg:cNvGrpSpPr/>
                      <wpg:grpSpPr>
                        <a:xfrm>
                          <a:off x="0" y="0"/>
                          <a:ext cx="6857280" cy="7769880"/>
                          <a:chOff x="0" y="0"/>
                          <a:chExt cx="6857280" cy="7769880"/>
                        </a:xfrm>
                      </wpg:grpSpPr>
                      <wps:wsp>
                        <wps:cNvPr id="2" name="Pravokutnik 2"/>
                        <wps:cNvSpPr/>
                        <wps:spPr>
                          <a:xfrm>
                            <a:off x="0" y="2741760"/>
                            <a:ext cx="6857280" cy="502776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wps:style>
                        <wps:txbx>
                          <w:txbxContent>
                            <w:p w14:paraId="584014C2" w14:textId="75EB7C11" w:rsidR="004940BA" w:rsidRDefault="0034607E">
                              <w:pPr>
                                <w:spacing w:before="120"/>
                                <w:jc w:val="center"/>
                                <w:rPr>
                                  <w:color w:val="FFFFFF" w:themeColor="background1"/>
                                </w:rPr>
                              </w:pPr>
                              <w:sdt>
                                <w:sdtPr>
                                  <w:alias w:val="Author"/>
                                  <w:id w:val="-30041688"/>
                                  <w:dataBinding w:prefixMappings="xmlns:ns0='http://purl.org/dc/elements/1.1/' xmlns:ns1='http://schemas.openxmlformats.org/package/2006/metadata/core-properties' " w:xpath="/ns1:coreProperties[1]/ns0:creator[1]" w:storeItemID="{6C3C8BC8-F283-45AE-878A-BAB7291924A1}"/>
                                  <w:text/>
                                </w:sdtPr>
                                <w:sdtEndPr/>
                                <w:sdtContent>
                                  <w:r w:rsidR="00AA6C86">
                                    <w:t>Ime Prezime</w:t>
                                  </w:r>
                                </w:sdtContent>
                              </w:sdt>
                            </w:p>
                            <w:p w14:paraId="07F9E964" w14:textId="13103B1C" w:rsidR="004940BA" w:rsidRDefault="00AA6C86">
                              <w:pPr>
                                <w:spacing w:before="120"/>
                                <w:jc w:val="center"/>
                                <w:rPr>
                                  <w:color w:val="FFFFFF" w:themeColor="background1"/>
                                  <w:lang w:val="en-US"/>
                                </w:rPr>
                              </w:pPr>
                              <w:r>
                                <w:t>Sveučilište Algebra Bernays, Mjesec, 2025</w:t>
                              </w:r>
                            </w:p>
                          </w:txbxContent>
                        </wps:txbx>
                        <wps:bodyPr lIns="457200" tIns="731520" rIns="457200" bIns="457200" anchor="b">
                          <a:noAutofit/>
                        </wps:bodyPr>
                      </wps:wsp>
                      <wps:wsp>
                        <wps:cNvPr id="3" name="Tekstni okvir 3"/>
                        <wps:cNvSpPr/>
                        <wps:spPr>
                          <a:xfrm>
                            <a:off x="0" y="0"/>
                            <a:ext cx="6857280" cy="2721600"/>
                          </a:xfrm>
                          <a:prstGeom prst="rect">
                            <a:avLst/>
                          </a:prstGeom>
                          <a:solidFill>
                            <a:schemeClr val="bg1"/>
                          </a:solidFill>
                          <a:ln w="6350">
                            <a:noFill/>
                          </a:ln>
                        </wps:spPr>
                        <wps:style>
                          <a:lnRef idx="0">
                            <a:schemeClr val="accent1"/>
                          </a:lnRef>
                          <a:fillRef idx="0">
                            <a:schemeClr val="accent1"/>
                          </a:fillRef>
                          <a:effectRef idx="0">
                            <a:schemeClr val="accent1"/>
                          </a:effectRef>
                          <a:fontRef idx="minor"/>
                        </wps:style>
                        <wps:txbx>
                          <w:txbxContent>
                            <w:p w14:paraId="6D0D1CE3" w14:textId="77777777" w:rsidR="004940BA" w:rsidRDefault="00AA6C86">
                              <w:pPr>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KOLEGIJ</w:t>
                              </w:r>
                            </w:p>
                            <w:p w14:paraId="207CCF61" w14:textId="77777777" w:rsidR="004940BA" w:rsidRDefault="0034607E">
                              <w:pPr>
                                <w:jc w:val="center"/>
                                <w:rPr>
                                  <w:rFonts w:asciiTheme="majorHAnsi" w:eastAsiaTheme="majorEastAsia" w:hAnsiTheme="majorHAnsi" w:cstheme="majorBidi"/>
                                  <w:caps/>
                                  <w:color w:val="4F81BD" w:themeColor="accent1"/>
                                  <w:sz w:val="72"/>
                                  <w:szCs w:val="72"/>
                                </w:rPr>
                              </w:pPr>
                              <w:sdt>
                                <w:sdtPr>
                                  <w:alias w:val="Title"/>
                                  <w:id w:val="-1891338881"/>
                                  <w:showingPlcHdr/>
                                  <w:dataBinding w:prefixMappings="xmlns:ns0='http://purl.org/dc/elements/1.1/' xmlns:ns1='http://schemas.openxmlformats.org/package/2006/metadata/core-properties' " w:xpath="/ns1:coreProperties[1]/ns0:title[1]" w:storeItemID="{6C3C8BC8-F283-45AE-878A-BAB7291924A1}"/>
                                  <w:text/>
                                </w:sdtPr>
                                <w:sdtEndPr/>
                                <w:sdtContent>
                                  <w:r w:rsidR="00AA6C86">
                                    <w:t xml:space="preserve">     </w:t>
                                  </w:r>
                                </w:sdtContent>
                              </w:sdt>
                            </w:p>
                          </w:txbxContent>
                        </wps:txbx>
                        <wps:bodyPr lIns="457200" tIns="91440" rIns="457200" bIns="91440" anchor="ctr">
                          <a:noAutofit/>
                        </wps:bodyPr>
                      </wps:wsp>
                    </wpg:wgp>
                  </a:graphicData>
                </a:graphic>
              </wp:anchor>
            </w:drawing>
          </mc:Choice>
          <mc:Fallback>
            <w:pict>
              <v:group w14:anchorId="604EEC90" id="Grupa 1" o:spid="_x0000_s1026" style="position:absolute;left:0;text-align:left;margin-left:42pt;margin-top:151.5pt;width:539.95pt;height:611.8pt;z-index:-503316473;mso-wrap-distance-left:0;mso-wrap-distance-right:.05pt;mso-wrap-distance-bottom:.2pt;mso-position-horizontal-relative:page;mso-position-vertical-relative:page" coordsize="68572,776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KffKtQIAAGEIAAAOAAAAZHJzL2Uyb0RvYy54bWzElltvmzAUx98n7TtYvK9cciFFJdW0btWk&#13;&#10;aavW7gM4xoAVsC3bCcm33/FJIE3vyjatD5SDz/XPzyYXl5u2IWturFAyD+KzKCBcMlUIWeXBr7sv&#13;&#10;H2YBsY7KgjZK8jzYchtczt+/u+h0xhNVq6bghkASabNO50HtnM7C0LKat9SeKc0lLJbKtNSBaaqw&#13;&#10;MLSD7G0TJlE0DTtlCm0U49bC06vdYjDH/GXJmftRlpY70uQB9ObwavC68NdwfkGzylBdC7Zvg57Q&#13;&#10;RUuFhKJDqivqKFkZ8ShVK5hRVpXujKk2VGUpGMcZYJo4ejDNtVErjbNUWVfpQSaQ9oFOJ6dl39fX&#13;&#10;Rt/qGwNKdLoCLdDys2xK0/r/0CXZoGTbQTK+cYTBw+lskiYzUJbBWppOz2dgoKisBuUfxbH68yuR&#13;&#10;YV84PGqn0wCIPWhg/0yD25pqjtLaDDS4MUQUeZAERNIWML0xdK2WKyfFkiR+Hl8e/AahbGZBs2dV&#13;&#10;StJxnE73Sjyp1SRKQC70GCammTbWXXPVEn+TBwb4Razo+pt10Aa49i6+tlWNKL6IpkHD7xn+qTFk&#13;&#10;TYF2yhiXLvbNQ9SRZyO9v1Q+crfsn4De/VR457YN936N/MlLkAfedoLN4OZ8XAh7qGnBd/UnEfz1&#13;&#10;1fvWsBdM6L1LqD/kjl/Kvety7+9DOe7tITh6PXiIwMpKuiG4FVIZ7PTe3P7WbRYbqOxvF6rYAiTN&#13;&#10;VwngjYF5mI04tNJRPEnAMkdriyOLSlYrOHYW2KdUH1dOlQLf6CH7/hUA5bua/xz3UY/7HV9aYJ2o&#13;&#10;5VoYMjoB+JdQT9Ikng4s9KdKz/FfQH1RPYM56eCEGk12dJzA+xuwehrmNwT+D5jxkEOtDtQ9yfR5&#13;&#10;PB4/g/R+qSeaOfNWpvFAh+8YHgL7b67/UN63cQ8cfhnMfwMAAP//AwBQSwMEFAAGAAgAAAAhAKlx&#13;&#10;f+jmAAAAEQEAAA8AAABkcnMvZG93bnJldi54bWxMj09vwjAMxe+T9h0iT9ptpKWjgtIUIfbnhJAG&#13;&#10;kyZuoTVtReNUTWjLt585bRfrWbaf3y9djaYRPXautqQgnAQgkHJb1FQq+D58vMxBOK+p0I0lVHBD&#13;&#10;B6vs8SHVSWEH+sJ+70vBJuQSraDyvk2kdHmFRruJbZF4drad0Z7brpRFpwc2N42cBkEsja6JP1S6&#13;&#10;xU2F+WV/NQo+Bz2so/C9317Om9vxMNv9bENU6vlpfFtyWS9BeBz93wXcGTg/ZBzsZK9UONEomL8y&#13;&#10;j1cQBRGL+0IYRwsQJ1azaRyDzFL5nyT7BQAA//8DAFBLAQItABQABgAIAAAAIQC2gziS/gAAAOEB&#13;&#10;AAATAAAAAAAAAAAAAAAAAAAAAABbQ29udGVudF9UeXBlc10ueG1sUEsBAi0AFAAGAAgAAAAhADj9&#13;&#10;If/WAAAAlAEAAAsAAAAAAAAAAAAAAAAALwEAAF9yZWxzLy5yZWxzUEsBAi0AFAAGAAgAAAAhAEYp&#13;&#10;98q1AgAAYQgAAA4AAAAAAAAAAAAAAAAALgIAAGRycy9lMm9Eb2MueG1sUEsBAi0AFAAGAAgAAAAh&#13;&#10;AKlxf+jmAAAAEQEAAA8AAAAAAAAAAAAAAAAADwUAAGRycy9kb3ducmV2LnhtbFBLBQYAAAAABAAE&#13;&#10;APMAAAAiBgAAAAA=&#13;&#10;" o:allowincell="f">
                <v:rect id="Pravokutnik 2" o:spid="_x0000_s1027" style="position:absolute;top:27417;width:68572;height:50278;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3oSkxgAAAN8AAAAPAAAAZHJzL2Rvd25yZXYueG1sRI/RagIx&#13;&#10;FETfC/5DuIJvNasFKatRFkUUQWjVD7jd3O5uu7lZk3SNf98UCr4MDMOcYRaraFrRk/ONZQWTcQaC&#13;&#10;uLS64UrB5bx9fgXhA7LG1jIpuJOH1XLwtMBc2xu/U38KlUgQ9jkqqEPocil9WZNBP7Ydcco+rTMY&#13;&#10;knWV1A5vCW5aOc2ymTTYcFqosaN1TeX36cek3Y+Di8VRHr92Rf/i4tVed297pUbDuJknKeYgAsXw&#13;&#10;aPwj9lrBFP7+pC8gl78AAAD//wMAUEsBAi0AFAAGAAgAAAAhANvh9svuAAAAhQEAABMAAAAAAAAA&#13;&#10;AAAAAAAAAAAAAFtDb250ZW50X1R5cGVzXS54bWxQSwECLQAUAAYACAAAACEAWvQsW78AAAAVAQAA&#13;&#10;CwAAAAAAAAAAAAAAAAAfAQAAX3JlbHMvLnJlbHNQSwECLQAUAAYACAAAACEAzN6EpMYAAADfAAAA&#13;&#10;DwAAAAAAAAAAAAAAAAAHAgAAZHJzL2Rvd25yZXYueG1sUEsFBgAAAAADAAMAtwAAAPoCAAAAAA==&#13;&#10;" fillcolor="#4f81bd [3204]" stroked="f" strokeweight="2pt">
                  <v:textbox inset="36pt,57.6pt,36pt,36pt">
                    <w:txbxContent>
                      <w:p w14:paraId="584014C2" w14:textId="75EB7C11" w:rsidR="004940BA" w:rsidRDefault="00AA6C86">
                        <w:pPr>
                          <w:spacing w:before="120"/>
                          <w:jc w:val="center"/>
                          <w:rPr>
                            <w:color w:val="FFFFFF" w:themeColor="background1"/>
                          </w:rPr>
                        </w:pPr>
                        <w:sdt>
                          <w:sdtPr>
                            <w:alias w:val="Author"/>
                            <w:id w:val="-30041688"/>
                            <w:dataBinding w:prefixMappings="xmlns:ns0='http://purl.org/dc/elements/1.1/' xmlns:ns1='http://schemas.openxmlformats.org/package/2006/metadata/core-properties' " w:xpath="/ns1:coreProperties[1]/ns0:creator[1]" w:storeItemID="{6C3C8BC8-F283-45AE-878A-BAB7291924A1}"/>
                            <w:text/>
                          </w:sdtPr>
                          <w:sdtEndPr/>
                          <w:sdtContent>
                            <w:r>
                              <w:t>Ime Prezime</w:t>
                            </w:r>
                          </w:sdtContent>
                        </w:sdt>
                      </w:p>
                      <w:p w14:paraId="07F9E964" w14:textId="13103B1C" w:rsidR="004940BA" w:rsidRDefault="00AA6C86">
                        <w:pPr>
                          <w:spacing w:before="120"/>
                          <w:jc w:val="center"/>
                          <w:rPr>
                            <w:color w:val="FFFFFF" w:themeColor="background1"/>
                            <w:lang w:val="en-US"/>
                          </w:rPr>
                        </w:pPr>
                        <w:r>
                          <w:t>Sveučilište Algebra Bernays, Mjesec, 2025</w:t>
                        </w:r>
                      </w:p>
                    </w:txbxContent>
                  </v:textbox>
                </v:rect>
                <v:rect id="Tekstni okvir 3" o:spid="_x0000_s1028" style="position:absolute;width:68572;height:272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3HQbxwAAAN8AAAAPAAAAZHJzL2Rvd25yZXYueG1sRI/dagIx&#13;&#10;FITvhb5DOAVvpGbbitXVKKIU9dKfBzgmp7uLm5Nlk66rT28EwZuBYZhvmOm8taVoqPaFYwWf/QQE&#13;&#10;sXam4EzB8fD7MQLhA7LB0jEpuJKH+eytM8XUuAvvqNmHTEQI+xQV5CFUqZRe52TR911FHLM/V1sM&#13;&#10;0daZNDVeItyW8itJhtJiwXEhx4qWOenz/t8qWDbr8eJ87d2CTrbj4Y/eHE+9gVLd93Y1ibKYgAjU&#13;&#10;hlfjidgYBd/w+BO/gJzdAQAA//8DAFBLAQItABQABgAIAAAAIQDb4fbL7gAAAIUBAAATAAAAAAAA&#13;&#10;AAAAAAAAAAAAAABbQ29udGVudF9UeXBlc10ueG1sUEsBAi0AFAAGAAgAAAAhAFr0LFu/AAAAFQEA&#13;&#10;AAsAAAAAAAAAAAAAAAAAHwEAAF9yZWxzLy5yZWxzUEsBAi0AFAAGAAgAAAAhAPHcdBvHAAAA3wAA&#13;&#10;AA8AAAAAAAAAAAAAAAAABwIAAGRycy9kb3ducmV2LnhtbFBLBQYAAAAAAwADALcAAAD7AgAAAAA=&#13;&#10;" fillcolor="white [3212]" stroked="f" strokeweight=".5pt">
                  <v:textbox inset="36pt,7.2pt,36pt,7.2pt">
                    <w:txbxContent>
                      <w:p w14:paraId="6D0D1CE3" w14:textId="77777777" w:rsidR="004940BA" w:rsidRDefault="00AA6C86">
                        <w:pPr>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KOLEGIJ</w:t>
                        </w:r>
                      </w:p>
                      <w:p w14:paraId="207CCF61" w14:textId="77777777" w:rsidR="004940BA" w:rsidRDefault="00AA6C86">
                        <w:pPr>
                          <w:jc w:val="center"/>
                          <w:rPr>
                            <w:rFonts w:asciiTheme="majorHAnsi" w:eastAsiaTheme="majorEastAsia" w:hAnsiTheme="majorHAnsi" w:cstheme="majorBidi"/>
                            <w:caps/>
                            <w:color w:val="4F81BD" w:themeColor="accent1"/>
                            <w:sz w:val="72"/>
                            <w:szCs w:val="72"/>
                          </w:rPr>
                        </w:pPr>
                        <w:sdt>
                          <w:sdtPr>
                            <w:alias w:val="Title"/>
                            <w:id w:val="-1891338881"/>
                            <w:showingPlcHdr/>
                            <w:dataBinding w:prefixMappings="xmlns:ns0='http://purl.org/dc/elements/1.1/' xmlns:ns1='http://schemas.openxmlformats.org/package/2006/metadata/core-properties' " w:xpath="/ns1:coreProperties[1]/ns0:title[1]" w:storeItemID="{6C3C8BC8-F283-45AE-878A-BAB7291924A1}"/>
                            <w:text/>
                          </w:sdtPr>
                          <w:sdtEndPr/>
                          <w:sdtContent>
                            <w:r>
                              <w:t xml:space="preserve">     </w:t>
                            </w:r>
                          </w:sdtContent>
                        </w:sdt>
                      </w:p>
                    </w:txbxContent>
                  </v:textbox>
                </v:rect>
                <w10:wrap anchorx="page" anchory="page"/>
              </v:group>
            </w:pict>
          </mc:Fallback>
        </mc:AlternateContent>
      </w:r>
      <w:r>
        <w:br w:type="page"/>
      </w:r>
    </w:p>
    <w:p w14:paraId="672A6659" w14:textId="77777777" w:rsidR="004940BA" w:rsidRDefault="004940BA">
      <w:pPr>
        <w:rPr>
          <w:lang w:val="en-US"/>
        </w:rPr>
      </w:pPr>
    </w:p>
    <w:p w14:paraId="0A37501D" w14:textId="77777777" w:rsidR="004940BA" w:rsidRDefault="004940BA">
      <w:pPr>
        <w:rPr>
          <w:lang w:val="en-US"/>
        </w:rPr>
      </w:pPr>
    </w:p>
    <w:p w14:paraId="406425CA" w14:textId="77777777" w:rsidR="004940BA" w:rsidRDefault="00AA6C86">
      <w:pPr>
        <w:spacing w:line="259" w:lineRule="auto"/>
        <w:ind w:left="720" w:hanging="360"/>
        <w:rPr>
          <w:b/>
          <w:color w:val="000000"/>
          <w:sz w:val="32"/>
          <w:szCs w:val="32"/>
          <w:lang w:val="en-US"/>
        </w:rPr>
      </w:pPr>
      <w:r>
        <w:rPr>
          <w:b/>
          <w:color w:val="000000"/>
          <w:sz w:val="32"/>
          <w:szCs w:val="32"/>
          <w:lang w:val="en-US"/>
        </w:rPr>
        <w:t>Contents</w:t>
      </w:r>
    </w:p>
    <w:sdt>
      <w:sdtPr>
        <w:id w:val="486497712"/>
        <w:docPartObj>
          <w:docPartGallery w:val="Table of Contents"/>
          <w:docPartUnique/>
        </w:docPartObj>
      </w:sdtPr>
      <w:sdtEndPr/>
      <w:sdtContent>
        <w:p w14:paraId="5D2BDEB0" w14:textId="42065280" w:rsidR="0034607E" w:rsidRDefault="00AA6C86">
          <w:pPr>
            <w:pStyle w:val="TOC1"/>
            <w:tabs>
              <w:tab w:val="left" w:pos="480"/>
              <w:tab w:val="right" w:leader="dot" w:pos="9628"/>
            </w:tabs>
            <w:rPr>
              <w:rFonts w:asciiTheme="minorHAnsi" w:eastAsiaTheme="minorEastAsia" w:hAnsiTheme="minorHAnsi" w:cstheme="minorBidi"/>
              <w:noProof/>
              <w:kern w:val="2"/>
              <w:sz w:val="24"/>
              <w:szCs w:val="24"/>
              <w:lang w:val="en-HR" w:eastAsia="en-GB"/>
              <w14:ligatures w14:val="standardContextual"/>
            </w:rPr>
          </w:pPr>
          <w:r>
            <w:fldChar w:fldCharType="begin"/>
          </w:r>
          <w:r>
            <w:rPr>
              <w:rStyle w:val="IndexLink"/>
              <w:webHidden/>
            </w:rPr>
            <w:instrText xml:space="preserve"> TOC \z \o "1-9" \u \h</w:instrText>
          </w:r>
          <w:r>
            <w:rPr>
              <w:rStyle w:val="IndexLink"/>
            </w:rPr>
            <w:fldChar w:fldCharType="separate"/>
          </w:r>
          <w:hyperlink w:anchor="_Toc192781501" w:history="1">
            <w:r w:rsidR="0034607E" w:rsidRPr="00C35B6D">
              <w:rPr>
                <w:rStyle w:val="Hyperlink"/>
                <w:noProof/>
                <w:lang w:val="en-US"/>
              </w:rPr>
              <w:t>1.</w:t>
            </w:r>
            <w:r w:rsidR="0034607E">
              <w:rPr>
                <w:rFonts w:asciiTheme="minorHAnsi" w:eastAsiaTheme="minorEastAsia" w:hAnsiTheme="minorHAnsi" w:cstheme="minorBidi"/>
                <w:noProof/>
                <w:kern w:val="2"/>
                <w:sz w:val="24"/>
                <w:szCs w:val="24"/>
                <w:lang w:val="en-HR" w:eastAsia="en-GB"/>
                <w14:ligatures w14:val="standardContextual"/>
              </w:rPr>
              <w:tab/>
            </w:r>
            <w:r w:rsidR="0034607E" w:rsidRPr="00C35B6D">
              <w:rPr>
                <w:rStyle w:val="Hyperlink"/>
                <w:noProof/>
                <w:lang w:val="en-US"/>
              </w:rPr>
              <w:t>Abstract</w:t>
            </w:r>
            <w:r w:rsidR="0034607E">
              <w:rPr>
                <w:noProof/>
                <w:webHidden/>
              </w:rPr>
              <w:tab/>
            </w:r>
            <w:r w:rsidR="0034607E">
              <w:rPr>
                <w:noProof/>
                <w:webHidden/>
              </w:rPr>
              <w:fldChar w:fldCharType="begin"/>
            </w:r>
            <w:r w:rsidR="0034607E">
              <w:rPr>
                <w:noProof/>
                <w:webHidden/>
              </w:rPr>
              <w:instrText xml:space="preserve"> PAGEREF _Toc192781501 \h </w:instrText>
            </w:r>
            <w:r w:rsidR="0034607E">
              <w:rPr>
                <w:noProof/>
                <w:webHidden/>
              </w:rPr>
            </w:r>
            <w:r w:rsidR="0034607E">
              <w:rPr>
                <w:noProof/>
                <w:webHidden/>
              </w:rPr>
              <w:fldChar w:fldCharType="separate"/>
            </w:r>
            <w:r w:rsidR="0034607E">
              <w:rPr>
                <w:noProof/>
                <w:webHidden/>
              </w:rPr>
              <w:t>3</w:t>
            </w:r>
            <w:r w:rsidR="0034607E">
              <w:rPr>
                <w:noProof/>
                <w:webHidden/>
              </w:rPr>
              <w:fldChar w:fldCharType="end"/>
            </w:r>
          </w:hyperlink>
        </w:p>
        <w:p w14:paraId="770AF49B" w14:textId="5C7E8568" w:rsidR="0034607E" w:rsidRDefault="0034607E">
          <w:pPr>
            <w:pStyle w:val="TOC1"/>
            <w:tabs>
              <w:tab w:val="left" w:pos="480"/>
              <w:tab w:val="right" w:leader="dot" w:pos="9628"/>
            </w:tabs>
            <w:rPr>
              <w:rFonts w:asciiTheme="minorHAnsi" w:eastAsiaTheme="minorEastAsia" w:hAnsiTheme="minorHAnsi" w:cstheme="minorBidi"/>
              <w:noProof/>
              <w:kern w:val="2"/>
              <w:sz w:val="24"/>
              <w:szCs w:val="24"/>
              <w:lang w:val="en-HR" w:eastAsia="en-GB"/>
              <w14:ligatures w14:val="standardContextual"/>
            </w:rPr>
          </w:pPr>
          <w:hyperlink w:anchor="_Toc192781502" w:history="1">
            <w:r w:rsidRPr="00C35B6D">
              <w:rPr>
                <w:rStyle w:val="Hyperlink"/>
                <w:noProof/>
                <w:lang w:val="en-US"/>
              </w:rPr>
              <w:t>2.</w:t>
            </w:r>
            <w:r>
              <w:rPr>
                <w:rFonts w:asciiTheme="minorHAnsi" w:eastAsiaTheme="minorEastAsia" w:hAnsiTheme="minorHAnsi" w:cstheme="minorBidi"/>
                <w:noProof/>
                <w:kern w:val="2"/>
                <w:sz w:val="24"/>
                <w:szCs w:val="24"/>
                <w:lang w:val="en-HR" w:eastAsia="en-GB"/>
                <w14:ligatures w14:val="standardContextual"/>
              </w:rPr>
              <w:tab/>
            </w:r>
            <w:r w:rsidRPr="00C35B6D">
              <w:rPr>
                <w:rStyle w:val="Hyperlink"/>
                <w:noProof/>
                <w:lang w:val="en-US"/>
              </w:rPr>
              <w:t>Introduction (Pt 10, bold)</w:t>
            </w:r>
            <w:r>
              <w:rPr>
                <w:noProof/>
                <w:webHidden/>
              </w:rPr>
              <w:tab/>
            </w:r>
            <w:r>
              <w:rPr>
                <w:noProof/>
                <w:webHidden/>
              </w:rPr>
              <w:fldChar w:fldCharType="begin"/>
            </w:r>
            <w:r>
              <w:rPr>
                <w:noProof/>
                <w:webHidden/>
              </w:rPr>
              <w:instrText xml:space="preserve"> PAGEREF _Toc192781502 \h </w:instrText>
            </w:r>
            <w:r>
              <w:rPr>
                <w:noProof/>
                <w:webHidden/>
              </w:rPr>
            </w:r>
            <w:r>
              <w:rPr>
                <w:noProof/>
                <w:webHidden/>
              </w:rPr>
              <w:fldChar w:fldCharType="separate"/>
            </w:r>
            <w:r>
              <w:rPr>
                <w:noProof/>
                <w:webHidden/>
              </w:rPr>
              <w:t>3</w:t>
            </w:r>
            <w:r>
              <w:rPr>
                <w:noProof/>
                <w:webHidden/>
              </w:rPr>
              <w:fldChar w:fldCharType="end"/>
            </w:r>
          </w:hyperlink>
        </w:p>
        <w:p w14:paraId="7A56C302" w14:textId="2D693BD9" w:rsidR="0034607E" w:rsidRDefault="0034607E">
          <w:pPr>
            <w:pStyle w:val="TOC1"/>
            <w:tabs>
              <w:tab w:val="left" w:pos="480"/>
              <w:tab w:val="right" w:leader="dot" w:pos="9628"/>
            </w:tabs>
            <w:rPr>
              <w:rFonts w:asciiTheme="minorHAnsi" w:eastAsiaTheme="minorEastAsia" w:hAnsiTheme="minorHAnsi" w:cstheme="minorBidi"/>
              <w:noProof/>
              <w:kern w:val="2"/>
              <w:sz w:val="24"/>
              <w:szCs w:val="24"/>
              <w:lang w:val="en-HR" w:eastAsia="en-GB"/>
              <w14:ligatures w14:val="standardContextual"/>
            </w:rPr>
          </w:pPr>
          <w:hyperlink w:anchor="_Toc192781503" w:history="1">
            <w:r w:rsidRPr="00C35B6D">
              <w:rPr>
                <w:rStyle w:val="Hyperlink"/>
                <w:noProof/>
                <w:lang w:val="en-US"/>
              </w:rPr>
              <w:t>3.</w:t>
            </w:r>
            <w:r>
              <w:rPr>
                <w:rFonts w:asciiTheme="minorHAnsi" w:eastAsiaTheme="minorEastAsia" w:hAnsiTheme="minorHAnsi" w:cstheme="minorBidi"/>
                <w:noProof/>
                <w:kern w:val="2"/>
                <w:sz w:val="24"/>
                <w:szCs w:val="24"/>
                <w:lang w:val="en-HR" w:eastAsia="en-GB"/>
                <w14:ligatures w14:val="standardContextual"/>
              </w:rPr>
              <w:tab/>
            </w:r>
            <w:r w:rsidRPr="00C35B6D">
              <w:rPr>
                <w:rStyle w:val="Hyperlink"/>
                <w:noProof/>
                <w:lang w:val="en-US"/>
              </w:rPr>
              <w:t>Explanation / What you did</w:t>
            </w:r>
            <w:r>
              <w:rPr>
                <w:noProof/>
                <w:webHidden/>
              </w:rPr>
              <w:tab/>
            </w:r>
            <w:r>
              <w:rPr>
                <w:noProof/>
                <w:webHidden/>
              </w:rPr>
              <w:fldChar w:fldCharType="begin"/>
            </w:r>
            <w:r>
              <w:rPr>
                <w:noProof/>
                <w:webHidden/>
              </w:rPr>
              <w:instrText xml:space="preserve"> PAGEREF _Toc192781503 \h </w:instrText>
            </w:r>
            <w:r>
              <w:rPr>
                <w:noProof/>
                <w:webHidden/>
              </w:rPr>
            </w:r>
            <w:r>
              <w:rPr>
                <w:noProof/>
                <w:webHidden/>
              </w:rPr>
              <w:fldChar w:fldCharType="separate"/>
            </w:r>
            <w:r>
              <w:rPr>
                <w:noProof/>
                <w:webHidden/>
              </w:rPr>
              <w:t>3</w:t>
            </w:r>
            <w:r>
              <w:rPr>
                <w:noProof/>
                <w:webHidden/>
              </w:rPr>
              <w:fldChar w:fldCharType="end"/>
            </w:r>
          </w:hyperlink>
        </w:p>
        <w:p w14:paraId="6D8428B9" w14:textId="7DC3BCD1" w:rsidR="0034607E" w:rsidRDefault="0034607E">
          <w:pPr>
            <w:pStyle w:val="TOC2"/>
            <w:tabs>
              <w:tab w:val="left" w:pos="960"/>
              <w:tab w:val="right" w:leader="dot" w:pos="9628"/>
            </w:tabs>
            <w:rPr>
              <w:rFonts w:asciiTheme="minorHAnsi" w:eastAsiaTheme="minorEastAsia" w:hAnsiTheme="minorHAnsi" w:cstheme="minorBidi"/>
              <w:noProof/>
              <w:kern w:val="2"/>
              <w:sz w:val="24"/>
              <w:szCs w:val="24"/>
              <w:lang w:val="en-HR" w:eastAsia="en-GB"/>
              <w14:ligatures w14:val="standardContextual"/>
            </w:rPr>
          </w:pPr>
          <w:hyperlink w:anchor="_Toc192781504" w:history="1">
            <w:r w:rsidRPr="00C35B6D">
              <w:rPr>
                <w:rStyle w:val="Hyperlink"/>
                <w:noProof/>
                <w:lang w:val="en-US"/>
              </w:rPr>
              <w:t>3.1.</w:t>
            </w:r>
            <w:r>
              <w:rPr>
                <w:rFonts w:asciiTheme="minorHAnsi" w:eastAsiaTheme="minorEastAsia" w:hAnsiTheme="minorHAnsi" w:cstheme="minorBidi"/>
                <w:noProof/>
                <w:kern w:val="2"/>
                <w:sz w:val="24"/>
                <w:szCs w:val="24"/>
                <w:lang w:val="en-HR" w:eastAsia="en-GB"/>
                <w14:ligatures w14:val="standardContextual"/>
              </w:rPr>
              <w:tab/>
            </w:r>
            <w:r w:rsidRPr="00C35B6D">
              <w:rPr>
                <w:rStyle w:val="Hyperlink"/>
                <w:noProof/>
                <w:lang w:val="en-US"/>
              </w:rPr>
              <w:t>Language (pt 10, italic)</w:t>
            </w:r>
            <w:r>
              <w:rPr>
                <w:noProof/>
                <w:webHidden/>
              </w:rPr>
              <w:tab/>
            </w:r>
            <w:r>
              <w:rPr>
                <w:noProof/>
                <w:webHidden/>
              </w:rPr>
              <w:fldChar w:fldCharType="begin"/>
            </w:r>
            <w:r>
              <w:rPr>
                <w:noProof/>
                <w:webHidden/>
              </w:rPr>
              <w:instrText xml:space="preserve"> PAGEREF _Toc192781504 \h </w:instrText>
            </w:r>
            <w:r>
              <w:rPr>
                <w:noProof/>
                <w:webHidden/>
              </w:rPr>
            </w:r>
            <w:r>
              <w:rPr>
                <w:noProof/>
                <w:webHidden/>
              </w:rPr>
              <w:fldChar w:fldCharType="separate"/>
            </w:r>
            <w:r>
              <w:rPr>
                <w:noProof/>
                <w:webHidden/>
              </w:rPr>
              <w:t>3</w:t>
            </w:r>
            <w:r>
              <w:rPr>
                <w:noProof/>
                <w:webHidden/>
              </w:rPr>
              <w:fldChar w:fldCharType="end"/>
            </w:r>
          </w:hyperlink>
        </w:p>
        <w:p w14:paraId="021B2AEF" w14:textId="7A4E1C43" w:rsidR="0034607E" w:rsidRDefault="0034607E">
          <w:pPr>
            <w:pStyle w:val="TOC2"/>
            <w:tabs>
              <w:tab w:val="left" w:pos="960"/>
              <w:tab w:val="right" w:leader="dot" w:pos="9628"/>
            </w:tabs>
            <w:rPr>
              <w:rFonts w:asciiTheme="minorHAnsi" w:eastAsiaTheme="minorEastAsia" w:hAnsiTheme="minorHAnsi" w:cstheme="minorBidi"/>
              <w:noProof/>
              <w:kern w:val="2"/>
              <w:sz w:val="24"/>
              <w:szCs w:val="24"/>
              <w:lang w:val="en-HR" w:eastAsia="en-GB"/>
              <w14:ligatures w14:val="standardContextual"/>
            </w:rPr>
          </w:pPr>
          <w:hyperlink w:anchor="_Toc192781505" w:history="1">
            <w:r w:rsidRPr="00C35B6D">
              <w:rPr>
                <w:rStyle w:val="Hyperlink"/>
                <w:noProof/>
                <w:lang w:val="en-US"/>
              </w:rPr>
              <w:t>3.2.</w:t>
            </w:r>
            <w:r>
              <w:rPr>
                <w:rFonts w:asciiTheme="minorHAnsi" w:eastAsiaTheme="minorEastAsia" w:hAnsiTheme="minorHAnsi" w:cstheme="minorBidi"/>
                <w:noProof/>
                <w:kern w:val="2"/>
                <w:sz w:val="24"/>
                <w:szCs w:val="24"/>
                <w:lang w:val="en-HR" w:eastAsia="en-GB"/>
                <w14:ligatures w14:val="standardContextual"/>
              </w:rPr>
              <w:tab/>
            </w:r>
            <w:r w:rsidRPr="00C35B6D">
              <w:rPr>
                <w:rStyle w:val="Hyperlink"/>
                <w:noProof/>
                <w:lang w:val="en-US"/>
              </w:rPr>
              <w:t>Bulleted list (pt 10, italic)</w:t>
            </w:r>
            <w:r>
              <w:rPr>
                <w:noProof/>
                <w:webHidden/>
              </w:rPr>
              <w:tab/>
            </w:r>
            <w:r>
              <w:rPr>
                <w:noProof/>
                <w:webHidden/>
              </w:rPr>
              <w:fldChar w:fldCharType="begin"/>
            </w:r>
            <w:r>
              <w:rPr>
                <w:noProof/>
                <w:webHidden/>
              </w:rPr>
              <w:instrText xml:space="preserve"> PAGEREF _Toc192781505 \h </w:instrText>
            </w:r>
            <w:r>
              <w:rPr>
                <w:noProof/>
                <w:webHidden/>
              </w:rPr>
            </w:r>
            <w:r>
              <w:rPr>
                <w:noProof/>
                <w:webHidden/>
              </w:rPr>
              <w:fldChar w:fldCharType="separate"/>
            </w:r>
            <w:r>
              <w:rPr>
                <w:noProof/>
                <w:webHidden/>
              </w:rPr>
              <w:t>3</w:t>
            </w:r>
            <w:r>
              <w:rPr>
                <w:noProof/>
                <w:webHidden/>
              </w:rPr>
              <w:fldChar w:fldCharType="end"/>
            </w:r>
          </w:hyperlink>
        </w:p>
        <w:p w14:paraId="674AD1B0" w14:textId="29A1BE44" w:rsidR="0034607E" w:rsidRDefault="0034607E">
          <w:pPr>
            <w:pStyle w:val="TOC2"/>
            <w:tabs>
              <w:tab w:val="left" w:pos="960"/>
              <w:tab w:val="right" w:leader="dot" w:pos="9628"/>
            </w:tabs>
            <w:rPr>
              <w:rFonts w:asciiTheme="minorHAnsi" w:eastAsiaTheme="minorEastAsia" w:hAnsiTheme="minorHAnsi" w:cstheme="minorBidi"/>
              <w:noProof/>
              <w:kern w:val="2"/>
              <w:sz w:val="24"/>
              <w:szCs w:val="24"/>
              <w:lang w:val="en-HR" w:eastAsia="en-GB"/>
              <w14:ligatures w14:val="standardContextual"/>
            </w:rPr>
          </w:pPr>
          <w:hyperlink w:anchor="_Toc192781506" w:history="1">
            <w:r w:rsidRPr="00C35B6D">
              <w:rPr>
                <w:rStyle w:val="Hyperlink"/>
                <w:noProof/>
                <w:lang w:val="en-US"/>
              </w:rPr>
              <w:t>3.3.</w:t>
            </w:r>
            <w:r>
              <w:rPr>
                <w:rFonts w:asciiTheme="minorHAnsi" w:eastAsiaTheme="minorEastAsia" w:hAnsiTheme="minorHAnsi" w:cstheme="minorBidi"/>
                <w:noProof/>
                <w:kern w:val="2"/>
                <w:sz w:val="24"/>
                <w:szCs w:val="24"/>
                <w:lang w:val="en-HR" w:eastAsia="en-GB"/>
                <w14:ligatures w14:val="standardContextual"/>
              </w:rPr>
              <w:tab/>
            </w:r>
            <w:r w:rsidRPr="00C35B6D">
              <w:rPr>
                <w:rStyle w:val="Hyperlink"/>
                <w:noProof/>
                <w:lang w:val="en-US"/>
              </w:rPr>
              <w:t>Tables</w:t>
            </w:r>
            <w:r>
              <w:rPr>
                <w:noProof/>
                <w:webHidden/>
              </w:rPr>
              <w:tab/>
            </w:r>
            <w:r>
              <w:rPr>
                <w:noProof/>
                <w:webHidden/>
              </w:rPr>
              <w:fldChar w:fldCharType="begin"/>
            </w:r>
            <w:r>
              <w:rPr>
                <w:noProof/>
                <w:webHidden/>
              </w:rPr>
              <w:instrText xml:space="preserve"> PAGEREF _Toc192781506 \h </w:instrText>
            </w:r>
            <w:r>
              <w:rPr>
                <w:noProof/>
                <w:webHidden/>
              </w:rPr>
            </w:r>
            <w:r>
              <w:rPr>
                <w:noProof/>
                <w:webHidden/>
              </w:rPr>
              <w:fldChar w:fldCharType="separate"/>
            </w:r>
            <w:r>
              <w:rPr>
                <w:noProof/>
                <w:webHidden/>
              </w:rPr>
              <w:t>3</w:t>
            </w:r>
            <w:r>
              <w:rPr>
                <w:noProof/>
                <w:webHidden/>
              </w:rPr>
              <w:fldChar w:fldCharType="end"/>
            </w:r>
          </w:hyperlink>
        </w:p>
        <w:p w14:paraId="3C5B35FD" w14:textId="4AA218D6" w:rsidR="0034607E" w:rsidRDefault="0034607E">
          <w:pPr>
            <w:pStyle w:val="TOC2"/>
            <w:tabs>
              <w:tab w:val="left" w:pos="960"/>
              <w:tab w:val="right" w:leader="dot" w:pos="9628"/>
            </w:tabs>
            <w:rPr>
              <w:rFonts w:asciiTheme="minorHAnsi" w:eastAsiaTheme="minorEastAsia" w:hAnsiTheme="minorHAnsi" w:cstheme="minorBidi"/>
              <w:noProof/>
              <w:kern w:val="2"/>
              <w:sz w:val="24"/>
              <w:szCs w:val="24"/>
              <w:lang w:val="en-HR" w:eastAsia="en-GB"/>
              <w14:ligatures w14:val="standardContextual"/>
            </w:rPr>
          </w:pPr>
          <w:hyperlink w:anchor="_Toc192781507" w:history="1">
            <w:r w:rsidRPr="00C35B6D">
              <w:rPr>
                <w:rStyle w:val="Hyperlink"/>
                <w:noProof/>
                <w:lang w:val="en-US"/>
              </w:rPr>
              <w:t>3.4.</w:t>
            </w:r>
            <w:r>
              <w:rPr>
                <w:rFonts w:asciiTheme="minorHAnsi" w:eastAsiaTheme="minorEastAsia" w:hAnsiTheme="minorHAnsi" w:cstheme="minorBidi"/>
                <w:noProof/>
                <w:kern w:val="2"/>
                <w:sz w:val="24"/>
                <w:szCs w:val="24"/>
                <w:lang w:val="en-HR" w:eastAsia="en-GB"/>
                <w14:ligatures w14:val="standardContextual"/>
              </w:rPr>
              <w:tab/>
            </w:r>
            <w:r w:rsidRPr="00C35B6D">
              <w:rPr>
                <w:rStyle w:val="Hyperlink"/>
                <w:noProof/>
                <w:lang w:val="en-US"/>
              </w:rPr>
              <w:t>Project size</w:t>
            </w:r>
            <w:r>
              <w:rPr>
                <w:noProof/>
                <w:webHidden/>
              </w:rPr>
              <w:tab/>
            </w:r>
            <w:r>
              <w:rPr>
                <w:noProof/>
                <w:webHidden/>
              </w:rPr>
              <w:fldChar w:fldCharType="begin"/>
            </w:r>
            <w:r>
              <w:rPr>
                <w:noProof/>
                <w:webHidden/>
              </w:rPr>
              <w:instrText xml:space="preserve"> PAGEREF _Toc192781507 \h </w:instrText>
            </w:r>
            <w:r>
              <w:rPr>
                <w:noProof/>
                <w:webHidden/>
              </w:rPr>
            </w:r>
            <w:r>
              <w:rPr>
                <w:noProof/>
                <w:webHidden/>
              </w:rPr>
              <w:fldChar w:fldCharType="separate"/>
            </w:r>
            <w:r>
              <w:rPr>
                <w:noProof/>
                <w:webHidden/>
              </w:rPr>
              <w:t>4</w:t>
            </w:r>
            <w:r>
              <w:rPr>
                <w:noProof/>
                <w:webHidden/>
              </w:rPr>
              <w:fldChar w:fldCharType="end"/>
            </w:r>
          </w:hyperlink>
        </w:p>
        <w:p w14:paraId="12330EB8" w14:textId="76BC7808" w:rsidR="0034607E" w:rsidRDefault="0034607E">
          <w:pPr>
            <w:pStyle w:val="TOC2"/>
            <w:tabs>
              <w:tab w:val="left" w:pos="960"/>
              <w:tab w:val="right" w:leader="dot" w:pos="9628"/>
            </w:tabs>
            <w:rPr>
              <w:rFonts w:asciiTheme="minorHAnsi" w:eastAsiaTheme="minorEastAsia" w:hAnsiTheme="minorHAnsi" w:cstheme="minorBidi"/>
              <w:noProof/>
              <w:kern w:val="2"/>
              <w:sz w:val="24"/>
              <w:szCs w:val="24"/>
              <w:lang w:val="en-HR" w:eastAsia="en-GB"/>
              <w14:ligatures w14:val="standardContextual"/>
            </w:rPr>
          </w:pPr>
          <w:hyperlink w:anchor="_Toc192781508" w:history="1">
            <w:r w:rsidRPr="00C35B6D">
              <w:rPr>
                <w:rStyle w:val="Hyperlink"/>
                <w:noProof/>
                <w:lang w:val="en-US"/>
              </w:rPr>
              <w:t>3.5.</w:t>
            </w:r>
            <w:r>
              <w:rPr>
                <w:rFonts w:asciiTheme="minorHAnsi" w:eastAsiaTheme="minorEastAsia" w:hAnsiTheme="minorHAnsi" w:cstheme="minorBidi"/>
                <w:noProof/>
                <w:kern w:val="2"/>
                <w:sz w:val="24"/>
                <w:szCs w:val="24"/>
                <w:lang w:val="en-HR" w:eastAsia="en-GB"/>
                <w14:ligatures w14:val="standardContextual"/>
              </w:rPr>
              <w:tab/>
            </w:r>
            <w:r w:rsidRPr="00C35B6D">
              <w:rPr>
                <w:rStyle w:val="Hyperlink"/>
                <w:noProof/>
                <w:lang w:val="en-US"/>
              </w:rPr>
              <w:t>Figures</w:t>
            </w:r>
            <w:r>
              <w:rPr>
                <w:noProof/>
                <w:webHidden/>
              </w:rPr>
              <w:tab/>
            </w:r>
            <w:r>
              <w:rPr>
                <w:noProof/>
                <w:webHidden/>
              </w:rPr>
              <w:fldChar w:fldCharType="begin"/>
            </w:r>
            <w:r>
              <w:rPr>
                <w:noProof/>
                <w:webHidden/>
              </w:rPr>
              <w:instrText xml:space="preserve"> PAGEREF _Toc192781508 \h </w:instrText>
            </w:r>
            <w:r>
              <w:rPr>
                <w:noProof/>
                <w:webHidden/>
              </w:rPr>
            </w:r>
            <w:r>
              <w:rPr>
                <w:noProof/>
                <w:webHidden/>
              </w:rPr>
              <w:fldChar w:fldCharType="separate"/>
            </w:r>
            <w:r>
              <w:rPr>
                <w:noProof/>
                <w:webHidden/>
              </w:rPr>
              <w:t>4</w:t>
            </w:r>
            <w:r>
              <w:rPr>
                <w:noProof/>
                <w:webHidden/>
              </w:rPr>
              <w:fldChar w:fldCharType="end"/>
            </w:r>
          </w:hyperlink>
        </w:p>
        <w:p w14:paraId="4BC85A39" w14:textId="528BD78B" w:rsidR="0034607E" w:rsidRDefault="0034607E">
          <w:pPr>
            <w:pStyle w:val="TOC2"/>
            <w:tabs>
              <w:tab w:val="left" w:pos="960"/>
              <w:tab w:val="right" w:leader="dot" w:pos="9628"/>
            </w:tabs>
            <w:rPr>
              <w:rFonts w:asciiTheme="minorHAnsi" w:eastAsiaTheme="minorEastAsia" w:hAnsiTheme="minorHAnsi" w:cstheme="minorBidi"/>
              <w:noProof/>
              <w:kern w:val="2"/>
              <w:sz w:val="24"/>
              <w:szCs w:val="24"/>
              <w:lang w:val="en-HR" w:eastAsia="en-GB"/>
              <w14:ligatures w14:val="standardContextual"/>
            </w:rPr>
          </w:pPr>
          <w:hyperlink w:anchor="_Toc192781509" w:history="1">
            <w:r w:rsidRPr="00C35B6D">
              <w:rPr>
                <w:rStyle w:val="Hyperlink"/>
                <w:noProof/>
                <w:lang w:val="en-US"/>
              </w:rPr>
              <w:t>3.6.</w:t>
            </w:r>
            <w:r>
              <w:rPr>
                <w:rFonts w:asciiTheme="minorHAnsi" w:eastAsiaTheme="minorEastAsia" w:hAnsiTheme="minorHAnsi" w:cstheme="minorBidi"/>
                <w:noProof/>
                <w:kern w:val="2"/>
                <w:sz w:val="24"/>
                <w:szCs w:val="24"/>
                <w:lang w:val="en-HR" w:eastAsia="en-GB"/>
                <w14:ligatures w14:val="standardContextual"/>
              </w:rPr>
              <w:tab/>
            </w:r>
            <w:r w:rsidRPr="00C35B6D">
              <w:rPr>
                <w:rStyle w:val="Hyperlink"/>
                <w:noProof/>
                <w:lang w:val="en-US"/>
              </w:rPr>
              <w:t>Equations</w:t>
            </w:r>
            <w:r>
              <w:rPr>
                <w:noProof/>
                <w:webHidden/>
              </w:rPr>
              <w:tab/>
            </w:r>
            <w:r>
              <w:rPr>
                <w:noProof/>
                <w:webHidden/>
              </w:rPr>
              <w:fldChar w:fldCharType="begin"/>
            </w:r>
            <w:r>
              <w:rPr>
                <w:noProof/>
                <w:webHidden/>
              </w:rPr>
              <w:instrText xml:space="preserve"> PAGEREF _Toc192781509 \h </w:instrText>
            </w:r>
            <w:r>
              <w:rPr>
                <w:noProof/>
                <w:webHidden/>
              </w:rPr>
            </w:r>
            <w:r>
              <w:rPr>
                <w:noProof/>
                <w:webHidden/>
              </w:rPr>
              <w:fldChar w:fldCharType="separate"/>
            </w:r>
            <w:r>
              <w:rPr>
                <w:noProof/>
                <w:webHidden/>
              </w:rPr>
              <w:t>4</w:t>
            </w:r>
            <w:r>
              <w:rPr>
                <w:noProof/>
                <w:webHidden/>
              </w:rPr>
              <w:fldChar w:fldCharType="end"/>
            </w:r>
          </w:hyperlink>
        </w:p>
        <w:p w14:paraId="603A0B15" w14:textId="70979F6C" w:rsidR="0034607E" w:rsidRDefault="0034607E">
          <w:pPr>
            <w:pStyle w:val="TOC1"/>
            <w:tabs>
              <w:tab w:val="left" w:pos="480"/>
              <w:tab w:val="right" w:leader="dot" w:pos="9628"/>
            </w:tabs>
            <w:rPr>
              <w:rFonts w:asciiTheme="minorHAnsi" w:eastAsiaTheme="minorEastAsia" w:hAnsiTheme="minorHAnsi" w:cstheme="minorBidi"/>
              <w:noProof/>
              <w:kern w:val="2"/>
              <w:sz w:val="24"/>
              <w:szCs w:val="24"/>
              <w:lang w:val="en-HR" w:eastAsia="en-GB"/>
              <w14:ligatures w14:val="standardContextual"/>
            </w:rPr>
          </w:pPr>
          <w:hyperlink w:anchor="_Toc192781510" w:history="1">
            <w:r w:rsidRPr="00C35B6D">
              <w:rPr>
                <w:rStyle w:val="Hyperlink"/>
                <w:noProof/>
                <w:lang w:val="en-US"/>
              </w:rPr>
              <w:t>4.</w:t>
            </w:r>
            <w:r>
              <w:rPr>
                <w:rFonts w:asciiTheme="minorHAnsi" w:eastAsiaTheme="minorEastAsia" w:hAnsiTheme="minorHAnsi" w:cstheme="minorBidi"/>
                <w:noProof/>
                <w:kern w:val="2"/>
                <w:sz w:val="24"/>
                <w:szCs w:val="24"/>
                <w:lang w:val="en-HR" w:eastAsia="en-GB"/>
                <w14:ligatures w14:val="standardContextual"/>
              </w:rPr>
              <w:tab/>
            </w:r>
            <w:r w:rsidRPr="00C35B6D">
              <w:rPr>
                <w:rStyle w:val="Hyperlink"/>
                <w:noProof/>
                <w:lang w:val="en-US"/>
              </w:rPr>
              <w:t>Conclusion</w:t>
            </w:r>
            <w:r>
              <w:rPr>
                <w:noProof/>
                <w:webHidden/>
              </w:rPr>
              <w:tab/>
            </w:r>
            <w:r>
              <w:rPr>
                <w:noProof/>
                <w:webHidden/>
              </w:rPr>
              <w:fldChar w:fldCharType="begin"/>
            </w:r>
            <w:r>
              <w:rPr>
                <w:noProof/>
                <w:webHidden/>
              </w:rPr>
              <w:instrText xml:space="preserve"> PAGEREF _Toc192781510 \h </w:instrText>
            </w:r>
            <w:r>
              <w:rPr>
                <w:noProof/>
                <w:webHidden/>
              </w:rPr>
            </w:r>
            <w:r>
              <w:rPr>
                <w:noProof/>
                <w:webHidden/>
              </w:rPr>
              <w:fldChar w:fldCharType="separate"/>
            </w:r>
            <w:r>
              <w:rPr>
                <w:noProof/>
                <w:webHidden/>
              </w:rPr>
              <w:t>4</w:t>
            </w:r>
            <w:r>
              <w:rPr>
                <w:noProof/>
                <w:webHidden/>
              </w:rPr>
              <w:fldChar w:fldCharType="end"/>
            </w:r>
          </w:hyperlink>
        </w:p>
        <w:p w14:paraId="2DC7FE52" w14:textId="3FB60BAD" w:rsidR="0034607E" w:rsidRDefault="0034607E">
          <w:pPr>
            <w:pStyle w:val="TOC1"/>
            <w:tabs>
              <w:tab w:val="left" w:pos="480"/>
              <w:tab w:val="right" w:leader="dot" w:pos="9628"/>
            </w:tabs>
            <w:rPr>
              <w:rFonts w:asciiTheme="minorHAnsi" w:eastAsiaTheme="minorEastAsia" w:hAnsiTheme="minorHAnsi" w:cstheme="minorBidi"/>
              <w:noProof/>
              <w:kern w:val="2"/>
              <w:sz w:val="24"/>
              <w:szCs w:val="24"/>
              <w:lang w:val="en-HR" w:eastAsia="en-GB"/>
              <w14:ligatures w14:val="standardContextual"/>
            </w:rPr>
          </w:pPr>
          <w:hyperlink w:anchor="_Toc192781511" w:history="1">
            <w:r w:rsidRPr="00C35B6D">
              <w:rPr>
                <w:rStyle w:val="Hyperlink"/>
                <w:noProof/>
                <w:lang w:val="en-US"/>
              </w:rPr>
              <w:t>5.</w:t>
            </w:r>
            <w:r>
              <w:rPr>
                <w:rFonts w:asciiTheme="minorHAnsi" w:eastAsiaTheme="minorEastAsia" w:hAnsiTheme="minorHAnsi" w:cstheme="minorBidi"/>
                <w:noProof/>
                <w:kern w:val="2"/>
                <w:sz w:val="24"/>
                <w:szCs w:val="24"/>
                <w:lang w:val="en-HR" w:eastAsia="en-GB"/>
                <w14:ligatures w14:val="standardContextual"/>
              </w:rPr>
              <w:tab/>
            </w:r>
            <w:r w:rsidRPr="00C35B6D">
              <w:rPr>
                <w:rStyle w:val="Hyperlink"/>
                <w:noProof/>
                <w:lang w:val="en-US"/>
              </w:rPr>
              <w:t>References</w:t>
            </w:r>
            <w:r>
              <w:rPr>
                <w:noProof/>
                <w:webHidden/>
              </w:rPr>
              <w:tab/>
            </w:r>
            <w:r>
              <w:rPr>
                <w:noProof/>
                <w:webHidden/>
              </w:rPr>
              <w:fldChar w:fldCharType="begin"/>
            </w:r>
            <w:r>
              <w:rPr>
                <w:noProof/>
                <w:webHidden/>
              </w:rPr>
              <w:instrText xml:space="preserve"> PAGEREF _Toc192781511 \h </w:instrText>
            </w:r>
            <w:r>
              <w:rPr>
                <w:noProof/>
                <w:webHidden/>
              </w:rPr>
            </w:r>
            <w:r>
              <w:rPr>
                <w:noProof/>
                <w:webHidden/>
              </w:rPr>
              <w:fldChar w:fldCharType="separate"/>
            </w:r>
            <w:r>
              <w:rPr>
                <w:noProof/>
                <w:webHidden/>
              </w:rPr>
              <w:t>5</w:t>
            </w:r>
            <w:r>
              <w:rPr>
                <w:noProof/>
                <w:webHidden/>
              </w:rPr>
              <w:fldChar w:fldCharType="end"/>
            </w:r>
          </w:hyperlink>
        </w:p>
        <w:p w14:paraId="0E93FDF5" w14:textId="6C745386" w:rsidR="004940BA" w:rsidRDefault="00AA6C86">
          <w:pPr>
            <w:pStyle w:val="TOC1"/>
            <w:tabs>
              <w:tab w:val="left" w:pos="0"/>
              <w:tab w:val="left" w:pos="390"/>
              <w:tab w:val="right" w:leader="dot" w:pos="9630"/>
            </w:tabs>
            <w:rPr>
              <w:lang w:val="en-US"/>
            </w:rPr>
          </w:pPr>
          <w:r>
            <w:rPr>
              <w:rStyle w:val="IndexLink"/>
            </w:rPr>
            <w:fldChar w:fldCharType="end"/>
          </w:r>
        </w:p>
      </w:sdtContent>
    </w:sdt>
    <w:p w14:paraId="5DAB6C7B" w14:textId="77777777" w:rsidR="004940BA" w:rsidRDefault="004940BA">
      <w:pPr>
        <w:rPr>
          <w:lang w:val="en-US"/>
        </w:rPr>
      </w:pPr>
    </w:p>
    <w:p w14:paraId="02EB378F" w14:textId="77777777" w:rsidR="004940BA" w:rsidRDefault="00AA6C86">
      <w:pPr>
        <w:rPr>
          <w:lang w:val="en-US"/>
        </w:rPr>
      </w:pPr>
      <w:r>
        <w:br w:type="page"/>
      </w:r>
    </w:p>
    <w:p>
      <w:pPr>
        <w:pStyle w:val="Heading1"/>
        <w:numPr>
          <w:ilvl w:val="0"/>
          <w:numId w:val="1"/>
        </w:numPr>
      </w:pPr>
      <w:r>
        <w:t xml:space="preserve">Abstract</w:t>
      </w:r>
    </w:p>
    <w:p>
      <w:r>
        <w:t xml:space="preserve">IT agencija TechSprint treba automatiziran način kreiranja izoliranih testnih okolina za svoje programere, za potrebe testiranja Moodle aplikacije. Ovaj projekt dizajnira i implementira takvu okolinu paralelno na dvije cloud platforme – OpenStack (putem Red Hat Academy sandboxa) i Microsoft Azure – kako bi se usporedile mogućnosti i troškovi oba pristupa. Svaki programer dobiva vlastitu mrežno izoliranu okolinu s dvije instance Moodle aplikacije u visokoj dostupnosti, uz objektnu i datotečnu pohranu automatski montiranu na aplikacijske instance. Pristup okolini omogućen je isključivo kroz jump host, dok DevOps Lead ima centraliziranu kontrolu nad svim resursima. Cijeli deployment automatiziran je kroz Infrastructure as Code alate (Terraform, Ansible, Bicep) i pokreće se jednom, na temelju CSV datoteke s popisom korisnika i njihovih rola. Dokument opisuje odabrane elemente arhitekture, sigurnosne koncepte, IAM strukturu na oba oblaka te procjenu mjesečnih troškova za Azure okolinu.</w:t>
      </w:r>
    </w:p>
    <w:p/>
    <w:p>
      <w:pPr>
        <w:pageBreakBefore/>
        <w:pStyle w:val="Heading1"/>
        <w:numPr>
          <w:ilvl w:val="0"/>
          <w:numId w:val="1"/>
        </w:numPr>
      </w:pPr>
      <w:r>
        <w:t xml:space="preserve">Uvod</w:t>
      </w:r>
    </w:p>
    <w:p>
      <w:r>
        <w:t xml:space="preserve">Ovaj dokument odgovara na pet ključnih pitanja projektnog zadatka: koji se problem rješava (izolirana, automatizirana testna okolina za programere), kako je taj problem uobičajeno rješavan (multi-cloud IaC pristupi opisani u službenoj OpenStack i Azure dokumentaciji), što je konkretno napravljeno (opisano kroz poglavlja I1–I5), koji su rezultati (funkcionalna, automatizirana okolina testirana za dva programera i jednog voditelja tima) te koji su sljedeći koraci (proširenje na dodatne programere, dodatna automatizacija monitoringa i alarmiranja).</w:t>
      </w:r>
    </w:p>
    <w:p/>
    <w:p>
      <w:r>
        <w:t xml:space="preserve">Poglavlja koja slijede namjerno su organizirana prema ishodima učenja kolegija (I1–I5), a ne prema generičkoj strukturi izvještaja, kako bi izravno odgovarala kriterijima bodovanja projekta definiranima u projektnom zadatku.</w:t>
      </w:r>
    </w:p>
    <w:p/>
    <w:p>
      <w:pPr>
        <w:pageBreakBefore/>
        <w:pStyle w:val="Heading1"/>
        <w:numPr>
          <w:ilvl w:val="0"/>
          <w:numId w:val="1"/>
        </w:numPr>
      </w:pPr>
      <w:r>
        <w:t xml:space="preserve">I1 – Elementi računarstva u oblaku i otvoreni kod</w:t>
      </w:r>
    </w:p>
    <w:p>
      <w:r>
        <w:rPr>
          <w:i/>
        </w:rPr>
        <w:t xml:space="preserve">Napomena: ovo poglavlje odgovara na kriterij I1 (20 bodova) – objašnjenje odabira elemenata, procjenu troškova, usporedbu Azure/OpenStack, konvenciju imenovanja i tag strategiju.</w:t>
      </w:r>
    </w:p>
    <w:p/>
    <w:p>
      <w:pPr>
        <w:pStyle w:val="Heading2"/>
        <w:numPr>
          <w:ilvl w:val="1"/>
          <w:numId w:val="2"/>
        </w:numPr>
      </w:pPr>
      <w:r>
        <w:t xml:space="preserve">Pretpostavke arhitekture</w:t>
      </w:r>
    </w:p>
    <w:p>
      <w:r>
        <w:t xml:space="preserve">Procjena je izrađena za scenarij 2 developera + 1 DevOps Lead, u skladu sa zahtjevima zadatka:</w:t>
      </w:r>
    </w:p>
    <w:tbl>
      <w:tblPr>
        <w:tblW w:w="9638" w:type="dxa"/>
        <w:jc w:val="center"/>
        <w:tblLayout w:type="fixed"/>
        <w:tblLook w:val="0400" w:firstRow="1" w:lastRow="0" w:firstColumn="0" w:lastColumn="0" w:noHBand="0" w:noVBand="1"/>
      </w:tblPr>
      <w:tblGrid>
        <w:gridCol w:w="3200"/>
        <w:gridCol w:w="1800"/>
        <w:gridCol w:w="4638"/>
      </w:tblGrid>
      <w:tr>
        <w:tc>
          <w:tcPr>
            <w:tcW w:w="32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rPr>
                <w:b/>
              </w:rPr>
              <w:t xml:space="preserve">Uloga</w:t>
            </w:r>
          </w:p>
        </w:tc>
        <w:tc>
          <w:tcPr>
            <w:tcW w:w="18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rPr>
                <w:b/>
              </w:rPr>
              <w:t xml:space="preserve">Broj instanci</w:t>
            </w:r>
          </w:p>
        </w:tc>
        <w:tc>
          <w:tcPr>
            <w:tcW w:w="46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rPr>
                <w:b/>
              </w:rPr>
              <w:t xml:space="preserve">Napomena</w:t>
            </w:r>
          </w:p>
        </w:tc>
      </w:tr>
      <w:tr>
        <w:tc>
          <w:tcPr>
            <w:tcW w:w="32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Jump host / Bastion</w:t>
            </w:r>
          </w:p>
        </w:tc>
        <w:tc>
          <w:tcPr>
            <w:tcW w:w="18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1</w:t>
            </w:r>
          </w:p>
        </w:tc>
        <w:tc>
          <w:tcPr>
            <w:tcW w:w="46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Jedini javno dostupan resurs</w:t>
            </w:r>
          </w:p>
        </w:tc>
      </w:tr>
      <w:tr>
        <w:tc>
          <w:tcPr>
            <w:tcW w:w="32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DevOps Lead VM</w:t>
            </w:r>
          </w:p>
        </w:tc>
        <w:tc>
          <w:tcPr>
            <w:tcW w:w="18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1</w:t>
            </w:r>
          </w:p>
        </w:tc>
        <w:tc>
          <w:tcPr>
            <w:tcW w:w="46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Centralni admin VM, SSH pristup na sve ostalo</w:t>
            </w:r>
          </w:p>
        </w:tc>
      </w:tr>
      <w:tr>
        <w:tc>
          <w:tcPr>
            <w:tcW w:w="32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Moodle VM (po developeru)</w:t>
            </w:r>
          </w:p>
        </w:tc>
        <w:tc>
          <w:tcPr>
            <w:tcW w:w="18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2 × 2 = 4</w:t>
            </w:r>
          </w:p>
        </w:tc>
        <w:tc>
          <w:tcPr>
            <w:tcW w:w="46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HA par (load-balanciran) po developeru</w:t>
            </w:r>
          </w:p>
        </w:tc>
      </w:tr>
      <w:tr>
        <w:tc>
          <w:tcPr>
            <w:tcW w:w="32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Objektna pohrana (po developeru)</w:t>
            </w:r>
          </w:p>
        </w:tc>
        <w:tc>
          <w:tcPr>
            <w:tcW w:w="18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2</w:t>
            </w:r>
          </w:p>
        </w:tc>
        <w:tc>
          <w:tcPr>
            <w:tcW w:w="46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OpenStack: VM s MinIO; Azure: Storage Account (Blob)</w:t>
            </w:r>
          </w:p>
        </w:tc>
      </w:tr>
      <w:tr>
        <w:tc>
          <w:tcPr>
            <w:tcW w:w="32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Datotečna pohrana (po developeru)</w:t>
            </w:r>
          </w:p>
        </w:tc>
        <w:tc>
          <w:tcPr>
            <w:tcW w:w="18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2</w:t>
            </w:r>
          </w:p>
        </w:tc>
        <w:tc>
          <w:tcPr>
            <w:tcW w:w="46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OpenStack: VM s NFS/Samba; Azure: Storage Account (Files)</w:t>
            </w:r>
          </w:p>
        </w:tc>
      </w:tr>
    </w:tbl>
    <w:p/>
    <w:p>
      <w:pPr>
        <w:pStyle w:val="Heading2"/>
        <w:numPr>
          <w:ilvl w:val="1"/>
          <w:numId w:val="2"/>
        </w:numPr>
      </w:pPr>
      <w:r>
        <w:t xml:space="preserve">Objašnjenje odabira elemenata</w:t>
      </w:r>
    </w:p>
    <w:p>
      <w:pPr>
        <w:spacing w:before="160"/>
      </w:pPr>
      <w:r>
        <w:rPr>
          <w:b/>
        </w:rPr>
        <w:t xml:space="preserve">Load Balancer</w:t>
      </w:r>
    </w:p>
    <w:p>
      <w:pPr>
        <w:numPr>
          <w:ilvl w:val="0"/>
          <w:numId w:val="3"/>
        </w:numPr>
      </w:pPr>
      <w:r>
        <w:t xml:space="preserve">OpenStack: Octavia (LBaaS v2) kao nativno rješenje; ako nije dostupno na RHA sandboxu, zamjena je HAProxy na dodatnoj VM instanci po developeru.</w:t>
      </w:r>
    </w:p>
    <w:p>
      <w:pPr>
        <w:numPr>
          <w:ilvl w:val="0"/>
          <w:numId w:val="3"/>
        </w:numPr>
      </w:pPr>
      <w:r>
        <w:t xml:space="preserve">Azure: Azure Load Balancer (Standard SKU, interni). Application Gateway nije potreban jer Moodle HA par zahtijeva samo L4 (TCP) balansiranje unutar izolirane mreže, bez potrebe za L7 značajkama.</w:t>
      </w:r>
    </w:p>
    <w:p>
      <w:pPr>
        <w:spacing w:before="160"/>
      </w:pPr>
      <w:r>
        <w:rPr>
          <w:b/>
        </w:rPr>
        <w:t xml:space="preserve">Objektna pohrana (Moodle datoteke)</w:t>
      </w:r>
    </w:p>
    <w:p>
      <w:pPr>
        <w:numPr>
          <w:ilvl w:val="0"/>
          <w:numId w:val="3"/>
        </w:numPr>
      </w:pPr>
      <w:r>
        <w:t xml:space="preserve">OpenStack: Swift ako je dostupan; alternativa je MinIO (S3-kompatibilan) na zasebnoj VM po developeru, koji se konfigurira identično kroz Moodle dodatak tool_objectfs.</w:t>
      </w:r>
    </w:p>
    <w:p>
      <w:pPr>
        <w:numPr>
          <w:ilvl w:val="0"/>
          <w:numId w:val="3"/>
        </w:numPr>
      </w:pPr>
      <w:r>
        <w:t xml:space="preserve">Azure: Storage Account s Blob kontejnerom (Hot tier, LRS) – potpuno upravljana usluga, bez potrebe za održavanjem VM-a.</w:t>
      </w:r>
    </w:p>
    <w:p>
      <w:pPr>
        <w:spacing w:before="160"/>
      </w:pPr>
      <w:r>
        <w:rPr>
          <w:b/>
        </w:rPr>
        <w:t xml:space="preserve">Datotečna pohrana (backupi)</w:t>
      </w:r>
    </w:p>
    <w:p>
      <w:pPr>
        <w:numPr>
          <w:ilvl w:val="0"/>
          <w:numId w:val="3"/>
        </w:numPr>
      </w:pPr>
      <w:r>
        <w:t xml:space="preserve">OpenStack: Manila ako je dostupna; alternativa je NFS server na zasebnoj VM po developeru (jednostavnija automatizacija kroz Ansible od Samba/CIFS-a).</w:t>
      </w:r>
    </w:p>
    <w:p>
      <w:pPr>
        <w:numPr>
          <w:ilvl w:val="0"/>
          <w:numId w:val="3"/>
        </w:numPr>
      </w:pPr>
      <w:r>
        <w:t xml:space="preserve">Azure: Azure Files (Standard, LRS), mountano preko SMB-a uz Managed Identity umjesto storage account ključa (least-privilege).</w:t>
      </w:r>
    </w:p>
    <w:p>
      <w:pPr>
        <w:spacing w:before="160"/>
      </w:pPr>
      <w:r>
        <w:rPr>
          <w:b/>
        </w:rPr>
        <w:t xml:space="preserve">Tip virtualne mašine</w:t>
      </w:r>
    </w:p>
    <w:p>
      <w:pPr>
        <w:numPr>
          <w:ilvl w:val="0"/>
          <w:numId w:val="3"/>
        </w:numPr>
      </w:pPr>
      <w:r>
        <w:t xml:space="preserve">Azure: Standard_B2s (2 vCPU, 4 GiB RAM) – točno odgovara zahtjevu zadatka; burstable serija je jeftinija od D2s_v3 (8 GiB RAM, više nego što je potrebno) za testnu okolinu s povremenim opterećenjem.</w:t>
      </w:r>
    </w:p>
    <w:p>
      <w:pPr>
        <w:numPr>
          <w:ilvl w:val="0"/>
          <w:numId w:val="3"/>
        </w:numPr>
      </w:pPr>
      <w:r>
        <w:t xml:space="preserve">OpenStack: custom flavor 2 vCPU / 4 GB RAM (npr. m1.techsprint.small), kreiran eksplicitno da odgovori zahtjevu ako standardni flavori ne odgovaraju.</w:t>
      </w:r>
    </w:p>
    <w:p>
      <w:pPr>
        <w:spacing w:before="160"/>
      </w:pPr>
      <w:r>
        <w:rPr>
          <w:b/>
        </w:rPr>
        <w:t xml:space="preserve">Tip diska</w:t>
      </w:r>
    </w:p>
    <w:p>
      <w:pPr>
        <w:numPr>
          <w:ilvl w:val="0"/>
          <w:numId w:val="3"/>
        </w:numPr>
      </w:pPr>
      <w:r>
        <w:t xml:space="preserve">Azure: Managed Disks, Standard SSD (LRS) – konzistentnija latencija od HDD-a za bazu podataka, niža cijena od Premium SSD-a koji nije potreban za testnu okolinu. OS disk 32 GiB, data disk 64 GiB.</w:t>
      </w:r>
    </w:p>
    <w:p>
      <w:pPr>
        <w:numPr>
          <w:ilvl w:val="0"/>
          <w:numId w:val="3"/>
        </w:numPr>
      </w:pPr>
      <w:r>
        <w:t xml:space="preserve">OpenStack: Cinder blok-pohrana ekvivalentnih veličina (32 GB / 64 GB), backend prema onome što sandbox nudi (Ceph RBD ili LVM).</w:t>
      </w:r>
    </w:p>
    <w:p/>
    <w:p>
      <w:pPr>
        <w:pStyle w:val="Heading2"/>
        <w:numPr>
          <w:ilvl w:val="1"/>
          <w:numId w:val="2"/>
        </w:numPr>
      </w:pPr>
      <w:r>
        <w:t xml:space="preserve">Procjena mjesečnih troškova (Azure)</w:t>
      </w:r>
    </w:p>
    <w:p>
      <w:r>
        <w:t xml:space="preserve">Procjena za 2 developera + 1 DevOps Lead, Pay-As-You-Go, regija West Europe, cijene u USD (stanje: kolovoz 2026.). Prije predaje preporučeno je potvrditi točne brojke kroz Azure Pricing Calculator.</w:t>
      </w:r>
    </w:p>
    <w:tbl>
      <w:tblPr>
        <w:tblW w:w="9638" w:type="dxa"/>
        <w:jc w:val="center"/>
        <w:tblLayout w:type="fixed"/>
        <w:tblLook w:val="0400" w:firstRow="1" w:lastRow="0" w:firstColumn="0" w:lastColumn="0" w:noHBand="0" w:noVBand="1"/>
      </w:tblPr>
      <w:tblGrid>
        <w:gridCol w:w="4300"/>
        <w:gridCol w:w="1400"/>
        <w:gridCol w:w="1969"/>
        <w:gridCol w:w="1969"/>
      </w:tblGrid>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rPr>
                <w:b/>
              </w:rPr>
              <w:t xml:space="preserve">Stavka</w:t>
            </w:r>
          </w:p>
        </w:tc>
        <w:tc>
          <w:tcPr>
            <w:tcW w:w="14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rPr>
                <w:b/>
              </w:rPr>
              <w:t xml:space="preserve">Količina</w:t>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rPr>
                <w:b/>
              </w:rPr>
              <w:t xml:space="preserve">Jed. cijena/mj.</w:t>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rPr>
                <w:b/>
              </w:rPr>
              <w:t xml:space="preserve">Ukupno/mj.</w:t>
            </w:r>
          </w:p>
        </w:tc>
      </w:tr>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VM Standard_B2s – jump host</w:t>
            </w:r>
          </w:p>
        </w:tc>
        <w:tc>
          <w:tcPr>
            <w:tcW w:w="14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1</w:t>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$30.70</w:t>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$30.70</w:t>
            </w:r>
          </w:p>
        </w:tc>
      </w:tr>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VM Standard_B2s – DevOps Lead</w:t>
            </w:r>
          </w:p>
        </w:tc>
        <w:tc>
          <w:tcPr>
            <w:tcW w:w="14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1</w:t>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$30.70</w:t>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$30.70</w:t>
            </w:r>
          </w:p>
        </w:tc>
      </w:tr>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VM Standard_B2s – Moodle (2×/dev)</w:t>
            </w:r>
          </w:p>
        </w:tc>
        <w:tc>
          <w:tcPr>
            <w:tcW w:w="14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4</w:t>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$30.70</w:t>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$122.80</w:t>
            </w:r>
          </w:p>
        </w:tc>
      </w:tr>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OS disk, Std SSD LRS, 32 GiB</w:t>
            </w:r>
          </w:p>
        </w:tc>
        <w:tc>
          <w:tcPr>
            <w:tcW w:w="14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6</w:t>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$2.40</w:t>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$14.40</w:t>
            </w:r>
          </w:p>
        </w:tc>
      </w:tr>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Data disk, Std SSD LRS, 64 GiB</w:t>
            </w:r>
          </w:p>
        </w:tc>
        <w:tc>
          <w:tcPr>
            <w:tcW w:w="14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4</w:t>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$4.80</w:t>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$19.20</w:t>
            </w:r>
          </w:p>
        </w:tc>
      </w:tr>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Storage Account – Blob (Hot, LRS), ~50 GB/dev</w:t>
            </w:r>
          </w:p>
        </w:tc>
        <w:tc>
          <w:tcPr>
            <w:tcW w:w="14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2</w:t>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$0.90</w:t>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$1.80</w:t>
            </w:r>
          </w:p>
        </w:tc>
      </w:tr>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Storage Account – Files (Std, LRS), ~50 GB/dev</w:t>
            </w:r>
          </w:p>
        </w:tc>
        <w:tc>
          <w:tcPr>
            <w:tcW w:w="14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2</w:t>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$3.00</w:t>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$6.00</w:t>
            </w:r>
          </w:p>
        </w:tc>
      </w:tr>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Standard Load Balancer (interni, po dev)</w:t>
            </w:r>
          </w:p>
        </w:tc>
        <w:tc>
          <w:tcPr>
            <w:tcW w:w="14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2</w:t>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$18.25</w:t>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$36.50</w:t>
            </w:r>
          </w:p>
        </w:tc>
      </w:tr>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Javni IP (Standard, statički) – jump host</w:t>
            </w:r>
          </w:p>
        </w:tc>
        <w:tc>
          <w:tcPr>
            <w:tcW w:w="14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1</w:t>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$3.65</w:t>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$3.65</w:t>
            </w:r>
          </w:p>
        </w:tc>
      </w:tr>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Odlazni promet – unutar besplatnog praga</w:t>
            </w:r>
          </w:p>
        </w:tc>
        <w:tc>
          <w:tcPr>
            <w:tcW w:w="14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w:t>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w:t>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$0.00</w:t>
            </w:r>
          </w:p>
        </w:tc>
      </w:tr>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UKUPNO (procjena)</w:t>
            </w:r>
          </w:p>
        </w:tc>
        <w:tc>
          <w:tcPr>
            <w:tcW w:w="14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
            </w:r>
          </w:p>
        </w:tc>
        <w:tc>
          <w:tcPr>
            <w:tcW w:w="196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 $265,75 / mj.</w:t>
            </w:r>
          </w:p>
        </w:tc>
      </w:tr>
    </w:tbl>
    <w:p/>
    <w:p>
      <w:r>
        <w:rPr>
          <w:b/>
        </w:rPr>
        <w:t xml:space="preserve">Napomene:</w:t>
      </w:r>
    </w:p>
    <w:p>
      <w:pPr>
        <w:numPr>
          <w:ilvl w:val="0"/>
          <w:numId w:val="3"/>
        </w:numPr>
      </w:pPr>
      <w:r>
        <w:t xml:space="preserve">NSG, VNet, Managed Identity i RBAC dodjele ne generiraju dodatni trošak.</w:t>
      </w:r>
    </w:p>
    <w:p>
      <w:pPr>
        <w:numPr>
          <w:ilvl w:val="0"/>
          <w:numId w:val="3"/>
        </w:numPr>
      </w:pPr>
      <w:r>
        <w:t xml:space="preserve">Veći tip za DevOps Lead VM (npr. D2s_v3, $70.46/mj.) povećao bi trošak za ≈ $40/mj.</w:t>
      </w:r>
    </w:p>
    <w:p>
      <w:pPr>
        <w:numPr>
          <w:ilvl w:val="0"/>
          <w:numId w:val="3"/>
        </w:numPr>
      </w:pPr>
      <w:r>
        <w:t xml:space="preserve">Svaki dodatni developer dodaje ≈ $95–100/mj.</w:t>
      </w:r>
    </w:p>
    <w:p>
      <w:pPr>
        <w:numPr>
          <w:ilvl w:val="0"/>
          <w:numId w:val="3"/>
        </w:numPr>
      </w:pPr>
      <w:r>
        <w:t xml:space="preserve">Iznos ne uključuje PDV niti Reserved Instance popuste.</w:t>
      </w:r>
    </w:p>
    <w:p/>
    <w:p>
      <w:pPr>
        <w:pStyle w:val="Heading2"/>
        <w:numPr>
          <w:ilvl w:val="1"/>
          <w:numId w:val="2"/>
        </w:numPr>
      </w:pPr>
      <w:r>
        <w:t xml:space="preserve">Usporedba ponude Azure i OpenStack elemenata</w:t>
      </w:r>
    </w:p>
    <w:tbl>
      <w:tblPr>
        <w:tblW w:w="9638" w:type="dxa"/>
        <w:jc w:val="center"/>
        <w:tblLayout w:type="fixed"/>
        <w:tblLook w:val="0400" w:firstRow="1" w:lastRow="0" w:firstColumn="0" w:lastColumn="0" w:noHBand="0" w:noVBand="1"/>
      </w:tblPr>
      <w:tblGrid>
        <w:gridCol w:w="2300"/>
        <w:gridCol w:w="3600"/>
        <w:gridCol w:w="3738"/>
      </w:tblGrid>
      <w:tr>
        <w:tc>
          <w:tcPr>
            <w:tcW w:w="2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rPr>
                <w:b/>
              </w:rPr>
              <w:t xml:space="preserve">Element</w:t>
            </w:r>
          </w:p>
        </w:tc>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rPr>
                <w:b/>
              </w:rPr>
              <w:t xml:space="preserve">Azure</w:t>
            </w:r>
          </w:p>
        </w:tc>
        <w:tc>
          <w:tcPr>
            <w:tcW w:w="37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rPr>
                <w:b/>
              </w:rPr>
              <w:t xml:space="preserve">OpenStack</w:t>
            </w:r>
          </w:p>
        </w:tc>
      </w:tr>
      <w:tr>
        <w:tc>
          <w:tcPr>
            <w:tcW w:w="2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Računalni resurs</w:t>
            </w:r>
          </w:p>
        </w:tc>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Virtual Machines (gotovi SKU-ovi)</w:t>
            </w:r>
          </w:p>
        </w:tc>
        <w:tc>
          <w:tcPr>
            <w:tcW w:w="37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Nova instance (fleksibilni flavori)</w:t>
            </w:r>
          </w:p>
        </w:tc>
      </w:tr>
      <w:tr>
        <w:tc>
          <w:tcPr>
            <w:tcW w:w="2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Load Balancer</w:t>
            </w:r>
          </w:p>
        </w:tc>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Azure LB (L4) / App Gateway (L7)</w:t>
            </w:r>
          </w:p>
        </w:tc>
        <w:tc>
          <w:tcPr>
            <w:tcW w:w="37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Octavia (LBaaS v2)</w:t>
            </w:r>
          </w:p>
        </w:tc>
      </w:tr>
      <w:tr>
        <w:tc>
          <w:tcPr>
            <w:tcW w:w="2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Objektna pohrana</w:t>
            </w:r>
          </w:p>
        </w:tc>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Blob Storage (uvijek PaaS)</w:t>
            </w:r>
          </w:p>
        </w:tc>
        <w:tc>
          <w:tcPr>
            <w:tcW w:w="37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Swift (PaaS, ako dostupno) ili MinIO na VM</w:t>
            </w:r>
          </w:p>
        </w:tc>
      </w:tr>
      <w:tr>
        <w:tc>
          <w:tcPr>
            <w:tcW w:w="2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Datotečna pohrana</w:t>
            </w:r>
          </w:p>
        </w:tc>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Azure Files (uvijek PaaS)</w:t>
            </w:r>
          </w:p>
        </w:tc>
        <w:tc>
          <w:tcPr>
            <w:tcW w:w="37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Manila (PaaS, ako dostupno) ili NFS/Samba na VM</w:t>
            </w:r>
          </w:p>
        </w:tc>
      </w:tr>
      <w:tr>
        <w:tc>
          <w:tcPr>
            <w:tcW w:w="2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Blok pohrana</w:t>
            </w:r>
          </w:p>
        </w:tc>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Managed Disks (ujednačeni tieri)</w:t>
            </w:r>
          </w:p>
        </w:tc>
        <w:tc>
          <w:tcPr>
            <w:tcW w:w="37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Cinder volumes (ovisi o backendu)</w:t>
            </w:r>
          </w:p>
        </w:tc>
      </w:tr>
      <w:tr>
        <w:tc>
          <w:tcPr>
            <w:tcW w:w="2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Mreža</w:t>
            </w:r>
          </w:p>
        </w:tc>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VNet, NSG, ASG</w:t>
            </w:r>
          </w:p>
        </w:tc>
        <w:tc>
          <w:tcPr>
            <w:tcW w:w="37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Neutron (mreže, ruteri, security groups)</w:t>
            </w:r>
          </w:p>
        </w:tc>
      </w:tr>
      <w:tr>
        <w:tc>
          <w:tcPr>
            <w:tcW w:w="2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Identitet/pristup</w:t>
            </w:r>
          </w:p>
        </w:tc>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Azure AD/Entra ID + RBAC</w:t>
            </w:r>
          </w:p>
        </w:tc>
        <w:tc>
          <w:tcPr>
            <w:tcW w:w="37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Keystone (projekti, korisnici, role)</w:t>
            </w:r>
          </w:p>
        </w:tc>
      </w:tr>
      <w:tr>
        <w:tc>
          <w:tcPr>
            <w:tcW w:w="2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Naplaćivanje</w:t>
            </w:r>
          </w:p>
        </w:tc>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Isključivo pay-as-you-go</w:t>
            </w:r>
          </w:p>
        </w:tc>
        <w:tc>
          <w:tcPr>
            <w:tcW w:w="37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Ovisi o operateru; RHA sandbox je edukacijski</w:t>
            </w:r>
          </w:p>
        </w:tc>
      </w:tr>
      <w:tr>
        <w:tc>
          <w:tcPr>
            <w:tcW w:w="2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Operativna odgovornost</w:t>
            </w:r>
          </w:p>
        </w:tc>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Microsoft upravlja platformom</w:t>
            </w:r>
          </w:p>
        </w:tc>
        <w:tc>
          <w:tcPr>
            <w:tcW w:w="37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Operater upravlja infrastrukturom, korisnik OS-om</w:t>
            </w:r>
          </w:p>
        </w:tc>
      </w:tr>
    </w:tbl>
    <w:p/>
    <w:p>
      <w:r>
        <w:t xml:space="preserve">Zaključak: Azure nudi ujednačeniju, potpuno upravljanu (PaaS) ponudu uz jasnu, javno dostupnu cijenu po resursu. OpenStack nudi ekvivalentnu funkcionalnost kao open-source softver bez licencnog troška, ali kvaliteta i dostupnost pojedinih servisa (posebno Swift/Manila) ovisi o konkretnom operateru, zbog čega je predviđen fallback na self-hosted rješenja (MinIO, NFS).</w:t>
      </w:r>
    </w:p>
    <w:p/>
    <w:p>
      <w:pPr>
        <w:pStyle w:val="Heading2"/>
        <w:numPr>
          <w:ilvl w:val="1"/>
          <w:numId w:val="2"/>
        </w:numPr>
      </w:pPr>
      <w:r>
        <w:t xml:space="preserve">Konvencija imenovanja resursa</w:t>
      </w:r>
    </w:p>
    <w:p>
      <w:r>
        <w:rPr>
          <w:i/>
        </w:rPr>
        <w:t xml:space="preserve">Svi resursi imenuju se prema shemi: &lt;projekt&gt;-&lt;environment&gt;-&lt;regija&gt;-&lt;uloga&gt;-&lt;identifikator&gt;-&lt;redni-broj&gt;</w:t>
      </w:r>
    </w:p>
    <w:tbl>
      <w:tblPr>
        <w:tblW w:w="9638" w:type="dxa"/>
        <w:jc w:val="center"/>
        <w:tblLayout w:type="fixed"/>
        <w:tblLook w:val="0400" w:firstRow="1" w:lastRow="0" w:firstColumn="0" w:lastColumn="0" w:noHBand="0" w:noVBand="1"/>
      </w:tblPr>
      <w:tblGrid>
        <w:gridCol w:w="4300"/>
        <w:gridCol w:w="5338"/>
      </w:tblGrid>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rPr>
                <w:b/>
              </w:rPr>
              <w:t xml:space="preserve">Resurs</w:t>
            </w:r>
          </w:p>
        </w:tc>
        <w:tc>
          <w:tcPr>
            <w:tcW w:w="53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rPr>
                <w:b/>
              </w:rPr>
              <w:t xml:space="preserve">Ime</w:t>
            </w:r>
          </w:p>
        </w:tc>
      </w:tr>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Jump host VM</w:t>
            </w:r>
          </w:p>
        </w:tc>
        <w:tc>
          <w:tcPr>
            <w:tcW w:w="53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techsprint-testing-weu-jump-shared-01</w:t>
            </w:r>
          </w:p>
        </w:tc>
      </w:tr>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DevOps Lead VM</w:t>
            </w:r>
          </w:p>
        </w:tc>
        <w:tc>
          <w:tcPr>
            <w:tcW w:w="53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techsprint-testing-weu-lead-shared-01</w:t>
            </w:r>
          </w:p>
        </w:tc>
      </w:tr>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Moodle VM #1, dev 1</w:t>
            </w:r>
          </w:p>
        </w:tc>
        <w:tc>
          <w:tcPr>
            <w:tcW w:w="53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techsprint-testing-weu-moodle-dev01-01</w:t>
            </w:r>
          </w:p>
        </w:tc>
      </w:tr>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Moodle VM #2, dev 1</w:t>
            </w:r>
          </w:p>
        </w:tc>
        <w:tc>
          <w:tcPr>
            <w:tcW w:w="53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techsprint-testing-weu-moodle-dev01-02</w:t>
            </w:r>
          </w:p>
        </w:tc>
      </w:tr>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Data disk, Moodle VM #1, dev 1</w:t>
            </w:r>
          </w:p>
        </w:tc>
        <w:tc>
          <w:tcPr>
            <w:tcW w:w="53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techsprint-testing-weu-disk-dev01-01</w:t>
            </w:r>
          </w:p>
        </w:tc>
      </w:tr>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Storage Account (objektna), dev 2</w:t>
            </w:r>
          </w:p>
        </w:tc>
        <w:tc>
          <w:tcPr>
            <w:tcW w:w="53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techsprinttestingweuobjdev02</w:t>
            </w:r>
          </w:p>
        </w:tc>
      </w:tr>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VNet, dev 2</w:t>
            </w:r>
          </w:p>
        </w:tc>
        <w:tc>
          <w:tcPr>
            <w:tcW w:w="53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techsprint-testing-weu-net-dev02</w:t>
            </w:r>
          </w:p>
        </w:tc>
      </w:tr>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NSG, dev 2</w:t>
            </w:r>
          </w:p>
        </w:tc>
        <w:tc>
          <w:tcPr>
            <w:tcW w:w="53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techsprint-testing-weu-nsg-dev02</w:t>
            </w:r>
          </w:p>
        </w:tc>
      </w:tr>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Load Balancer, dev 1</w:t>
            </w:r>
          </w:p>
        </w:tc>
        <w:tc>
          <w:tcPr>
            <w:tcW w:w="53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techsprint-testing-weu-lb-dev01</w:t>
            </w:r>
          </w:p>
        </w:tc>
      </w:tr>
      <w:tr>
        <w:tc>
          <w:tcPr>
            <w:tcW w:w="43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Resource Group, dev 1 (Azure)</w:t>
            </w:r>
          </w:p>
        </w:tc>
        <w:tc>
          <w:tcPr>
            <w:tcW w:w="53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techsprint-testing-rg-dev01</w:t>
            </w:r>
          </w:p>
        </w:tc>
      </w:tr>
    </w:tbl>
    <w:p/>
    <w:p>
      <w:r>
        <w:t xml:space="preserve">Iznimka je Azure Storage Account – ime mora biti globalno jedinstveno, isključivo mala slova i brojevi, bez crtica, do 24 znaka; konvencija se tada primjenjuje bez separatora.</w:t>
      </w:r>
    </w:p>
    <w:p/>
    <w:p>
      <w:pPr>
        <w:pStyle w:val="Heading2"/>
        <w:numPr>
          <w:ilvl w:val="1"/>
          <w:numId w:val="2"/>
        </w:numPr>
      </w:pPr>
      <w:r>
        <w:t xml:space="preserve">Tag / label strategija</w:t>
      </w:r>
    </w:p>
    <w:tbl>
      <w:tblPr>
        <w:tblW w:w="9638" w:type="dxa"/>
        <w:jc w:val="center"/>
        <w:tblLayout w:type="fixed"/>
        <w:tblLook w:val="0400" w:firstRow="1" w:lastRow="0" w:firstColumn="0" w:lastColumn="0" w:noHBand="0" w:noVBand="1"/>
      </w:tblPr>
      <w:tblGrid>
        <w:gridCol w:w="1800"/>
        <w:gridCol w:w="3200"/>
        <w:gridCol w:w="4638"/>
      </w:tblGrid>
      <w:tr>
        <w:tc>
          <w:tcPr>
            <w:tcW w:w="18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rPr>
                <w:b/>
              </w:rPr>
              <w:t xml:space="preserve">Tag</w:t>
            </w:r>
          </w:p>
        </w:tc>
        <w:tc>
          <w:tcPr>
            <w:tcW w:w="32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rPr>
                <w:b/>
              </w:rPr>
              <w:t xml:space="preserve">Vrijednost</w:t>
            </w:r>
          </w:p>
        </w:tc>
        <w:tc>
          <w:tcPr>
            <w:tcW w:w="46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rPr>
                <w:b/>
              </w:rPr>
              <w:t xml:space="preserve">Svrha</w:t>
            </w:r>
          </w:p>
        </w:tc>
      </w:tr>
      <w:tr>
        <w:tc>
          <w:tcPr>
            <w:tcW w:w="18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project</w:t>
            </w:r>
          </w:p>
        </w:tc>
        <w:tc>
          <w:tcPr>
            <w:tcW w:w="32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techsprint</w:t>
            </w:r>
          </w:p>
        </w:tc>
        <w:tc>
          <w:tcPr>
            <w:tcW w:w="46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Grupiranje svih resursa projekta</w:t>
            </w:r>
          </w:p>
        </w:tc>
      </w:tr>
      <w:tr>
        <w:tc>
          <w:tcPr>
            <w:tcW w:w="18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environment</w:t>
            </w:r>
          </w:p>
        </w:tc>
        <w:tc>
          <w:tcPr>
            <w:tcW w:w="32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testing</w:t>
            </w:r>
          </w:p>
        </w:tc>
        <w:tc>
          <w:tcPr>
            <w:tcW w:w="46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Razlikovanje testne od produkcijske okoline</w:t>
            </w:r>
          </w:p>
        </w:tc>
      </w:tr>
      <w:tr>
        <w:tc>
          <w:tcPr>
            <w:tcW w:w="18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owner</w:t>
            </w:r>
          </w:p>
        </w:tc>
        <w:tc>
          <w:tcPr>
            <w:tcW w:w="32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ime.prezime / devops-team</w:t>
            </w:r>
          </w:p>
        </w:tc>
        <w:tc>
          <w:tcPr>
            <w:tcW w:w="46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Odgovornost – vlasnik resursa</w:t>
            </w:r>
          </w:p>
        </w:tc>
      </w:tr>
      <w:tr>
        <w:tc>
          <w:tcPr>
            <w:tcW w:w="18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role</w:t>
            </w:r>
          </w:p>
        </w:tc>
        <w:tc>
          <w:tcPr>
            <w:tcW w:w="32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jump / lead / moodle / object-storage / file-storage</w:t>
            </w:r>
          </w:p>
        </w:tc>
        <w:tc>
          <w:tcPr>
            <w:tcW w:w="46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Brza identifikacija funkcije resursa</w:t>
            </w:r>
          </w:p>
        </w:tc>
      </w:tr>
      <w:tr>
        <w:tc>
          <w:tcPr>
            <w:tcW w:w="18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managed-by</w:t>
            </w:r>
          </w:p>
        </w:tc>
        <w:tc>
          <w:tcPr>
            <w:tcW w:w="320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terraform / bicep</w:t>
            </w:r>
          </w:p>
        </w:tc>
        <w:tc>
          <w:tcPr>
            <w:tcW w:w="463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pPr>
            <w:r>
              <w:t xml:space="preserve">Označava da se resursom ne upravlja ručno</w:t>
            </w:r>
          </w:p>
        </w:tc>
      </w:tr>
    </w:tbl>
    <w:p/>
    <w:p>
      <w:r>
        <w:t xml:space="preserve">Tagovi project: techsprint i environment: testing su obavezni na svakom resursu koji podržava tagiranje, definirani na razini IaC modula tako da se automatski primjenjuju na svaki novokreirani resurs.</w:t>
      </w:r>
    </w:p>
    <w:p>
      <w:pPr>
        <w:pageBreakBefore/>
        <w:pStyle w:val="Heading1"/>
        <w:numPr>
          <w:ilvl w:val="0"/>
          <w:numId w:val="1"/>
        </w:numPr>
      </w:pPr>
      <w:r>
        <w:t xml:space="preserve">I2 – Virtualne mreže, virtualna pohrana i sigurnosni koncepti otvorenog koda</w:t>
      </w:r>
    </w:p>
    <w:p>
      <w:r>
        <w:rPr>
          <w:i/>
        </w:rPr>
        <w:t xml:space="preserve">OpenStack mreže, pohrana i sigurnost – 20 bodova. Poglavlje se popunjava nakon dijagrama i uspješnog automatiziranog deploymenta na RHA sandboxu.</w:t>
      </w:r>
    </w:p>
    <w:p>
      <w:pPr>
        <w:numPr>
          <w:ilvl w:val="0"/>
          <w:numId w:val="3"/>
        </w:numPr>
      </w:pPr>
      <w:r>
        <w:t xml:space="preserve">Dijagram OpenStack arhitekture (3 boda) – [TBD]</w:t>
      </w:r>
    </w:p>
    <w:p>
      <w:pPr>
        <w:numPr>
          <w:ilvl w:val="0"/>
          <w:numId w:val="3"/>
        </w:numPr>
      </w:pPr>
      <w:r>
        <w:t xml:space="preserve">Automatizacija deploymenta bez grešaka (7 bodova) – [TBD: zahtijeva RHA pristup]</w:t>
      </w:r>
    </w:p>
    <w:p>
      <w:pPr>
        <w:numPr>
          <w:ilvl w:val="0"/>
          <w:numId w:val="3"/>
        </w:numPr>
      </w:pPr>
      <w:r>
        <w:t xml:space="preserve">Implementiran load balancer (3 boda) – [TBD]</w:t>
      </w:r>
    </w:p>
    <w:p>
      <w:pPr>
        <w:numPr>
          <w:ilvl w:val="0"/>
          <w:numId w:val="3"/>
        </w:numPr>
      </w:pPr>
      <w:r>
        <w:t xml:space="preserve">Kreirana i mountana dva diska za svaku instancu (1 bod) – [TBD]</w:t>
      </w:r>
    </w:p>
    <w:p>
      <w:pPr>
        <w:numPr>
          <w:ilvl w:val="0"/>
          <w:numId w:val="3"/>
        </w:numPr>
      </w:pPr>
      <w:r>
        <w:t xml:space="preserve">Mount objektne/datotečne pohrane uz least-privilege princip (2 boda) – [TBD]</w:t>
      </w:r>
    </w:p>
    <w:p>
      <w:pPr>
        <w:numPr>
          <w:ilvl w:val="0"/>
          <w:numId w:val="3"/>
        </w:numPr>
      </w:pPr>
      <w:r>
        <w:t xml:space="preserve">Security grupe za dev/lead role (1 bod) – [TBD]</w:t>
      </w:r>
    </w:p>
    <w:p>
      <w:pPr>
        <w:numPr>
          <w:ilvl w:val="0"/>
          <w:numId w:val="3"/>
        </w:numPr>
      </w:pPr>
      <w:r>
        <w:t xml:space="preserve">Mrežna izolacija – samo jump host javan, svaki dev ima svoju mrežu (2 boda) – [TBD]</w:t>
      </w:r>
    </w:p>
    <w:p>
      <w:pPr>
        <w:numPr>
          <w:ilvl w:val="0"/>
          <w:numId w:val="3"/>
        </w:numPr>
      </w:pPr>
      <w:r>
        <w:t xml:space="preserve">Objašnjenje specifičnih mrežnih postavki (1 bod) – [TBD]</w:t>
      </w:r>
    </w:p>
    <w:p>
      <w:pPr>
        <w:pageBreakBefore/>
        <w:pStyle w:val="Heading1"/>
        <w:numPr>
          <w:ilvl w:val="0"/>
          <w:numId w:val="1"/>
        </w:numPr>
      </w:pPr>
      <w:r>
        <w:t xml:space="preserve">I3 – Administracija instanci, korisnika, grupa, profila i aplikacija otvorenog koda</w:t>
      </w:r>
    </w:p>
    <w:p>
      <w:r>
        <w:rPr>
          <w:i/>
        </w:rPr>
        <w:t xml:space="preserve">OpenStack IAM – 20 bodova.</w:t>
      </w:r>
    </w:p>
    <w:p>
      <w:pPr>
        <w:numPr>
          <w:ilvl w:val="0"/>
          <w:numId w:val="3"/>
        </w:numPr>
      </w:pPr>
      <w:r>
        <w:t xml:space="preserve">Dijagram IAM strukture (3 boda) – [TBD]</w:t>
      </w:r>
    </w:p>
    <w:p>
      <w:pPr>
        <w:numPr>
          <w:ilvl w:val="0"/>
          <w:numId w:val="3"/>
        </w:numPr>
      </w:pPr>
      <w:r>
        <w:t xml:space="preserve">Automatizacija IAM deploymenta (7 bodova) – [TBD: zahtijeva RHA pristup]</w:t>
      </w:r>
    </w:p>
    <w:p>
      <w:pPr>
        <w:numPr>
          <w:ilvl w:val="0"/>
          <w:numId w:val="3"/>
        </w:numPr>
      </w:pPr>
      <w:r>
        <w:t xml:space="preserve">Instance sa zadanim specifikacijama, 2 vCPU/4GB (1 bod) – [TBD]</w:t>
      </w:r>
    </w:p>
    <w:p>
      <w:pPr>
        <w:numPr>
          <w:ilvl w:val="0"/>
          <w:numId w:val="3"/>
        </w:numPr>
      </w:pPr>
      <w:r>
        <w:t xml:space="preserve">Korisnici kreirani putem CSV-a, smješteni u grupe s točnim rolama (3 boda) – [TBD]</w:t>
      </w:r>
    </w:p>
    <w:p>
      <w:pPr>
        <w:numPr>
          <w:ilvl w:val="0"/>
          <w:numId w:val="3"/>
        </w:numPr>
      </w:pPr>
      <w:r>
        <w:t xml:space="preserve">Power state kontrola za developere – samo vlastiti resursi (2 boda) – [TBD]</w:t>
      </w:r>
    </w:p>
    <w:p>
      <w:pPr>
        <w:numPr>
          <w:ilvl w:val="0"/>
          <w:numId w:val="3"/>
        </w:numPr>
      </w:pPr>
      <w:r>
        <w:t xml:space="preserve">Voditelj ima kontrolu nad svim resursima (1 bod) – [TBD]</w:t>
      </w:r>
    </w:p>
    <w:p>
      <w:pPr>
        <w:numPr>
          <w:ilvl w:val="0"/>
          <w:numId w:val="3"/>
        </w:numPr>
      </w:pPr>
      <w:r>
        <w:t xml:space="preserve">Odvojeni projekti/tenanti za izolaciju (1 bod) – [TBD]</w:t>
      </w:r>
    </w:p>
    <w:p>
      <w:pPr>
        <w:numPr>
          <w:ilvl w:val="0"/>
          <w:numId w:val="3"/>
        </w:numPr>
      </w:pPr>
      <w:r>
        <w:t xml:space="preserve">Infrastruktura za min. 2 developera + 1 voditelja (2 boda) – [TBD]</w:t>
      </w:r>
    </w:p>
    <w:p>
      <w:pPr>
        <w:pageBreakBefore/>
        <w:pStyle w:val="Heading1"/>
        <w:numPr>
          <w:ilvl w:val="0"/>
          <w:numId w:val="1"/>
        </w:numPr>
      </w:pPr>
      <w:r>
        <w:t xml:space="preserve">I4 – Virtualne mreže i pohrana Microsoft tehnologija</w:t>
      </w:r>
    </w:p>
    <w:p>
      <w:r>
        <w:rPr>
          <w:i/>
        </w:rPr>
        <w:t xml:space="preserve">Azure mreže i pohrana – 20 bodova.</w:t>
      </w:r>
    </w:p>
    <w:p>
      <w:pPr>
        <w:numPr>
          <w:ilvl w:val="0"/>
          <w:numId w:val="3"/>
        </w:numPr>
      </w:pPr>
      <w:r>
        <w:t xml:space="preserve">Dijagram Azure arhitekture (3 boda) – [TBD]</w:t>
      </w:r>
    </w:p>
    <w:p>
      <w:pPr>
        <w:numPr>
          <w:ilvl w:val="0"/>
          <w:numId w:val="3"/>
        </w:numPr>
      </w:pPr>
      <w:r>
        <w:t xml:space="preserve">Automatizacija deploymenta bez grešaka (7 bodova) – [TBD: zahtijeva Azure pristup]</w:t>
      </w:r>
    </w:p>
    <w:p>
      <w:pPr>
        <w:numPr>
          <w:ilvl w:val="0"/>
          <w:numId w:val="3"/>
        </w:numPr>
      </w:pPr>
      <w:r>
        <w:t xml:space="preserve">Usporedba Load Balancera (Azure LB vs App Gateway) (2 boda) – [TBD]</w:t>
      </w:r>
    </w:p>
    <w:p>
      <w:pPr>
        <w:numPr>
          <w:ilvl w:val="0"/>
          <w:numId w:val="3"/>
        </w:numPr>
      </w:pPr>
      <w:r>
        <w:t xml:space="preserve">Storage Accounti – Blob za objekte, Files za datoteke (1 bod) – [TBD]</w:t>
      </w:r>
    </w:p>
    <w:p>
      <w:pPr>
        <w:numPr>
          <w:ilvl w:val="0"/>
          <w:numId w:val="3"/>
        </w:numPr>
      </w:pPr>
      <w:r>
        <w:t xml:space="preserve">Dva Managed diska po instanci (1 bod) – [TBD]</w:t>
      </w:r>
    </w:p>
    <w:p>
      <w:pPr>
        <w:numPr>
          <w:ilvl w:val="0"/>
          <w:numId w:val="3"/>
        </w:numPr>
      </w:pPr>
      <w:r>
        <w:t xml:space="preserve">Pohrana montirana uz Managed Identity / SAS tokene (2 boda) – [TBD]</w:t>
      </w:r>
    </w:p>
    <w:p>
      <w:pPr>
        <w:numPr>
          <w:ilvl w:val="0"/>
          <w:numId w:val="3"/>
        </w:numPr>
      </w:pPr>
      <w:r>
        <w:t xml:space="preserve">NSG i ASG (1 bod) – [TBD]</w:t>
      </w:r>
    </w:p>
    <w:p>
      <w:pPr>
        <w:numPr>
          <w:ilvl w:val="0"/>
          <w:numId w:val="3"/>
        </w:numPr>
      </w:pPr>
      <w:r>
        <w:t xml:space="preserve">Mrežna izolacija (VNet po korisniku), javni IP samo na jump hostu (2 boda) – [TBD]</w:t>
      </w:r>
    </w:p>
    <w:p>
      <w:pPr>
        <w:numPr>
          <w:ilvl w:val="0"/>
          <w:numId w:val="3"/>
        </w:numPr>
      </w:pPr>
      <w:r>
        <w:t xml:space="preserve">Objašnjenje Azure mrežnih postavki (1 bod) – [TBD]</w:t>
      </w:r>
    </w:p>
    <w:p>
      <w:pPr>
        <w:pageBreakBefore/>
        <w:pStyle w:val="Heading1"/>
        <w:numPr>
          <w:ilvl w:val="0"/>
          <w:numId w:val="1"/>
        </w:numPr>
      </w:pPr>
      <w:r>
        <w:t xml:space="preserve">I5 – Administriranje instanci, korisnika, grupa i profila na temelju Microsoftovih tehnologija</w:t>
      </w:r>
    </w:p>
    <w:p>
      <w:r>
        <w:rPr>
          <w:i/>
        </w:rPr>
        <w:t xml:space="preserve">Azure IAM/RBAC – 20 bodova.</w:t>
      </w:r>
    </w:p>
    <w:p>
      <w:pPr>
        <w:numPr>
          <w:ilvl w:val="0"/>
          <w:numId w:val="3"/>
        </w:numPr>
      </w:pPr>
      <w:r>
        <w:t xml:space="preserve">Dijagram Azure RBAC modela (3 boda) – [TBD]</w:t>
      </w:r>
    </w:p>
    <w:p>
      <w:pPr>
        <w:numPr>
          <w:ilvl w:val="0"/>
          <w:numId w:val="3"/>
        </w:numPr>
      </w:pPr>
      <w:r>
        <w:t xml:space="preserve">Automatizacija deploymenta IAM resursa (7 bodova) – [TBD: zahtijeva Azure pristup]</w:t>
      </w:r>
    </w:p>
    <w:p>
      <w:pPr>
        <w:numPr>
          <w:ilvl w:val="0"/>
          <w:numId w:val="3"/>
        </w:numPr>
      </w:pPr>
      <w:r>
        <w:t xml:space="preserve">Ispravne veličine instanci, npr. B2s (1 bod) – [TBD]</w:t>
      </w:r>
    </w:p>
    <w:p>
      <w:pPr>
        <w:numPr>
          <w:ilvl w:val="0"/>
          <w:numId w:val="3"/>
        </w:numPr>
      </w:pPr>
      <w:r>
        <w:t xml:space="preserve">Custom/built-in role s minimalnim pravima (2 boda) – [TBD]</w:t>
      </w:r>
    </w:p>
    <w:p>
      <w:pPr>
        <w:numPr>
          <w:ilvl w:val="0"/>
          <w:numId w:val="3"/>
        </w:numPr>
      </w:pPr>
      <w:r>
        <w:t xml:space="preserve">Start/Deallocate iskljucivo nad vlastitim resursima (2 boda) – [TBD]</w:t>
      </w:r>
    </w:p>
    <w:p>
      <w:pPr>
        <w:numPr>
          <w:ilvl w:val="0"/>
          <w:numId w:val="3"/>
        </w:numPr>
      </w:pPr>
      <w:r>
        <w:t xml:space="preserve">Voditelj upravlja svim VM-ovima kroz Bastion/Jump host (2 boda) – [TBD]</w:t>
      </w:r>
    </w:p>
    <w:p>
      <w:pPr>
        <w:numPr>
          <w:ilvl w:val="0"/>
          <w:numId w:val="3"/>
        </w:numPr>
      </w:pPr>
      <w:r>
        <w:t xml:space="preserve">Logična hijerarhija Resource Grupa (1 bod) – [TBD]</w:t>
      </w:r>
    </w:p>
    <w:p>
      <w:pPr>
        <w:numPr>
          <w:ilvl w:val="0"/>
          <w:numId w:val="3"/>
        </w:numPr>
      </w:pPr>
      <w:r>
        <w:t xml:space="preserve">Infrastruktura za min. 2 developera + 1 voditelja (2 boda) – [TBD]</w:t>
      </w:r>
    </w:p>
    <w:p>
      <w:pPr>
        <w:pageBreakBefore/>
        <w:pStyle w:val="Heading1"/>
        <w:numPr>
          <w:ilvl w:val="0"/>
          <w:numId w:val="1"/>
        </w:numPr>
      </w:pPr>
      <w:r>
        <w:t xml:space="preserve">Zaključak</w:t>
      </w:r>
    </w:p>
    <w:p>
      <w:r>
        <w:rPr>
          <w:i/>
        </w:rPr>
        <w:t xml:space="preserve">[TBD – piše se na kraju, nakon što su I1–I5 u potpunosti popunjeni stvarnim rezultatima deploymenta.]</w:t>
      </w:r>
    </w:p>
    <w:p>
      <w:pPr>
        <w:pageBreakBefore/>
        <w:pStyle w:val="Heading1"/>
        <w:numPr>
          <w:ilvl w:val="0"/>
          <w:numId w:val="1"/>
        </w:numPr>
      </w:pPr>
      <w:r>
        <w:t xml:space="preserve">Reference</w:t>
      </w:r>
    </w:p>
    <w:p>
      <w:r>
        <w:rPr>
          <w:i/>
        </w:rPr>
        <w:t xml:space="preserve">[TBD – minimalno 4 reference, citirane u tekstu s [1], [2] itd. Popis će uključiti službenu OpenStack, Azure i Moodle dokumentaciju korištenu tijekom izrade.]</w:t>
      </w:r>
    </w:p>
    <w:sectPr w:rsidR="004940BA" w:rsidSect="00AA6C86">
      <w:headerReference w:type="default" r:id="rId9"/>
      <w:footerReference w:type="default" r:id="rId10"/>
      <w:pgSz w:w="11906" w:h="16838"/>
      <w:pgMar w:top="1134" w:right="1134" w:bottom="1134" w:left="1134" w:header="283" w:footer="567" w:gutter="0"/>
      <w:pgNumType w:start="1"/>
      <w:cols w:space="720"/>
      <w:formProt w:val="0"/>
      <w:titlePg/>
      <w:docGrid w:linePitch="272"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B9DE6" w14:textId="77777777" w:rsidR="00AA6C86" w:rsidRDefault="00AA6C86">
      <w:r>
        <w:separator/>
      </w:r>
    </w:p>
  </w:endnote>
  <w:endnote w:type="continuationSeparator" w:id="0">
    <w:p w14:paraId="42428E52" w14:textId="77777777" w:rsidR="00AA6C86" w:rsidRDefault="00AA6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1"/>
    <w:family w:val="swiss"/>
    <w:pitch w:val="default"/>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Liberation Sans">
    <w:altName w:val="Arial"/>
    <w:panose1 w:val="020B0604020202020204"/>
    <w:charset w:val="EE"/>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Georgia">
    <w:panose1 w:val="02040502050405020303"/>
    <w:charset w:val="EE"/>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9315" w14:textId="77777777" w:rsidR="004940BA" w:rsidRDefault="004940BA">
    <w:pPr>
      <w:widowControl w:val="0"/>
      <w:spacing w:line="276" w:lineRule="auto"/>
      <w:jc w:val="left"/>
      <w:rPr>
        <w:color w:val="000000"/>
      </w:rPr>
    </w:pPr>
  </w:p>
  <w:tbl>
    <w:tblPr>
      <w:tblW w:w="9639" w:type="dxa"/>
      <w:jc w:val="center"/>
      <w:tblLayout w:type="fixed"/>
      <w:tblLook w:val="0400" w:firstRow="0" w:lastRow="0" w:firstColumn="0" w:lastColumn="0" w:noHBand="0" w:noVBand="1"/>
    </w:tblPr>
    <w:tblGrid>
      <w:gridCol w:w="9639"/>
    </w:tblGrid>
    <w:tr w:rsidR="004940BA" w14:paraId="1AE03597" w14:textId="77777777">
      <w:trPr>
        <w:jc w:val="center"/>
      </w:trPr>
      <w:tc>
        <w:tcPr>
          <w:tcW w:w="9639" w:type="dxa"/>
          <w:tcBorders>
            <w:top w:val="single" w:sz="4" w:space="0" w:color="000000"/>
          </w:tcBorders>
        </w:tcPr>
        <w:p w14:paraId="4DBABD6F" w14:textId="77777777" w:rsidR="004940BA" w:rsidRDefault="00AA6C86">
          <w:pPr>
            <w:tabs>
              <w:tab w:val="left" w:pos="0"/>
              <w:tab w:val="center" w:pos="4536"/>
              <w:tab w:val="right" w:pos="9072"/>
            </w:tabs>
            <w:rPr>
              <w:color w:val="4F81BD"/>
              <w:sz w:val="32"/>
              <w:szCs w:val="32"/>
            </w:rPr>
          </w:pPr>
          <w:r>
            <w:rPr>
              <w:color w:val="000000"/>
            </w:rPr>
            <w:t>Student Ime Prezime</w:t>
          </w:r>
        </w:p>
      </w:tc>
    </w:tr>
  </w:tbl>
  <w:p w14:paraId="253FD184" w14:textId="77777777" w:rsidR="004940BA" w:rsidRDefault="00AA6C86">
    <w:pPr>
      <w:tabs>
        <w:tab w:val="left" w:pos="0"/>
        <w:tab w:val="center" w:pos="4536"/>
        <w:tab w:val="right" w:pos="9072"/>
      </w:tabs>
      <w:jc w:val="right"/>
      <w:rPr>
        <w:color w:val="000000"/>
      </w:rPr>
    </w:pPr>
    <w:r>
      <w:fldChar w:fldCharType="begin"/>
    </w:r>
    <w:r>
      <w:instrText xml:space="preserve"> PAGE </w:instrText>
    </w:r>
    <w:r>
      <w:fldChar w:fldCharType="separate"/>
    </w:r>
    <w:r>
      <w:t>5</w:t>
    </w:r>
    <w:r>
      <w:fldChar w:fldCharType="end"/>
    </w:r>
  </w:p>
  <w:p w14:paraId="6537F28F" w14:textId="77777777" w:rsidR="004940BA" w:rsidRDefault="004940BA">
    <w:pPr>
      <w:widowControl w:val="0"/>
      <w:spacing w:line="276" w:lineRule="auto"/>
      <w:jc w:val="lef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B6DEF" w14:textId="77777777" w:rsidR="00AA6C86" w:rsidRDefault="00AA6C86">
      <w:r>
        <w:separator/>
      </w:r>
    </w:p>
  </w:footnote>
  <w:footnote w:type="continuationSeparator" w:id="0">
    <w:p w14:paraId="0A5D1EC6" w14:textId="77777777" w:rsidR="00AA6C86" w:rsidRDefault="00AA6C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3CB0F" w14:textId="01CA04A7" w:rsidR="004940BA" w:rsidRDefault="00AA6C86">
    <w:pPr>
      <w:tabs>
        <w:tab w:val="left" w:pos="0"/>
        <w:tab w:val="center" w:pos="4536"/>
        <w:tab w:val="right" w:pos="9072"/>
      </w:tabs>
      <w:jc w:val="right"/>
      <w:rPr>
        <w:color w:val="000000"/>
      </w:rPr>
    </w:pPr>
    <w:r>
      <w:rPr>
        <w:color w:val="000000"/>
      </w:rPr>
      <w:tab/>
    </w:r>
    <w:r>
      <w:rPr>
        <w:color w:val="000000"/>
      </w:rPr>
      <w:tab/>
    </w:r>
    <w:r>
      <w:rPr>
        <w:color w:val="000000"/>
      </w:rPr>
      <w:tab/>
    </w:r>
    <w:r w:rsidR="0034607E">
      <w:rPr>
        <w:rStyle w:val="wacimagecontainer"/>
        <w:rFonts w:ascii="Segoe UI" w:hAnsi="Segoe UI" w:cs="Segoe UI"/>
        <w:noProof/>
        <w:color w:val="000000"/>
        <w:sz w:val="18"/>
        <w:szCs w:val="18"/>
        <w:shd w:val="clear" w:color="auto" w:fill="FFFFFF"/>
      </w:rPr>
    </w:r>
    <w:r w:rsidR="0034607E">
      <w:rPr>
        <w:rStyle w:val="wacimagecontainer"/>
        <w:rFonts w:ascii="Segoe UI" w:hAnsi="Segoe UI" w:cs="Segoe UI"/>
        <w:noProof/>
        <w:color w:val="000000"/>
        <w:sz w:val="18"/>
        <w:szCs w:val="18"/>
        <w:shd w:val="clear" w:color="auto" w:fill="FFFFFF"/>
      </w:rPr>
      <w:pict w14:anchorId="5AF597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7pt;height:50pt;mso-width-percent:0;mso-height-percent:0;mso-width-percent:0;mso-height-percent:0">
          <v:imagedata r:id="rId1" o:title="E4B97306"/>
        </v:shape>
      </w:pict>
    </w:r>
    <w:r>
      <w:rPr>
        <w:rFonts w:ascii="Calibri" w:hAnsi="Calibri" w:cs="Calibri"/>
        <w:color w:val="000000"/>
        <w:shd w:val="clear" w:color="auto" w:fill="FFFFFF"/>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D8240"/>
    <w:multiLevelType w:val="multilevel"/>
    <w:tmpl w:val="DF960810"/>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080" w:hanging="72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440" w:hanging="108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1800" w:hanging="1440"/>
      </w:pPr>
    </w:lvl>
  </w:abstractNum>
  <w:abstractNum w:abstractNumId="1" w15:restartNumberingAfterBreak="0">
    <w:nsid w:val="14FD8683"/>
    <w:multiLevelType w:val="multilevel"/>
    <w:tmpl w:val="B576FF20"/>
    <w:lvl w:ilvl="0">
      <w:start w:val="3"/>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080" w:hanging="108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2" w15:restartNumberingAfterBreak="0">
    <w:nsid w:val="37FF8FE0"/>
    <w:multiLevelType w:val="multilevel"/>
    <w:tmpl w:val="ABC2BE92"/>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15:restartNumberingAfterBreak="0">
    <w:nsid w:val="54A32BC6"/>
    <w:multiLevelType w:val="multilevel"/>
    <w:tmpl w:val="12DAAA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45199479">
    <w:abstractNumId w:val="0"/>
  </w:num>
  <w:num w:numId="2" w16cid:durableId="775297465">
    <w:abstractNumId w:val="1"/>
  </w:num>
  <w:num w:numId="3" w16cid:durableId="1742750299">
    <w:abstractNumId w:val="2"/>
  </w:num>
  <w:num w:numId="4" w16cid:durableId="14304654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B44DAB"/>
    <w:rsid w:val="0034607E"/>
    <w:rsid w:val="004940BA"/>
    <w:rsid w:val="00AA6C86"/>
    <w:rsid w:val="65B44DA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592DE3C"/>
  <w15:docId w15:val="{0AA61885-53D9-4710-83C9-B64A42392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hr-H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Normal"/>
    <w:next w:val="Normal"/>
    <w:uiPriority w:val="9"/>
    <w:qFormat/>
    <w:pPr>
      <w:spacing w:line="237" w:lineRule="auto"/>
      <w:ind w:left="720" w:hanging="360"/>
      <w:outlineLvl w:val="0"/>
    </w:pPr>
    <w:rPr>
      <w:b/>
      <w:sz w:val="32"/>
      <w:szCs w:val="32"/>
    </w:rPr>
  </w:style>
  <w:style w:type="paragraph" w:styleId="Heading2">
    <w:name w:val="heading 2"/>
    <w:basedOn w:val="Normal"/>
    <w:next w:val="Normal"/>
    <w:uiPriority w:val="9"/>
    <w:unhideWhenUsed/>
    <w:qFormat/>
    <w:pPr>
      <w:ind w:left="360" w:hanging="360"/>
      <w:outlineLvl w:val="1"/>
    </w:pPr>
    <w:rPr>
      <w:b/>
    </w:rPr>
  </w:style>
  <w:style w:type="paragraph" w:styleId="Heading3">
    <w:name w:val="heading 3"/>
    <w:basedOn w:val="Normal"/>
    <w:next w:val="Normal"/>
    <w:uiPriority w:val="9"/>
    <w:semiHidden/>
    <w:unhideWhenUsed/>
    <w:qFormat/>
    <w:pPr>
      <w:ind w:left="360" w:hanging="360"/>
      <w:outlineLvl w:val="2"/>
    </w:pPr>
    <w:rPr>
      <w:i/>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NormalTable0">
    <w:name w:val="Normal Table0"/>
    <w:tblPr>
      <w:tblCellMar>
        <w:top w:w="0" w:type="dxa"/>
        <w:left w:w="0" w:type="dxa"/>
        <w:bottom w:w="0" w:type="dxa"/>
        <w:right w:w="0" w:type="dxa"/>
      </w:tblCellMar>
    </w:tblPr>
  </w:style>
  <w:style w:type="character" w:customStyle="1" w:styleId="wacimagecontainer">
    <w:name w:val="wacimagecontainer"/>
    <w:basedOn w:val="DefaultParagraphFont"/>
    <w:rsid w:val="00AA6C86"/>
  </w:style>
  <w:style w:type="character" w:customStyle="1" w:styleId="SubtitleChar">
    <w:name w:val="Subtitle Char"/>
    <w:basedOn w:val="DefaultParagraphFont"/>
    <w:link w:val="Subtitle"/>
    <w:uiPriority w:val="11"/>
    <w:rsid w:val="00AA6C86"/>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t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17C74-0476-5F43-997D-7E172770C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1169</Words>
  <Characters>6668</Characters>
  <Application>Microsoft Office Word</Application>
  <DocSecurity>0</DocSecurity>
  <Lines>55</Lines>
  <Paragraphs>15</Paragraphs>
  <ScaleCrop>false</ScaleCrop>
  <Company>University College Algebra</Company>
  <LinksUpToDate>false</LinksUpToDate>
  <CharactersWithSpaces>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 Prezime</dc:creator>
  <dc:description/>
  <cp:lastModifiedBy>Josip Stanešić</cp:lastModifiedBy>
  <cp:revision>11</cp:revision>
  <cp:lastPrinted>2025-03-13T17:04:00Z</cp:lastPrinted>
  <dcterms:created xsi:type="dcterms:W3CDTF">2023-03-26T19:30:00Z</dcterms:created>
  <dcterms:modified xsi:type="dcterms:W3CDTF">2025-03-13T17:04:00Z</dcterms:modified>
  <cp:category>Month</cp:category>
  <dc:language>hr-HR</dc:language>
</cp:coreProperties>
</file>