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4ww4dg8og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DentalBoutique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443zhd3yq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Comprehensive Corporate Policy &amp; Operations Manual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k43yv7rou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Company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Legal Name:</w:t>
      </w:r>
      <w:r w:rsidDel="00000000" w:rsidR="00000000" w:rsidRPr="00000000">
        <w:rPr>
          <w:rtl w:val="0"/>
        </w:rPr>
        <w:t xml:space="preserve"> DentalBoutique Inc.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Industry:</w:t>
      </w:r>
      <w:r w:rsidDel="00000000" w:rsidR="00000000" w:rsidRPr="00000000">
        <w:rPr>
          <w:rtl w:val="0"/>
        </w:rPr>
        <w:t xml:space="preserve"> General &amp; Cosmetic Dentistry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Locations:</w:t>
      </w:r>
      <w:r w:rsidDel="00000000" w:rsidR="00000000" w:rsidRPr="00000000">
        <w:rPr>
          <w:rtl w:val="0"/>
        </w:rPr>
        <w:t xml:space="preserve"> Multi-location scalable model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Head Office Hours:</w:t>
      </w:r>
      <w:r w:rsidDel="00000000" w:rsidR="00000000" w:rsidRPr="00000000">
        <w:rPr>
          <w:rtl w:val="0"/>
        </w:rPr>
        <w:t xml:space="preserve"> Monday–Friday, 8:30 AM – 5:00 PM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vv7w68wry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Operating Hours &amp; Patient Scheduling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ud6v4shel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Standard Clinic Hours</w:t>
      </w:r>
    </w:p>
    <w:tbl>
      <w:tblPr>
        <w:tblStyle w:val="Table1"/>
        <w:tblW w:w="3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2165"/>
        <w:tblGridChange w:id="0">
          <w:tblGrid>
            <w:gridCol w:w="1325"/>
            <w:gridCol w:w="21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Opening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8:00 AM – 6:00 PM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8:00 AM – 6:00 PM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8:00 AM – 6:00 PM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8:00 AM – 7:00 PM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8:00 AM – 5:00 PM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Saturday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9:00 AM – 3:00 PM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Sunday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weekly operating hours:</w:t>
      </w:r>
      <w:r w:rsidDel="00000000" w:rsidR="00000000" w:rsidRPr="00000000">
        <w:rPr>
          <w:rtl w:val="0"/>
        </w:rPr>
        <w:t xml:space="preserve"> 54 hours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naoaectw9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Annual Operating Days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300–310 days per year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 on statutory holidays (approx. 10–12 days annually)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hc76dhgly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Staffing Model &amp; Capacity Planning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swhehwgwe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Standard Single Location Staffing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General Dentists (Full-time, 40 hrs/week each)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Dental Hygienists (Full-time, 40 hrs/week each)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Dental Assistants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Front Desk Coordinators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Practice Manager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Sterilization Technician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Billing &amp; Insurance Specialist</w:t>
        <w:br w:type="textWrapping"/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io1tpkace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Patient Throughput Targets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dentist sees: </w:t>
      </w:r>
      <w:r w:rsidDel="00000000" w:rsidR="00000000" w:rsidRPr="00000000">
        <w:rPr>
          <w:b w:val="1"/>
          <w:bCs w:val="1"/>
          <w:rtl w:val="0"/>
        </w:rPr>
        <w:t xml:space="preserve">10–14 patients/day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Hygiene sees: </w:t>
      </w:r>
      <w:r w:rsidDel="00000000" w:rsidR="00000000" w:rsidRPr="00000000">
        <w:rPr>
          <w:b w:val="1"/>
          <w:bCs w:val="1"/>
          <w:rtl w:val="0"/>
        </w:rPr>
        <w:t xml:space="preserve">8 patients/day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daily patient volume: </w:t>
      </w:r>
      <w:r w:rsidDel="00000000" w:rsidR="00000000" w:rsidRPr="00000000">
        <w:rPr>
          <w:b w:val="1"/>
          <w:bCs w:val="1"/>
          <w:rtl w:val="0"/>
        </w:rPr>
        <w:t xml:space="preserve">45–60 patients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patient volume target: </w:t>
      </w:r>
      <w:r w:rsidDel="00000000" w:rsidR="00000000" w:rsidRPr="00000000">
        <w:rPr>
          <w:b w:val="1"/>
          <w:bCs w:val="1"/>
          <w:rtl w:val="0"/>
        </w:rPr>
        <w:t xml:space="preserve">1,000–1,200 patients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patient visits target: </w:t>
      </w:r>
      <w:r w:rsidDel="00000000" w:rsidR="00000000" w:rsidRPr="00000000">
        <w:rPr>
          <w:b w:val="1"/>
          <w:bCs w:val="1"/>
          <w:rtl w:val="0"/>
        </w:rPr>
        <w:t xml:space="preserve">12,000–14,000 visits</w:t>
        <w:br w:type="textWrapping"/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5d39wcoh1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Appointment Durations</w:t>
      </w:r>
    </w:p>
    <w:tbl>
      <w:tblPr>
        <w:tblStyle w:val="Table2"/>
        <w:tblW w:w="3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1865"/>
        <w:tblGridChange w:id="0">
          <w:tblGrid>
            <w:gridCol w:w="2030"/>
            <w:gridCol w:w="18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Allocation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Hygiene Cleaning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45–60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New Patient Exam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60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Filling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45–60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Crown Prep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90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Root Canal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90–120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Invisalign Consult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45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Emergency Visit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30–45 min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mbcpporvws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Financial Targets &amp; Pricing Framework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poiu3w0zx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Revenue Targets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revenue per patient: $250–$450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revenue target per clinic: $400,000–$550,000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revenue target per clinic: $4.5M–$6M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EBITDA margin target: 20–30%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of goods sold (COGS): 8–12% of revenue</w:t>
        <w:br w:type="textWrapping"/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111tsv2lz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Billing Timelines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Insurance claims submitted within </w:t>
      </w:r>
      <w:r w:rsidDel="00000000" w:rsidR="00000000" w:rsidRPr="00000000">
        <w:rPr>
          <w:b w:val="1"/>
          <w:bCs w:val="1"/>
          <w:rtl w:val="0"/>
        </w:rPr>
        <w:t xml:space="preserve">24 hours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 receivables &gt; 30 days reviewed weekly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 calls initiated at 45 days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Write-off policy after 180 days with approval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4le9l7crq6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Infection Control Standards (Quantitative)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Autoclave cycles logged after every batch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sterilization temperature: 121°C (250°F) for 30 minutes OR 132°C (270°F) for 4 minutes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PPE usage compliance target: 100%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disinfection between every patient (5–10 min turnover)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biological spore testing of sterilizers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Monthly infection control audit score target: ≥ 95%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939i6y48s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Clinical Quality Benchmarks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Treatment acceptance rate target: 65–75%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Crown remake rate: &lt; 3%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Post-op complication rate: &lt; 2%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Patient satisfaction score target: ≥ 4.7/5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Promoter Score (NPS): 70+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cancellation rate target: &lt; 8%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No-show rate target: &lt; 5%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zfg568dgjz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Employee Performance Standards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ekfrw450q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Attendance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Tardiness threshold: 3 incidents per quarter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PTO request minimum notice: 14 days (non-emergency)</w:t>
        <w:br w:type="textWrapping"/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q3odb9ufl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Training Requirements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 hours CE annually (dentists)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 hours CE annually (hygienists)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 hours compliance training annually (all staff)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CPR recertification every 2 years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mdsssswzqd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Workplace Safety &amp; Compliance Metrics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 drill frequency: Twice per year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Radiation monitoring badges reviewed quarterly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OSHA safety audit: Quarterly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reporting timeline: Within 12 hours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safety training completion rate: 100%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qvinui7ii3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IT &amp; Data Security Policy (Quantified)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 update required every 90 days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Multi-factor authentication required for all EHR access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backups performed daily at 2:00 AM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 RTO (Recovery Time Objective): 4 hours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RPO (Recovery Point Objective): 24 hours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penetration testing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2xsk7pvuwyn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Marketing &amp; Growth Targets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patients per month target: 80–120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spend: 4–7% of gross revenue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review acquisition target: 15 new reviews/month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rating threshold: 4.5 stars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posting frequency: 3x per week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slrs7l4ttr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Equipment &amp; Asset Management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Dental chair lifespan: 8–10 years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X-ray unit calibration: Annually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Preventive maintenance check: Quarterly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hardware refresh cycle: Every 4 years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downtime tolerance: &lt; 2% of operating hours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f8n5kfzy5w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Inventory Management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PPE inventory: 30-day supply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Dental materials reorder threshold: 20% stock remaining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inventory reconciliation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Shrinkage tolerance: &lt; 1%</w:t>
        <w:br w:type="textWrapping"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7dud284hfn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Emergency Response Standards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Emergency kit checked weekly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Oxygen tanks inspected monthly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AED tested monthly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emergency drill frequency: 2x annually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response time goal: &lt; 60 seconds to emergency station</w:t>
        <w:br w:type="textWrapping"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bh76ezb741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HR Quantitative Metrics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Staff turnover rate target: &lt; 15% annually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Employee satisfaction score target: ≥ 4.3/5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review frequency: Every 6 months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 eligibility review: Annual</w:t>
        <w:br w:type="textWrapping"/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e7b1m28k90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Sustainability &amp; Environmental Policy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Paper usage reduction target: 50% via digital records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Amalgam separator compliance: 100%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Waste segregation compliance: 100%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 lighting implementation: 100% of clinics</w:t>
        <w:br w:type="textWrapping"/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0uz9rw0bxt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Expansion &amp; Multi-Location Standards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clinic break-even timeline: 9–14 months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location minimum operatories: 6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patient base per location: 3,000–5,000 active patients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Target hygiene reappointment rate: ≥ 85%</w:t>
        <w:br w:type="textWrapping"/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t1eqnkdfci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Compliance Oversight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Annual third-party compliance audit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Quarterly internal operational audit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 review of financial performance: Quarterly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strategic planning meeting</w:t>
        <w:br w:type="textWrapping"/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mhn33t0lkj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Disciplinary Framework</w:t>
      </w:r>
    </w:p>
    <w:tbl>
      <w:tblPr>
        <w:tblStyle w:val="Table3"/>
        <w:tblW w:w="3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1805"/>
        <w:tblGridChange w:id="0">
          <w:tblGrid>
            <w:gridCol w:w="2060"/>
            <w:gridCol w:w="18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Violation 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Minor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Verbal warning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Written warning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Major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Suspension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Termination</w:t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av7zuwhull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Policy Review Cycle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manual review: Annually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Infection control review: Quarterly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policies review: Biannually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security review: Annually</w:t>
        <w:br w:type="textWrapping"/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pehjz5iqs8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Acknowledgment &amp; Compliance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employees must sign: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of Conduct Agreement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HIPAA/Privacy Agreement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Infection Control Compliance Form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Security Acknowledgment</w:t>
        <w:br w:type="textWrapping"/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