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 펌웨어 향후 개선 방향</w:t>
      </w:r>
    </w:p>
    <w:p>
      <w:pPr>
        <w:pStyle w:val="Subtitle"/>
      </w:pPr>
      <w:r>
        <w:t>현재 구현에서 확인된 개선 후보와 우선순위</w:t>
      </w:r>
    </w:p>
    <w:p>
      <w:r>
        <w:rPr>
          <w:b w:val="0"/>
        </w:rPr>
        <w:t>2026년 9월 30일  |  Main Vm1.0.10.0  |  Rod Vr1.0.2.0</w:t>
      </w:r>
    </w:p>
    <w:p>
      <w:r>
        <w:rPr>
          <w:b w:val="0"/>
        </w:rPr>
        <w:t>수신 경계와 업데이트 완료 기준을 먼저 명확히 하고, 이어서 상태 소유권과 문서 기준을 정리하는 순서를 권한다. 아래 항목은 향후 개선 제안이다. 기존 완료 기록을 다시 열거나 구현 작업을 자동으로 시작하는 지시는 아니다.</w:t>
      </w:r>
    </w:p>
    <w:p>
      <w:pPr>
        <w:pStyle w:val="Heading1"/>
      </w:pPr>
      <w:r>
        <w:t>우선 1 명령 수신의 길이와 손실 정책</w:t>
      </w:r>
    </w:p>
    <w:p>
      <w:r>
        <w:rPr>
          <w:b w:val="0"/>
        </w:rPr>
        <w:t>근거: Main Scheduler의 uartRecvParsing은 일반 명령 문자열을 누적한다. 읽은 일반 경로에는 최대 길이나 미완성 프레임 시간 제한이 없으며 rcved_flag와 rcvApMsg_Save로 한 건을 보관한다. Main/Rod 무선 수신도 단일 슬롯이고 새 수신이 대기 데이터를 덮어쓰며 횟수를 집계한다.</w:t>
      </w:r>
    </w:p>
    <w:p>
      <w:r>
        <w:rPr>
          <w:b w:val="0"/>
        </w:rPr>
        <w:t>방향: 일반 프레임의 최대 길이·시간 초과·재동기화 규칙을 정하고, 제어 명령과 최신 센서 값의 손실 정책을 구분한다. 필요하면 고정 크기 큐 또는 송신 흐름 제어를 선택한다. 무조건 슬롯을 늘리기보다 실제 트래픽 요구를 먼저 확정한다.</w:t>
      </w:r>
    </w:p>
    <w:p>
      <w:r>
        <w:rPr>
          <w:b w:val="0"/>
        </w:rPr>
        <w:t>완료 기준: 분할·연속·과대·미완성 입력 처리와 초과 시 동작이 계약에 명시되고, 거부·덮어쓰기 횟수와 제어 명령 처리 결과를 구분할 수 있다.</w:t>
      </w:r>
    </w:p>
    <w:p>
      <w:pPr>
        <w:pStyle w:val="Heading1"/>
      </w:pPr>
      <w:r>
        <w:t>우선 2 OTA 중단 뒤 세션 복구</w:t>
      </w:r>
    </w:p>
    <w:p>
      <w:r>
        <w:rPr>
          <w:b w:val="0"/>
        </w:rPr>
        <w:t>근거: DF_Rod_Ota_Process는 현재 재시작 예약을 처리하며, 읽은 Rod OTA 상태에는 마지막 수신 시각 기반의 비활동 종료가 없다. Abort가 전달되지 않은 중단 상황에서는 active 유지 경로를 검토할 필요가 있다. 이는 실제 장애를 재현한 결과가 아니다.</w:t>
      </w:r>
    </w:p>
    <w:p>
      <w:r>
        <w:rPr>
          <w:b w:val="0"/>
        </w:rPr>
        <w:t>방향: 비활동 timeout·취소·새 session 처리·Update.abort 이후 일반 통신 복귀 조건을 정한다. 기존 이미지의 유지와 복구 범위는 partition 및 Update 동작과 함께 확인한다.</w:t>
      </w:r>
    </w:p>
    <w:p>
      <w:r>
        <w:rPr>
          <w:b w:val="0"/>
        </w:rPr>
        <w:t>완료 기준: 중단·ACK 손실·잘못된 이미지·재시작 전 취소에 대한 결과와 유선 복구 절차가 설명되고, 부분 기록을 성공으로 표시하지 않는다.</w:t>
      </w:r>
    </w:p>
    <w:p>
      <w:pPr>
        <w:pStyle w:val="Heading1"/>
      </w:pPr>
      <w:r>
        <w:t>우선 3 목표 버전까지 포함한 업데이트 완료</w:t>
      </w:r>
    </w:p>
    <w:p>
      <w:r>
        <w:rPr>
          <w:b w:val="0"/>
        </w:rPr>
        <w:t>근거: TM의 UpdateRodWirelessAsync는 전송 종료 뒤 재연결을 기다리고 $10%를 요청하지만 package.Version과 응답의 일치를 기다려 최종 판정하지 않는다.</w:t>
      </w:r>
    </w:p>
    <w:p>
      <w:r>
        <w:rPr>
          <w:b w:val="0"/>
        </w:rPr>
        <w:t>방향: 전송 완료·재연결 완료·목표 버전 일치를 구분해 결과를 표시한다. 버전 미수신과 불일치는 별도 결과로 남긴다. 유선 업데이트도 기록 성공과 재부팅 후 실행 확인을 구분한다.</w:t>
      </w:r>
    </w:p>
    <w:p>
      <w:r>
        <w:rPr>
          <w:b w:val="0"/>
        </w:rPr>
        <w:t>완료 기준: 원하는 버전 응답을 받은 경우에만 실행 버전 확인 완료로 기록하며, 대기 시간과 실패 이유를 사용자가 이해할 수 있다.</w:t>
      </w:r>
    </w:p>
    <w:p>
      <w:r>
        <w:br w:type="page"/>
      </w:r>
    </w:p>
    <w:p>
      <w:pPr>
        <w:pStyle w:val="Heading1"/>
      </w:pPr>
      <w:r>
        <w:t>다음 4 모듈 경계와 C++03 일관성</w:t>
      </w:r>
    </w:p>
    <w:p>
      <w:r>
        <w:rPr>
          <w:b w:val="0"/>
        </w:rPr>
        <w:t>근거: Main Scheduler가 주기 실행뿐 아니라 UART 파싱·명령 분기·무선 상태 변환을 함께 맡고, State 헤더에는 많은 extern 선언이 남아 있다. Communication의 uartRecvHandlerImp와 LM 제어의 ana_AngleControl은 빈 함수다. Potentiometer.h에는 클래스 멤버 선언 시 초기값이 있어 프로젝트 C++03 작성 정책과 맞추는 검토 대상이다.</w:t>
      </w:r>
    </w:p>
    <w:p>
      <w:r>
        <w:rPr>
          <w:b w:val="0"/>
        </w:rPr>
        <w:t>방향: 동작 변경과 파일 책임 정리를 분리하고, 기능별 상태를 owner 내부로 제한한다. 빈 함수·반환 계약·미사용 선언은 호출 관계를 확인한 뒤 정리한다. 클래스 초기값은 생성자에서 지정하는 등 C++03 규칙에 맞춘다. 삭제 대상은 프로젝트 보존 정책에 따라 처리한다.</w:t>
      </w:r>
    </w:p>
    <w:p>
      <w:r>
        <w:rPr>
          <w:b w:val="0"/>
        </w:rPr>
        <w:t>완료 기준: 각 기능의 공개 API와 상태 owner를 설명할 수 있고, 빈 구현의 지원 여부가 명확하며 작성 정책과 실제 코드가 일치한다.</w:t>
      </w:r>
    </w:p>
    <w:p>
      <w:pPr>
        <w:pStyle w:val="Heading1"/>
      </w:pPr>
      <w:r>
        <w:t>다음 5 현재 기준과 프로토콜 안내 동기화</w:t>
      </w:r>
    </w:p>
    <w:p>
      <w:r>
        <w:rPr>
          <w:b w:val="0"/>
        </w:rPr>
        <w:t>근거: 초기 하드웨어·구조 문서에는 과거 버전과 LM JIG 비활성 또는 OTA 이전 설명이 남아 있다. TestModule README의 초기 화면·ZIP 안내도 현재 폴더 기반 업데이트와 최신 화면 구성에 맞추어 점검할 대상이다. C++ 공유 계약과 C# OTA 구현에 길이·프레임 상수가 각각 존재한다.</w:t>
      </w:r>
    </w:p>
    <w:p>
      <w:r>
        <w:rPr>
          <w:b w:val="0"/>
        </w:rPr>
        <w:t>방향: 현재 지원 구성·버전·설치 범위를 한 기준 문서에서 안내하고 과거 문서에는 기준 시점을 표시한다. PC와 펌웨어의 계약 상수 및 대표 메시지 비교 자료를 유지한다. 원격과 로컬의 차이도 학습·배포 기준에 기록한다.</w:t>
      </w:r>
    </w:p>
    <w:p>
      <w:r>
        <w:rPr>
          <w:b w:val="0"/>
        </w:rPr>
        <w:t>완료 기준: 같은 기능을 어느 문서에서 읽어도 현재 지원 범위와 업데이트 방식이 일치하고, 양쪽 프로토콜 차이를 변경 시 확인할 수 있다.</w:t>
      </w:r>
    </w:p>
    <w:p>
      <w:pPr>
        <w:pStyle w:val="Heading2"/>
      </w:pPr>
      <w:r>
        <w:t>제안 실행 순서</w:t>
      </w:r>
    </w:p>
    <w:tbl>
      <w:tblPr>
        <w:tblW w:type="auto" w:w="0"/>
        <w:jc w:val="center"/>
        <w:tblLayout w:type="fixed"/>
        <w:tblLook w:firstColumn="1" w:firstRow="1" w:lastColumn="0" w:lastRow="0" w:noHBand="0" w:noVBand="1" w:val="04A0"/>
      </w:tblPr>
      <w:tblGrid>
        <w:gridCol w:w="1134"/>
        <w:gridCol w:w="8391"/>
      </w:tblGrid>
      <w:tr>
        <w:trPr>
          <w:cantSplit/>
          <w:tblHeader/>
        </w:trPr>
        <w:tc>
          <w:tcPr>
            <w:tcW w:type="dxa" w:w="1134"/>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순서</w:t>
            </w:r>
          </w:p>
        </w:tc>
        <w:tc>
          <w:tcPr>
            <w:tcW w:type="dxa" w:w="8391"/>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범위</w:t>
            </w:r>
          </w:p>
        </w:tc>
      </w:tr>
      <w:tr>
        <w:trPr>
          <w:cantSplit/>
        </w:trPr>
        <w:tc>
          <w:tcPr>
            <w:tcW w:type="dxa" w:w="113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1</w:t>
            </w:r>
          </w:p>
        </w:tc>
        <w:tc>
          <w:tcPr>
            <w:tcW w:type="dxa" w:w="839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프레임 경계와 손실 정책 확정</w:t>
            </w:r>
          </w:p>
        </w:tc>
      </w:tr>
      <w:tr>
        <w:trPr>
          <w:cantSplit/>
        </w:trPr>
        <w:tc>
          <w:tcPr>
            <w:tcW w:type="dxa" w:w="113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2</w:t>
            </w:r>
          </w:p>
        </w:tc>
        <w:tc>
          <w:tcPr>
            <w:tcW w:type="dxa" w:w="839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OTA 중단과 정상 복귀 조건 확정</w:t>
            </w:r>
          </w:p>
        </w:tc>
      </w:tr>
      <w:tr>
        <w:trPr>
          <w:cantSplit/>
        </w:trPr>
        <w:tc>
          <w:tcPr>
            <w:tcW w:type="dxa" w:w="113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3</w:t>
            </w:r>
          </w:p>
        </w:tc>
        <w:tc>
          <w:tcPr>
            <w:tcW w:type="dxa" w:w="839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목표 버전 기준 완료 표시</w:t>
            </w:r>
          </w:p>
        </w:tc>
      </w:tr>
      <w:tr>
        <w:trPr>
          <w:cantSplit/>
        </w:trPr>
        <w:tc>
          <w:tcPr>
            <w:tcW w:type="dxa" w:w="113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4</w:t>
            </w:r>
          </w:p>
        </w:tc>
        <w:tc>
          <w:tcPr>
            <w:tcW w:type="dxa" w:w="839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한 기능씩 상태 owner와 API 정리</w:t>
            </w:r>
          </w:p>
        </w:tc>
      </w:tr>
      <w:tr>
        <w:trPr>
          <w:cantSplit/>
        </w:trPr>
        <w:tc>
          <w:tcPr>
            <w:tcW w:type="dxa" w:w="113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5</w:t>
            </w:r>
          </w:p>
        </w:tc>
        <w:tc>
          <w:tcPr>
            <w:tcW w:type="dxa" w:w="839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현재 기준 문서와 공유 계약 안내 동기화</w:t>
            </w:r>
          </w:p>
        </w:tc>
      </w:tr>
    </w:tbl>
    <w:p>
      <w:pPr>
        <w:spacing w:after="20"/>
      </w:pPr>
    </w:p>
    <w:p>
      <w:r>
        <w:rPr>
          <w:b w:val="0"/>
        </w:rPr>
        <w:t>검증은 항목별로 계획하고 사용자 승인 후 실행한다. 펌웨어 빌드·프로토콜 시험·실제 장비 시험은 서로 다른 근거다. 기존 활성 구현 잔여 작업 0개를 이 제안으로 변경하지 않는다.</w:t>
      </w:r>
    </w:p>
    <w:p>
      <w:pPr>
        <w:pStyle w:val="Heading2"/>
      </w:pPr>
      <w:r>
        <w:t>주요 근거 위치</w:t>
      </w:r>
    </w:p>
    <w:p>
      <w:r>
        <w:rPr>
          <w:b w:val="0"/>
        </w:rPr>
        <w:t>firmware/DF_Main/src/modules/DF_Main_Scheduler.cpp</w:t>
        <w:br/>
        <w:t>firmware/DF_Main/src/modules/DF_Main_Communication.cpp</w:t>
        <w:br/>
        <w:t>firmware/DF_Rod/src/modules/DF_Rod_Communication.cpp</w:t>
        <w:br/>
        <w:t>firmware/DF_Rod/src/modules/DF_Rod_Ota.cpp</w:t>
        <w:br/>
        <w:t>testModule/MainForm.cs 및 RodWirelessUpdater.cs</w:t>
        <w:br/>
        <w:t>firmware/DF_Main/src/Potentiometer.h</w:t>
        <w:br/>
        <w:t>CurrentWork.md 및 기존 hardware·architecture·protocol 안내</w:t>
      </w:r>
    </w:p>
    <w:sectPr w:rsidR="00FC693F" w:rsidRPr="0006063C" w:rsidSect="00034616">
      <w:headerReference w:type="default" r:id="rId9"/>
      <w:footerReference w:type="default" r:id="rId10"/>
      <w:pgSz w:w="11906" w:h="16838"/>
      <w:pgMar w:top="1134" w:right="1191" w:bottom="1077"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DF 학습 문서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DF FIRMWARE  향후 방향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맑은 고딕" w:hAnsi="맑은 고딕" w:eastAsia="맑은 고딕" w:cs="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맑은 고딕" w:hAnsi="맑은 고딕" w:eastAsia="맑은 고딕" w:cs="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맑은 고딕" w:hAnsi="맑은 고딕" w:eastAsia="맑은 고딕" w:cs="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맑은 고딕" w:hAnsi="맑은 고딕" w:eastAsia="맑은 고딕" w:cs="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맑은 고딕" w:hAnsi="맑은 고딕" w:eastAsia="맑은 고딕" w:cs="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맑은 고딕" w:hAnsi="맑은 고딕" w:eastAsia="맑은 고딕" w:cs="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 펌웨어 향후 방향</dc:title>
  <dc:subject>프로젝트 학습 자료</dc:subject>
  <dc:creator>DF Firmware</dc:creator>
  <cp:keywords/>
  <dc:description>generated by python-docx</dc:description>
  <cp:lastModifiedBy/>
  <cp:revision>1</cp:revision>
  <dcterms:created xsi:type="dcterms:W3CDTF">2013-12-23T23:15:00Z</dcterms:created>
  <dcterms:modified xsi:type="dcterms:W3CDTF">2013-12-23T23:15:00Z</dcterms:modified>
  <cp:category/>
</cp:coreProperties>
</file>