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sz w:val="20"/>
        </w:rPr>
        <w:t>ACUERDO DE RESERVA PREFERENTE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BMG Desarrolladora Inmobiliaria S.A.C., que utiliza ÖRÖK como nombre comercial, RUC 20615227685, con domicilio legal en Calle Puquina 138, Maranga, San Miguel, Lima, Perú, representada por su apoderado </w:t>
      </w:r>
      <w:r>
        <w:rPr>
          <w:rFonts w:ascii="Arial" w:hAnsi="Arial" w:eastAsia="Arial"/>
          <w:b/>
          <w:color w:val="3E3028"/>
          <w:sz w:val="20"/>
          <w:shd w:fill="F2F2F2"/>
        </w:rPr>
        <w:t>{{COMPANY_REPRESENTATIVE}}</w:t>
      </w:r>
      <w:r>
        <w:rPr>
          <w:rFonts w:ascii="Arial" w:hAnsi="Arial" w:eastAsia="Arial"/>
          <w:b w:val="0"/>
          <w:sz w:val="20"/>
        </w:rPr>
        <w:t xml:space="preserve">, con DNI: </w:t>
      </w:r>
      <w:r>
        <w:rPr>
          <w:rFonts w:ascii="Arial" w:hAnsi="Arial" w:eastAsia="Arial"/>
          <w:b/>
          <w:color w:val="3E3028"/>
          <w:sz w:val="20"/>
          <w:shd w:fill="F2F2F2"/>
        </w:rPr>
        <w:t>{{COMPANY_REPRESENTATIVE_DNI}}</w:t>
      </w:r>
      <w:r>
        <w:rPr>
          <w:rFonts w:ascii="Arial" w:hAnsi="Arial" w:eastAsia="Arial"/>
          <w:b w:val="0"/>
          <w:sz w:val="20"/>
        </w:rPr>
        <w:t xml:space="preserve">, conforme a las facultades inscritas en la partida electrónica </w:t>
      </w:r>
      <w:r>
        <w:rPr>
          <w:rFonts w:ascii="Arial" w:hAnsi="Arial" w:eastAsia="Arial"/>
          <w:b/>
          <w:color w:val="3E3028"/>
          <w:sz w:val="20"/>
          <w:shd w:fill="F2F2F2"/>
        </w:rPr>
        <w:t>{{COMPANY_RECORD}}</w:t>
      </w:r>
      <w:r>
        <w:rPr>
          <w:rFonts w:ascii="Arial" w:hAnsi="Arial" w:eastAsia="Arial"/>
          <w:b w:val="0"/>
          <w:sz w:val="20"/>
        </w:rPr>
        <w:t xml:space="preserve"> del Registro de Personas Jurídicas de Lima, a quien en adelante se le denominará como “LA INMOBILIARIA”.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ANTECEDENTES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LA INMOBILIARIA tiene derechos sobre terreno ubicado en CALLE LA APACHETA 224 Distrito de San Miguel, Provincia y Departamento del Lima, cuyo dominio, linderos y medidas perimétricas se encuentran inscritos en la Partida Electrónica Nº40984402 del Registro de Predios de Lima (en adelante, EL TERRENO).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Asimismo, LA INMOBILIARIA informa que, para poder viabilizar el desarrollo de este proyecto, se informa que ya hay un anteproyecto de Arquitectura, y licencia de Demolición, los tramite siguientes como la licencia de Definitiva y el Dictamen de Edificación por la Comisión Técnica Distrital o por Revisor Urbano están planeados llevarse a cabo previo a la ejecución de la obra.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De la otra parte, </w:t>
      </w:r>
      <w:r>
        <w:rPr>
          <w:rFonts w:ascii="Arial" w:hAnsi="Arial" w:eastAsia="Arial"/>
          <w:b/>
          <w:color w:val="3E3028"/>
          <w:sz w:val="20"/>
          <w:shd w:fill="F2F2F2"/>
        </w:rPr>
        <w:t>{{CLIENT_NAME}}</w:t>
      </w:r>
      <w:r>
        <w:rPr>
          <w:rFonts w:ascii="Arial" w:hAnsi="Arial" w:eastAsia="Arial"/>
          <w:b w:val="0"/>
          <w:sz w:val="20"/>
        </w:rPr>
        <w:t xml:space="preserve">, identificado(a) con DNI N° </w:t>
      </w:r>
      <w:r>
        <w:rPr>
          <w:rFonts w:ascii="Arial" w:hAnsi="Arial" w:eastAsia="Arial"/>
          <w:b/>
          <w:color w:val="3E3028"/>
          <w:sz w:val="20"/>
          <w:shd w:fill="F2F2F2"/>
        </w:rPr>
        <w:t>{{DNI}}</w:t>
      </w:r>
      <w:r>
        <w:rPr>
          <w:rFonts w:ascii="Arial" w:hAnsi="Arial" w:eastAsia="Arial"/>
          <w:b w:val="0"/>
          <w:sz w:val="20"/>
        </w:rPr>
        <w:t xml:space="preserve">, de estado civil </w:t>
      </w:r>
      <w:r>
        <w:rPr>
          <w:rFonts w:ascii="Arial" w:hAnsi="Arial" w:eastAsia="Arial"/>
          <w:b/>
          <w:color w:val="3E3028"/>
          <w:sz w:val="20"/>
          <w:shd w:fill="F2F2F2"/>
        </w:rPr>
        <w:t>{{MARITAL_STATUS}}</w:t>
      </w:r>
      <w:r>
        <w:rPr>
          <w:rFonts w:ascii="Arial" w:hAnsi="Arial" w:eastAsia="Arial"/>
          <w:b w:val="0"/>
          <w:sz w:val="20"/>
        </w:rPr>
        <w:t xml:space="preserve">, con domicilio en </w:t>
      </w:r>
      <w:r>
        <w:rPr>
          <w:rFonts w:ascii="Arial" w:hAnsi="Arial" w:eastAsia="Arial"/>
          <w:b/>
          <w:color w:val="3E3028"/>
          <w:sz w:val="20"/>
          <w:shd w:fill="F2F2F2"/>
        </w:rPr>
        <w:t>{{ADDRESS}}</w:t>
      </w:r>
      <w:r>
        <w:rPr>
          <w:rFonts w:ascii="Arial" w:hAnsi="Arial" w:eastAsia="Arial"/>
          <w:b w:val="0"/>
          <w:sz w:val="20"/>
        </w:rPr>
        <w:t xml:space="preserve">, distrito de </w:t>
      </w:r>
      <w:r>
        <w:rPr>
          <w:rFonts w:ascii="Arial" w:hAnsi="Arial" w:eastAsia="Arial"/>
          <w:b/>
          <w:color w:val="3E3028"/>
          <w:sz w:val="20"/>
          <w:shd w:fill="F2F2F2"/>
        </w:rPr>
        <w:t>{{DISTRICT}}</w:t>
      </w:r>
      <w:r>
        <w:rPr>
          <w:rFonts w:ascii="Arial" w:hAnsi="Arial" w:eastAsia="Arial"/>
          <w:b w:val="0"/>
          <w:sz w:val="20"/>
        </w:rPr>
        <w:t xml:space="preserve">, provincia de </w:t>
      </w:r>
      <w:r>
        <w:rPr>
          <w:rFonts w:ascii="Arial" w:hAnsi="Arial" w:eastAsia="Arial"/>
          <w:b/>
          <w:color w:val="3E3028"/>
          <w:sz w:val="20"/>
          <w:shd w:fill="F2F2F2"/>
        </w:rPr>
        <w:t>{{PROVINCE}}</w:t>
      </w:r>
      <w:r>
        <w:rPr>
          <w:rFonts w:ascii="Arial" w:hAnsi="Arial" w:eastAsia="Arial"/>
          <w:b w:val="0"/>
          <w:sz w:val="20"/>
        </w:rPr>
        <w:t xml:space="preserve"> y departamento de </w:t>
      </w:r>
      <w:r>
        <w:rPr>
          <w:rFonts w:ascii="Arial" w:hAnsi="Arial" w:eastAsia="Arial"/>
          <w:b/>
          <w:color w:val="3E3028"/>
          <w:sz w:val="20"/>
          <w:shd w:fill="F2F2F2"/>
        </w:rPr>
        <w:t>{{DEPARTMENT}}</w:t>
      </w:r>
      <w:r>
        <w:rPr>
          <w:rFonts w:ascii="Arial" w:hAnsi="Arial" w:eastAsia="Arial"/>
          <w:b w:val="0"/>
          <w:sz w:val="20"/>
        </w:rPr>
        <w:t>, a quien en adelante se le denominará: EL/ LOS PARTICIPANTE/S.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CLÁUSULA PRIMERA; DEL PROYECTO: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EL/LOS PARTICIPANTE/S declara/n que desea/n ser parte de esta lista de reserva preferente, razón por la cual las partes celebran el presente Acuerdo. EL/LOS PARTICIPANTE/S declara/n que este Acuerdo tiene la condición de acuerdo negociado dado que ha tenido oportunidad de observar y proponer modificaciones en su redacción. De tal manera, EL/LOS PARTICIPANTE/S y LA INMOBILIARIA convienen en que todas las estipulaciones aquí establecidas han sido susceptibles de negociación individual, informada y suficiente, y que todas son plenamente satisfactorias para las partes.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EL/LOS PARTICIPANTE/S declara/n conocer que LA INMOBILIARIA imputará la totalidad de los montos pagados por EL/LOS PARTICIPANTE/S a fin de elaborar el futuro contrato definitivo de compraventa.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CLÁUSULA SEGUNDA: DEL OBJETO DE CONTRATO DE SEPARACIÓN: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2.1. Mediante el presente contrato EL CLIENTE separa la unidad inmobiliaria </w:t>
      </w:r>
      <w:r>
        <w:rPr>
          <w:rFonts w:ascii="Arial" w:hAnsi="Arial" w:eastAsia="Arial"/>
          <w:b/>
          <w:color w:val="3E3028"/>
          <w:sz w:val="20"/>
          <w:shd w:fill="F2F2F2"/>
        </w:rPr>
        <w:t>{{UNIT_NUMBER}}</w:t>
      </w:r>
      <w:r>
        <w:rPr>
          <w:rFonts w:ascii="Arial" w:hAnsi="Arial" w:eastAsia="Arial"/>
          <w:b w:val="0"/>
          <w:sz w:val="20"/>
        </w:rPr>
        <w:t xml:space="preserve">, según Cotización Nro. </w:t>
      </w:r>
      <w:r>
        <w:rPr>
          <w:rFonts w:ascii="Arial" w:hAnsi="Arial" w:eastAsia="Arial"/>
          <w:b/>
          <w:color w:val="3E3028"/>
          <w:sz w:val="20"/>
          <w:shd w:fill="F2F2F2"/>
        </w:rPr>
        <w:t>{{QUOTE_CODE}}</w:t>
      </w:r>
      <w:r>
        <w:rPr>
          <w:rFonts w:ascii="Arial" w:hAnsi="Arial" w:eastAsia="Arial"/>
          <w:b w:val="0"/>
          <w:sz w:val="20"/>
        </w:rPr>
        <w:t xml:space="preserve">, por el valor total de </w:t>
      </w:r>
      <w:r>
        <w:rPr>
          <w:rFonts w:ascii="Arial" w:hAnsi="Arial" w:eastAsia="Arial"/>
          <w:b/>
          <w:color w:val="3E3028"/>
          <w:sz w:val="20"/>
          <w:shd w:fill="F2F2F2"/>
        </w:rPr>
        <w:t>{{FINAL_PRICE}}</w:t>
      </w:r>
      <w:r>
        <w:rPr>
          <w:rFonts w:ascii="Arial" w:hAnsi="Arial" w:eastAsia="Arial"/>
          <w:b w:val="0"/>
          <w:sz w:val="20"/>
        </w:rPr>
        <w:t xml:space="preserve"> (</w:t>
      </w:r>
      <w:r>
        <w:rPr>
          <w:rFonts w:ascii="Arial" w:hAnsi="Arial" w:eastAsia="Arial"/>
          <w:b/>
          <w:color w:val="3E3028"/>
          <w:sz w:val="20"/>
          <w:shd w:fill="F2F2F2"/>
        </w:rPr>
        <w:t>{{FINAL_PRICE_WORDS}}</w:t>
      </w:r>
      <w:r>
        <w:rPr>
          <w:rFonts w:ascii="Arial" w:hAnsi="Arial" w:eastAsia="Arial"/>
          <w:b w:val="0"/>
          <w:sz w:val="20"/>
        </w:rPr>
        <w:t>).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2.2. El precio de compraventa pactado es de </w:t>
      </w:r>
      <w:r>
        <w:rPr>
          <w:rFonts w:ascii="Arial" w:hAnsi="Arial" w:eastAsia="Arial"/>
          <w:b/>
          <w:color w:val="3E3028"/>
          <w:sz w:val="20"/>
          <w:shd w:fill="F2F2F2"/>
        </w:rPr>
        <w:t>{{FINAL_PRICE}}</w:t>
      </w:r>
      <w:r>
        <w:rPr>
          <w:rFonts w:ascii="Arial" w:hAnsi="Arial" w:eastAsia="Arial"/>
          <w:b w:val="0"/>
          <w:sz w:val="20"/>
        </w:rPr>
        <w:t xml:space="preserve"> (</w:t>
      </w:r>
      <w:r>
        <w:rPr>
          <w:rFonts w:ascii="Arial" w:hAnsi="Arial" w:eastAsia="Arial"/>
          <w:b/>
          <w:color w:val="3E3028"/>
          <w:sz w:val="20"/>
          <w:shd w:fill="F2F2F2"/>
        </w:rPr>
        <w:t>{{FINAL_PRICE_WORDS}}</w:t>
      </w:r>
      <w:r>
        <w:rPr>
          <w:rFonts w:ascii="Arial" w:hAnsi="Arial" w:eastAsia="Arial"/>
          <w:b w:val="0"/>
          <w:sz w:val="20"/>
        </w:rPr>
        <w:t>), incluido el I.G.V., por la unidad inmobiliaria.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CLÁUSULA TERCERA; FORMA DE PAGO: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En caso se llegase a realizar la compra definitiva del inmueble objeto del presente contrato de separación, EL CLIENTE deberá pagarlo de la manera siguiente: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Separación de </w:t>
      </w:r>
      <w:r>
        <w:rPr>
          <w:rFonts w:ascii="Arial" w:hAnsi="Arial" w:eastAsia="Arial"/>
          <w:b/>
          <w:color w:val="3E3028"/>
          <w:sz w:val="20"/>
          <w:shd w:fill="F2F2F2"/>
        </w:rPr>
        <w:t>{{SEPARATION_AMOUNT}}</w:t>
      </w:r>
      <w:r>
        <w:rPr>
          <w:rFonts w:ascii="Arial" w:hAnsi="Arial" w:eastAsia="Arial"/>
          <w:b w:val="0"/>
          <w:sz w:val="20"/>
        </w:rPr>
        <w:t xml:space="preserve"> (</w:t>
      </w:r>
      <w:r>
        <w:rPr>
          <w:rFonts w:ascii="Arial" w:hAnsi="Arial" w:eastAsia="Arial"/>
          <w:b/>
          <w:color w:val="3E3028"/>
          <w:sz w:val="20"/>
          <w:shd w:fill="F2F2F2"/>
        </w:rPr>
        <w:t>{{SEPARATION_AMOUNT_WORDS}}</w:t>
      </w:r>
      <w:r>
        <w:rPr>
          <w:rFonts w:ascii="Arial" w:hAnsi="Arial" w:eastAsia="Arial"/>
          <w:b w:val="0"/>
          <w:sz w:val="20"/>
        </w:rPr>
        <w:t>) a la firma del presente contrato en calidad de reserva.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Cuota inicial a la firma de la minuta de compraventa de bien futuro por </w:t>
      </w:r>
      <w:r>
        <w:rPr>
          <w:rFonts w:ascii="Arial" w:hAnsi="Arial" w:eastAsia="Arial"/>
          <w:b/>
          <w:color w:val="3E3028"/>
          <w:sz w:val="20"/>
          <w:shd w:fill="F2F2F2"/>
        </w:rPr>
        <w:t>{{INITIAL_AMOUNT}}</w:t>
      </w:r>
      <w:r>
        <w:rPr>
          <w:rFonts w:ascii="Arial" w:hAnsi="Arial" w:eastAsia="Arial"/>
          <w:b w:val="0"/>
          <w:sz w:val="20"/>
        </w:rPr>
        <w:t xml:space="preserve"> (</w:t>
      </w:r>
      <w:r>
        <w:rPr>
          <w:rFonts w:ascii="Arial" w:hAnsi="Arial" w:eastAsia="Arial"/>
          <w:b/>
          <w:color w:val="3E3028"/>
          <w:sz w:val="20"/>
          <w:shd w:fill="F2F2F2"/>
        </w:rPr>
        <w:t>{{INITIAL_AMOUNT_WORDS}}</w:t>
      </w:r>
      <w:r>
        <w:rPr>
          <w:rFonts w:ascii="Arial" w:hAnsi="Arial" w:eastAsia="Arial"/>
          <w:b w:val="0"/>
          <w:sz w:val="20"/>
        </w:rPr>
        <w:t>).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Saldo del precio de venta del departamento mediante </w:t>
      </w:r>
      <w:r>
        <w:rPr>
          <w:rFonts w:ascii="Arial" w:hAnsi="Arial" w:eastAsia="Arial"/>
          <w:b/>
          <w:color w:val="3E3028"/>
          <w:sz w:val="20"/>
          <w:shd w:fill="F2F2F2"/>
        </w:rPr>
        <w:t>{{FINANCING_TYPE}}</w:t>
      </w:r>
      <w:r>
        <w:rPr>
          <w:rFonts w:ascii="Arial" w:hAnsi="Arial" w:eastAsia="Arial"/>
          <w:b w:val="0"/>
          <w:sz w:val="20"/>
        </w:rPr>
        <w:t xml:space="preserve"> por </w:t>
      </w:r>
      <w:r>
        <w:rPr>
          <w:rFonts w:ascii="Arial" w:hAnsi="Arial" w:eastAsia="Arial"/>
          <w:b/>
          <w:color w:val="3E3028"/>
          <w:sz w:val="20"/>
          <w:shd w:fill="F2F2F2"/>
        </w:rPr>
        <w:t>{{FINANCED_AMOUNT}}</w:t>
      </w:r>
      <w:r>
        <w:rPr>
          <w:rFonts w:ascii="Arial" w:hAnsi="Arial" w:eastAsia="Arial"/>
          <w:b w:val="0"/>
          <w:sz w:val="20"/>
        </w:rPr>
        <w:t xml:space="preserve"> (</w:t>
      </w:r>
      <w:r>
        <w:rPr>
          <w:rFonts w:ascii="Arial" w:hAnsi="Arial" w:eastAsia="Arial"/>
          <w:b/>
          <w:color w:val="3E3028"/>
          <w:sz w:val="20"/>
          <w:shd w:fill="F2F2F2"/>
        </w:rPr>
        <w:t>{{FINANCED_AMOUNT_WORDS}}</w:t>
      </w:r>
      <w:r>
        <w:rPr>
          <w:rFonts w:ascii="Arial" w:hAnsi="Arial" w:eastAsia="Arial"/>
          <w:b w:val="0"/>
          <w:sz w:val="20"/>
        </w:rPr>
        <w:t>).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CLÁUSULA CUARTA: OTRAS OBLIGACIONES Y DERECHOS ACCESORIOS: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EL CLIENTE declara conocer que: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La presente separación tiene un plazo máximo de 15 días calendario a partir de la firma del presente compromiso.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Vencido el plazo fijado para este contrato, la empresa quedará automáticamente facultada para disponer a su solo criterio y sin restricción alguna, de la unidad inmobiliaria materia de este documento.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Se pierde el derecho de separación al inmueble si EL CLIENTE desiste por voluntad propia de celebrar el contrato y/o si dentro del plazo fijado, no entrega la documentación que a criterio del Banco se le solicite para sustentar la evaluación del crédito hipotecario.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Solo en el caso de no aprobarse la calificación del Crédito Hipotecario por el Banco, cualquier devolución se realizará </w:t>
      </w:r>
      <w:r>
        <w:rPr>
          <w:rFonts w:ascii="Arial" w:hAnsi="Arial" w:eastAsia="Arial"/>
          <w:b/>
          <w:color w:val="3E3028"/>
          <w:sz w:val="20"/>
          <w:shd w:fill="F2F2F2"/>
        </w:rPr>
        <w:t>{{REFUND_CONDITION}}</w:t>
      </w:r>
      <w:r>
        <w:rPr>
          <w:rFonts w:ascii="Arial" w:hAnsi="Arial" w:eastAsia="Arial"/>
          <w:b w:val="0"/>
          <w:sz w:val="20"/>
        </w:rPr>
        <w:t>, quedando así resuelto este contrato de separación.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CLÁUSULA QUINTA: SOLUCIÓN DE CONTROVERSIAS: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Todas las controversias, derivadas o relacionadas con este contrato o convenio, serán resueltas de forma definitiva mediante arbitraje de acuerdo con el Reglamento de Arbitraje del Centro Nacional e Internacional de Arbitraje de la Cámara de Comercio de Lima, a cuyas normas, administración y decisión se someten las partes en forma incondicional, declarando conocerlas y aceptarlas en su integridad. La decisión final será dictada por un Tribunal Arbitral para lo cual cada parte designará un árbitro y entre los dos árbitros elegidos designaran al tercer arbitro quien presidirá el Tribunal Arbitral. Las partes se comprometen a asumir el pago del 50% de los costos que demande el proceso, y al final en el laudo el Tribunal Arbitra ordenara a la parte que ha sido vencida totalmente</w:t>
      </w:r>
    </w:p>
    <w:p>
      <w:pPr>
        <w:pStyle w:val="LegalHeading"/>
      </w:pPr>
      <w:r>
        <w:rPr>
          <w:rFonts w:ascii="Arial" w:hAnsi="Arial" w:eastAsia="Arial"/>
          <w:b/>
          <w:sz w:val="20"/>
        </w:rPr>
        <w:t>CLÁUSULA SEXTA; JURISDICCIÓN Y COMPETENCIA;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EL/LOS PARTICIPANTE/S declara/n que el origen de los fondos con los cuales adquirirá la unidad inmobiliaria, tiene su origen en su actividad económica: </w:t>
      </w:r>
      <w:r>
        <w:rPr>
          <w:rFonts w:ascii="Arial" w:hAnsi="Arial" w:eastAsia="Arial"/>
          <w:b/>
          <w:color w:val="3E3028"/>
          <w:sz w:val="20"/>
          <w:shd w:fill="F2F2F2"/>
        </w:rPr>
        <w:t>{{ECONOMIC_ACTIVITY}}</w:t>
      </w:r>
      <w:r>
        <w:rPr>
          <w:rFonts w:ascii="Arial" w:hAnsi="Arial" w:eastAsia="Arial"/>
          <w:b w:val="0"/>
          <w:sz w:val="20"/>
        </w:rPr>
        <w:t>, por tanto, son lícitos y no provienen de actividad ilegal alguna. En cualquier caso, EL/LOS PARTICIPANTE/S asume/n total responsabilidad respecto del origen de los recursos utilizados para realizar la presente operación, exonerando de responsabilidad al respecto a LA INMOBILIARIA.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>Asimismo, EL/LOS PARTICIPANTES declara/n que no califica/n como Persona Expuesta Políticamente (PEP) definida así por la Resolución SBS 4349-2016, publicada el 14 de agosto de 2016, como aquellas personas naturales, nacionales o extranjeras, que cumplen o que en los últimos cinco (05) años hayan cumplido funciones públicas destacadas o funciones prominentes en una organización internacional, sea en el territorio nacional o extranjero, y cuyas circunstancias financieras puedan ser objeto de un interés público; así también se considera como PEP al colaborador directo de la máxima autoridad de la institución. En consecuencia, EL/LOS PARTICIPANTE/S declara/n que, en el plazo antes mencionado, no ha/n ocupado ninguno de los cargos o ejercido funciones señalados en la precitada resolución.</w:t>
      </w:r>
    </w:p>
    <w:p>
      <w:pPr>
        <w:jc w:val="both"/>
        <w:keepLines/>
      </w:pPr>
      <w:r>
        <w:rPr>
          <w:rFonts w:ascii="Arial" w:hAnsi="Arial" w:eastAsia="Arial"/>
          <w:b w:val="0"/>
          <w:sz w:val="20"/>
        </w:rPr>
        <w:t xml:space="preserve">Se suscribe el presente documento en dos (2) ejemplares, con el mismo contenido e igual valor, en la ciudad de Lima a los </w:t>
      </w:r>
      <w:r>
        <w:rPr>
          <w:rFonts w:ascii="Arial" w:hAnsi="Arial" w:eastAsia="Arial"/>
          <w:b/>
          <w:color w:val="3E3028"/>
          <w:sz w:val="20"/>
          <w:shd w:fill="F2F2F2"/>
        </w:rPr>
        <w:t>{{DAY}}</w:t>
      </w:r>
      <w:r>
        <w:rPr>
          <w:rFonts w:ascii="Arial" w:hAnsi="Arial" w:eastAsia="Arial"/>
          <w:b w:val="0"/>
          <w:sz w:val="20"/>
        </w:rPr>
        <w:t xml:space="preserve"> días del mes de </w:t>
      </w:r>
      <w:r>
        <w:rPr>
          <w:rFonts w:ascii="Arial" w:hAnsi="Arial" w:eastAsia="Arial"/>
          <w:b/>
          <w:color w:val="3E3028"/>
          <w:sz w:val="20"/>
          <w:shd w:fill="F2F2F2"/>
        </w:rPr>
        <w:t>{{MONTH}}</w:t>
      </w:r>
      <w:r>
        <w:rPr>
          <w:rFonts w:ascii="Arial" w:hAnsi="Arial" w:eastAsia="Arial"/>
          <w:b w:val="0"/>
          <w:sz w:val="20"/>
        </w:rPr>
        <w:t xml:space="preserve"> del </w:t>
      </w:r>
      <w:r>
        <w:rPr>
          <w:rFonts w:ascii="Arial" w:hAnsi="Arial" w:eastAsia="Arial"/>
          <w:b/>
          <w:color w:val="3E3028"/>
          <w:sz w:val="20"/>
          <w:shd w:fill="F2F2F2"/>
        </w:rPr>
        <w:t>{{YEAR}}</w:t>
      </w:r>
      <w:r>
        <w:rPr>
          <w:rFonts w:ascii="Arial" w:hAnsi="Arial" w:eastAsia="Arial"/>
          <w:b w:val="0"/>
          <w:sz w:val="20"/>
        </w:rPr>
        <w:t>.</w:t>
      </w:r>
    </w:p>
    <w:p>
      <w:pPr>
        <w:spacing w:before="480" w:after="0"/>
        <w:jc w:val="center"/>
        <w:keepLines/>
      </w:pPr>
      <w:r>
        <w:rPr>
          <w:rFonts w:ascii="Arial" w:hAnsi="Arial" w:eastAsia="Arial"/>
          <w:b/>
          <w:color w:val="3E3028"/>
          <w:sz w:val="20"/>
          <w:shd w:fill="F2F2F2"/>
        </w:rPr>
        <w:t>[[SIGNATURES]]</w:t>
      </w:r>
    </w:p>
    <w:sectPr w:rsidR="00FC693F" w:rsidRPr="0006063C" w:rsidSect="00034616"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  <w:jc w:val="both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Heading">
    <w:name w:val="Legal Heading"/>
    <w:pPr>
      <w:keepNext/>
      <w:widowControl/>
      <w:spacing w:before="180" w:after="100"/>
    </w:pPr>
    <w:rPr>
      <w:rFonts w:ascii="Arial" w:hAnsi="Arial" w:eastAsia="Arial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Reserva Preferente</dc:title>
  <dc:subject>Plantilla final de separación de BMG Desarrolladora Inmobiliaria S.A.C. y ÖRÖK</dc:subject>
  <dc:creator>BMG Desarrolladora Inmobiliaria S.A.C.</dc:creator>
  <cp:keywords/>
  <dc:description>Versión final extraída de LOLA CRM 67.6.11-r28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