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C8D3" w14:textId="77777777" w:rsidR="00883AEC" w:rsidRDefault="00000000">
      <w:pPr>
        <w:pStyle w:val="Heading1"/>
      </w:pPr>
      <w:r>
        <w:t>Oros — Architecture Decision Record</w:t>
      </w:r>
    </w:p>
    <w:p w14:paraId="17612E95" w14:textId="77777777" w:rsidR="00883AEC" w:rsidRDefault="00000000">
      <w:pPr>
        <w:spacing w:before="60" w:after="60"/>
      </w:pPr>
      <w:r>
        <w:t>CKM Data Readiness Infrastructure — Phase 2 Design Decisions</w:t>
      </w:r>
    </w:p>
    <w:p w14:paraId="0644BB36" w14:textId="77777777" w:rsidR="00883AEC" w:rsidRDefault="00000000">
      <w:pPr>
        <w:spacing w:before="60" w:after="60"/>
      </w:pPr>
      <w:r>
        <w:t>Date: April 8, 2026</w:t>
      </w:r>
    </w:p>
    <w:p w14:paraId="15CEB91F" w14:textId="77777777" w:rsidR="00883AEC" w:rsidRDefault="00000000">
      <w:pPr>
        <w:spacing w:before="60" w:after="60"/>
      </w:pPr>
      <w:r>
        <w:t>Source: Build Phase Coordination thread — platform identity and architecture design session</w:t>
      </w:r>
    </w:p>
    <w:p w14:paraId="36A09E13" w14:textId="77777777" w:rsidR="00883AEC" w:rsidRDefault="00883A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3AEC" w14:paraId="1B818B6F"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100" w:type="dxa"/>
              <w:left w:w="150" w:type="dxa"/>
              <w:bottom w:w="100" w:type="dxa"/>
              <w:right w:w="150" w:type="dxa"/>
            </w:tcMar>
          </w:tcPr>
          <w:p w14:paraId="4ADD0123" w14:textId="77777777" w:rsidR="00883AEC" w:rsidRDefault="00000000">
            <w:r>
              <w:rPr>
                <w:sz w:val="18"/>
                <w:szCs w:val="18"/>
              </w:rPr>
              <w:t>Purpose: This document records the four core architecture decisions made in Phase 2 of the Build Phase Coordination session. These decisions gate the backend build, the condition module schema design, and the Hanieh collaboration. They are the founding context for the Backend Claude project.</w:t>
            </w:r>
          </w:p>
        </w:tc>
      </w:tr>
    </w:tbl>
    <w:p w14:paraId="53CEF47E" w14:textId="77777777" w:rsidR="00883AEC" w:rsidRDefault="00883AEC">
      <w:pPr>
        <w:spacing w:before="80" w:after="80"/>
      </w:pPr>
    </w:p>
    <w:p w14:paraId="45867771" w14:textId="77777777" w:rsidR="00883AEC" w:rsidRDefault="00000000">
      <w:pPr>
        <w:pStyle w:val="Heading2"/>
      </w:pPr>
      <w:r>
        <w:t>Decision 1 — Agentic Backend Placement: Option C (Peer Sidecar Service)</w:t>
      </w:r>
    </w:p>
    <w:p w14:paraId="52A0F295" w14:textId="77777777" w:rsidR="00883AEC" w:rsidRDefault="00883A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3AEC" w14:paraId="296C10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3871161" w14:textId="77777777" w:rsidR="00883AEC" w:rsidRDefault="00000000">
            <w:r>
              <w:rPr>
                <w:b/>
                <w:bCs/>
                <w:sz w:val="18"/>
                <w:szCs w:val="18"/>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26225" w14:textId="77777777" w:rsidR="00883AEC" w:rsidRDefault="00000000">
            <w:r>
              <w:rPr>
                <w:sz w:val="18"/>
                <w:szCs w:val="18"/>
              </w:rPr>
              <w:t>Decided — April 8, 2026</w:t>
            </w:r>
          </w:p>
        </w:tc>
      </w:tr>
      <w:tr w:rsidR="00883AEC" w14:paraId="24B6AF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1B6E1AD" w14:textId="77777777" w:rsidR="00883AEC" w:rsidRDefault="00000000">
            <w:r>
              <w:rPr>
                <w:b/>
                <w:bCs/>
                <w:sz w:val="18"/>
                <w:szCs w:val="18"/>
              </w:rPr>
              <w:t>Decision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C7F91" w14:textId="77777777" w:rsidR="00883AEC" w:rsidRDefault="00000000">
            <w:r>
              <w:rPr>
                <w:sz w:val="18"/>
                <w:szCs w:val="18"/>
              </w:rPr>
              <w:t>The agentic backend is implemented as an independent peer sidecar service, not as an embedded component within or spanning the data pipeline tiers.</w:t>
            </w:r>
          </w:p>
        </w:tc>
      </w:tr>
      <w:tr w:rsidR="00883AEC" w14:paraId="67E95C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F802214" w14:textId="77777777" w:rsidR="00883AEC" w:rsidRDefault="00000000">
            <w:r>
              <w:rPr>
                <w:b/>
                <w:bCs/>
                <w:sz w:val="18"/>
                <w:szCs w:val="18"/>
              </w:rPr>
              <w:t>Options considered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12E3" w14:textId="77777777" w:rsidR="00883AEC" w:rsidRDefault="00000000">
            <w:r>
              <w:rPr>
                <w:sz w:val="18"/>
                <w:szCs w:val="18"/>
              </w:rPr>
              <w:t>A — Spanning side panel bridging Tier 3 and SQL. B — Gap zone component between Tier 3 and SQL. C — Independent peer sidecar service with explicit connections to both layers.</w:t>
            </w:r>
          </w:p>
        </w:tc>
      </w:tr>
      <w:tr w:rsidR="00883AEC" w14:paraId="3DEC24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E7EBF16" w14:textId="77777777" w:rsidR="00883AEC" w:rsidRDefault="00000000">
            <w:r>
              <w:rPr>
                <w:b/>
                <w:bCs/>
                <w:sz w:val="18"/>
                <w:szCs w:val="18"/>
              </w:rPr>
              <w:t>Rationale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59BF0" w14:textId="77777777" w:rsidR="00883AEC" w:rsidRDefault="00000000">
            <w:r>
              <w:rPr>
                <w:sz w:val="18"/>
                <w:szCs w:val="18"/>
              </w:rPr>
              <w:t>The agentic backend has three distinct functions: (1) reads check result records from Tier 3 to generate AI-suggested patches routed to remediation workflow; (2) reads from and writes to the SQL primary data model to trigger re-scoring after approved patches; (3) accepts natural language queries on clean remediated data for non-technical care team and coordinator users. Option C is the only placement that makes all three functions explicit and separable. It also provides the cleanest boundary for eventual integration of Kris Kowal's capability-secure execution layer (Endo hardened JavaScript compartments), which requires a well-bounded independent service, not a component embedded in core data layers.</w:t>
            </w:r>
          </w:p>
        </w:tc>
      </w:tr>
      <w:tr w:rsidR="00883AEC" w14:paraId="70AD3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730B73C" w14:textId="77777777" w:rsidR="00883AEC" w:rsidRDefault="00000000">
            <w:r>
              <w:rPr>
                <w:b/>
                <w:bCs/>
                <w:sz w:val="18"/>
                <w:szCs w:val="18"/>
              </w:rPr>
              <w:t>Constraint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23378" w14:textId="77777777" w:rsidR="00883AEC" w:rsidRDefault="00000000">
            <w:r>
              <w:rPr>
                <w:sz w:val="18"/>
                <w:szCs w:val="18"/>
              </w:rPr>
              <w:t>The agentic infrastructure never receives raw Tier 1 data. It reads only check result records (approximately 200 bytes each) and approved SQL records. Token cost scales with the number of checks, not raw data volume.</w:t>
            </w:r>
          </w:p>
        </w:tc>
      </w:tr>
      <w:tr w:rsidR="00883AEC" w14:paraId="3FEE4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14AB357" w14:textId="77777777" w:rsidR="00883AEC" w:rsidRDefault="00000000">
            <w:r>
              <w:rPr>
                <w:b/>
                <w:bCs/>
                <w:sz w:val="18"/>
                <w:szCs w:val="18"/>
              </w:rPr>
              <w:t>Reference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EDC81" w14:textId="77777777" w:rsidR="00883AEC" w:rsidRDefault="00000000">
            <w:r>
              <w:rPr>
                <w:sz w:val="18"/>
                <w:szCs w:val="18"/>
              </w:rPr>
              <w:t>Platform Architecture v3 SVG — agentic backend shown as right-side sidecar with dashed connections to check engine and SQL layers, and NL queries output box below.</w:t>
            </w:r>
          </w:p>
        </w:tc>
      </w:tr>
    </w:tbl>
    <w:p w14:paraId="3245DAB8" w14:textId="77777777" w:rsidR="00883AEC" w:rsidRDefault="00883AEC">
      <w:pPr>
        <w:spacing w:before="80" w:after="80"/>
      </w:pPr>
    </w:p>
    <w:p w14:paraId="3CE49A1D" w14:textId="77777777" w:rsidR="00883AEC" w:rsidRDefault="00000000">
      <w:pPr>
        <w:pStyle w:val="Heading2"/>
      </w:pPr>
      <w:r>
        <w:t>Decision 2 — Condition Module Artifact: Config File plus Database (Option C)</w:t>
      </w:r>
    </w:p>
    <w:p w14:paraId="28F91923" w14:textId="77777777" w:rsidR="00883AEC" w:rsidRDefault="00883A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3AEC" w14:paraId="53DEF3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7461BF1" w14:textId="77777777" w:rsidR="00883AEC" w:rsidRDefault="00000000">
            <w:r>
              <w:rPr>
                <w:b/>
                <w:bCs/>
                <w:sz w:val="18"/>
                <w:szCs w:val="18"/>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F0A6" w14:textId="77777777" w:rsidR="00883AEC" w:rsidRDefault="00000000">
            <w:r>
              <w:rPr>
                <w:sz w:val="18"/>
                <w:szCs w:val="18"/>
              </w:rPr>
              <w:t>Decided — April 8, 2026</w:t>
            </w:r>
          </w:p>
        </w:tc>
      </w:tr>
      <w:tr w:rsidR="00883AEC" w14:paraId="64B94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B224F99" w14:textId="77777777" w:rsidR="00883AEC" w:rsidRDefault="00000000">
            <w:r>
              <w:rPr>
                <w:b/>
                <w:bCs/>
                <w:sz w:val="18"/>
                <w:szCs w:val="18"/>
              </w:rPr>
              <w:t>Decision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457CD" w14:textId="77777777" w:rsidR="00883AEC" w:rsidRDefault="00000000">
            <w:r>
              <w:rPr>
                <w:sz w:val="18"/>
                <w:szCs w:val="18"/>
              </w:rPr>
              <w:t>Condition modules are implemented as Option C: a config file as the human-facing interface (authored by clinical knowledge engineering contributors), loaded into the database at startup as the runtime representation read by the check engine.</w:t>
            </w:r>
          </w:p>
        </w:tc>
      </w:tr>
      <w:tr w:rsidR="00883AEC" w14:paraId="4DC90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40B4E2F" w14:textId="77777777" w:rsidR="00883AEC" w:rsidRDefault="00000000">
            <w:r>
              <w:rPr>
                <w:b/>
                <w:bCs/>
                <w:sz w:val="18"/>
                <w:szCs w:val="18"/>
              </w:rPr>
              <w:t>Options considered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4208" w14:textId="77777777" w:rsidR="00883AEC" w:rsidRDefault="00000000">
            <w:r>
              <w:rPr>
                <w:sz w:val="18"/>
                <w:szCs w:val="18"/>
              </w:rPr>
              <w:t>A — Config files only, read directly by engine at runtime. B — Database table only, no human-facing config artifact. C — Config file as human interface, database as runtime representation. Both exist and serve different purposes.</w:t>
            </w:r>
          </w:p>
        </w:tc>
      </w:tr>
      <w:tr w:rsidR="00883AEC" w14:paraId="345B79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453DC37" w14:textId="77777777" w:rsidR="00883AEC" w:rsidRDefault="00000000">
            <w:r>
              <w:rPr>
                <w:b/>
                <w:bCs/>
                <w:sz w:val="18"/>
                <w:szCs w:val="18"/>
              </w:rPr>
              <w:lastRenderedPageBreak/>
              <w:t>Rationale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3F570" w14:textId="77777777" w:rsidR="00883AEC" w:rsidRDefault="00000000">
            <w:r>
              <w:rPr>
                <w:sz w:val="18"/>
                <w:szCs w:val="18"/>
              </w:rPr>
              <w:t>The config file is the governance artifact — the thing that gets proposed, reviewed, approved by Guardians, and incorporated into the Infrastructure Module Repository. It is also the legible deliverable that condition-specific funders (AHA, Helmsley, ADA) can point to. The database representation is what the engine queries efficiently at runtime. Separating the two gives you both operational integrity and funder legibility. Option A alone makes the engine dependent on file I/O at runtime. Option B alone has no human-readable artifact for governance and no legible deliverable for funders. Option C satisfies the technical, workflow, and commercial requirements simultaneously.</w:t>
            </w:r>
          </w:p>
        </w:tc>
      </w:tr>
      <w:tr w:rsidR="00883AEC" w14:paraId="62F36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45C2BC0" w14:textId="77777777" w:rsidR="00883AEC" w:rsidRDefault="00000000">
            <w:r>
              <w:rPr>
                <w:b/>
                <w:bCs/>
                <w:sz w:val="18"/>
                <w:szCs w:val="18"/>
              </w:rPr>
              <w:t>Config file 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37C5" w14:textId="77777777" w:rsidR="00883AEC" w:rsidRDefault="00000000">
            <w:r>
              <w:rPr>
                <w:sz w:val="18"/>
                <w:szCs w:val="18"/>
              </w:rPr>
              <w:t>conditions/ directory at the repo root. Each condition is a self-contained subdirectory: conditions/diabetes/diabetes.config.json, conditions/hypertension/hypertension.config.json, etc. This makes the condition module visible as a first-class artifact in the repo structure.</w:t>
            </w:r>
          </w:p>
        </w:tc>
      </w:tr>
      <w:tr w:rsidR="00883AEC" w14:paraId="7AA09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E5B8862" w14:textId="77777777" w:rsidR="00883AEC" w:rsidRDefault="00000000">
            <w:r>
              <w:rPr>
                <w:b/>
                <w:bCs/>
                <w:sz w:val="18"/>
                <w:szCs w:val="18"/>
              </w:rPr>
              <w:t>Config file contents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BEA1A" w14:textId="77777777" w:rsidR="00883AEC" w:rsidRDefault="00000000">
            <w:r>
              <w:rPr>
                <w:sz w:val="18"/>
                <w:szCs w:val="18"/>
              </w:rPr>
              <w:t>Condition name, required variables, check thresholds and priority weights per variable, use cases supported, minimum fitness scores per use case, value sets governing clinical interpretation (ICD-10, RxNorm, LOINC codes for this condition). Designed to be authored by a clinical informatics expert without touching engine code.</w:t>
            </w:r>
          </w:p>
        </w:tc>
      </w:tr>
      <w:tr w:rsidR="00883AEC" w14:paraId="5DC950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E50024F" w14:textId="77777777" w:rsidR="00883AEC" w:rsidRDefault="00000000">
            <w:r>
              <w:rPr>
                <w:b/>
                <w:bCs/>
                <w:sz w:val="18"/>
                <w:szCs w:val="18"/>
              </w:rPr>
              <w:t>Who authors it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58702" w14:textId="77777777" w:rsidR="00883AEC" w:rsidRDefault="00000000">
            <w:r>
              <w:rPr>
                <w:sz w:val="18"/>
                <w:szCs w:val="18"/>
              </w:rPr>
              <w:t>Clinical knowledge engineering contributors — Hanieh Razzaghi for initial Diabetes module. The config schema is the contract between Oros and clinical collaborators. It must be defined before the Hanieh session can be productive.</w:t>
            </w:r>
          </w:p>
        </w:tc>
      </w:tr>
      <w:tr w:rsidR="00883AEC" w14:paraId="5C59C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F2B238D" w14:textId="77777777" w:rsidR="00883AEC" w:rsidRDefault="00000000">
            <w:r>
              <w:rPr>
                <w:b/>
                <w:bCs/>
                <w:sz w:val="18"/>
                <w:szCs w:val="18"/>
              </w:rPr>
              <w:t>IP implications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F973E" w14:textId="77777777" w:rsidR="00883AEC" w:rsidRDefault="00000000">
            <w:r>
              <w:rPr>
                <w:sz w:val="18"/>
                <w:szCs w:val="18"/>
              </w:rPr>
              <w:t>Config files are Layer 2 contributions under the Oros Collaboration Model — attributed to contributors, not exclusively owned by them. A condition module funded by AHA belongs to the core (Layer 1 jurisdiction) once it has broad applicability. The config file living in the Oros-controlled repository, reviewed before merge, enforces this structurally.</w:t>
            </w:r>
          </w:p>
        </w:tc>
      </w:tr>
    </w:tbl>
    <w:p w14:paraId="7C851693" w14:textId="77777777" w:rsidR="00883AEC" w:rsidRDefault="00883AEC">
      <w:pPr>
        <w:spacing w:before="80" w:after="80"/>
      </w:pPr>
    </w:p>
    <w:p w14:paraId="18C00D53" w14:textId="77777777" w:rsidR="00883AEC" w:rsidRDefault="00000000">
      <w:pPr>
        <w:pStyle w:val="Heading2"/>
      </w:pPr>
      <w:r>
        <w:t>Decision 3 — Data Representation Model: Sequential, Not Parallel</w:t>
      </w:r>
    </w:p>
    <w:p w14:paraId="1ACBEFAA" w14:textId="77777777" w:rsidR="00883AEC" w:rsidRDefault="00883A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3AEC" w14:paraId="4AF0E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CB5FD50" w14:textId="77777777" w:rsidR="00883AEC" w:rsidRDefault="00000000">
            <w:r>
              <w:rPr>
                <w:b/>
                <w:bCs/>
                <w:sz w:val="18"/>
                <w:szCs w:val="18"/>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3B484" w14:textId="77777777" w:rsidR="00883AEC" w:rsidRDefault="00000000">
            <w:r>
              <w:rPr>
                <w:sz w:val="18"/>
                <w:szCs w:val="18"/>
              </w:rPr>
              <w:t>Decided — April 8, 2026</w:t>
            </w:r>
          </w:p>
        </w:tc>
      </w:tr>
      <w:tr w:rsidR="00883AEC" w14:paraId="773A0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6BDE4DE" w14:textId="77777777" w:rsidR="00883AEC" w:rsidRDefault="00000000">
            <w:r>
              <w:rPr>
                <w:b/>
                <w:bCs/>
                <w:sz w:val="18"/>
                <w:szCs w:val="18"/>
              </w:rPr>
              <w:t>Decision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1D44B" w14:textId="77777777" w:rsidR="00883AEC" w:rsidRDefault="00000000">
            <w:r>
              <w:rPr>
                <w:sz w:val="18"/>
                <w:szCs w:val="18"/>
              </w:rPr>
              <w:t>The three Tier 4 data representations are sequential, not parallel outputs generated simultaneously. SQL operational database is primary. FHIR R4 is generated when data is sufficiently remediated for VBC reporting. OMOP CDM is the research bonus generated when operational remediation creates research-grade data quality.</w:t>
            </w:r>
          </w:p>
        </w:tc>
      </w:tr>
      <w:tr w:rsidR="00883AEC" w14:paraId="2F6888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8CC8816" w14:textId="77777777" w:rsidR="00883AEC" w:rsidRDefault="00000000">
            <w:r>
              <w:rPr>
                <w:b/>
                <w:bCs/>
                <w:sz w:val="18"/>
                <w:szCs w:val="18"/>
              </w:rPr>
              <w:t>SQL — primary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5E54" w14:textId="77777777" w:rsidR="00883AEC" w:rsidRDefault="00000000">
            <w:r>
              <w:rPr>
                <w:sz w:val="18"/>
                <w:szCs w:val="18"/>
              </w:rPr>
              <w:t>The SQL operational database (Neon) is the first and primary representation. All four tiers operate here. All remediation cycles happen here. The agentic backend reads from and writes to here. Session management, check results, patch records, and readiness scores all live here. Nothing bypasses the SQL layer.</w:t>
            </w:r>
          </w:p>
        </w:tc>
      </w:tr>
      <w:tr w:rsidR="00883AEC" w14:paraId="33C06C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837EB6E" w14:textId="77777777" w:rsidR="00883AEC" w:rsidRDefault="00000000">
            <w:r>
              <w:rPr>
                <w:b/>
                <w:bCs/>
                <w:sz w:val="18"/>
                <w:szCs w:val="18"/>
              </w:rPr>
              <w:t>FHIR R4 — second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FC834" w14:textId="77777777" w:rsidR="00883AEC" w:rsidRDefault="00000000">
            <w:r>
              <w:rPr>
                <w:sz w:val="18"/>
                <w:szCs w:val="18"/>
              </w:rPr>
              <w:t>Generated from Tier 3 approved SQL records when data is sufficiently remediated for the VBC reporting use case. Not generated from raw Tier 1 data. Remediation provenance travels with the FHIR representation. Powers the ACCESS CKM VBC reporting use case.</w:t>
            </w:r>
          </w:p>
        </w:tc>
      </w:tr>
      <w:tr w:rsidR="00883AEC" w14:paraId="0245B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814FC96" w14:textId="77777777" w:rsidR="00883AEC" w:rsidRDefault="00000000">
            <w:r>
              <w:rPr>
                <w:b/>
                <w:bCs/>
                <w:sz w:val="18"/>
                <w:szCs w:val="18"/>
              </w:rPr>
              <w:t>OMOP CDM — third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EFFD" w14:textId="77777777" w:rsidR="00883AEC" w:rsidRDefault="00000000">
            <w:r>
              <w:rPr>
                <w:sz w:val="18"/>
                <w:szCs w:val="18"/>
              </w:rPr>
              <w:t>The research bonus. Generated from Tier 3 approved SQL records when operational remediation has produced data quality sufficient for research-grade analytics. The key strategic point: the incentive to do the hard data quality remediation work is operational and financial (VBC reporting), not research-driven. OMOP is what you get for doing the operational work. Nobody funds data quality remediation for research alone.</w:t>
            </w:r>
          </w:p>
        </w:tc>
      </w:tr>
      <w:tr w:rsidR="00883AEC" w14:paraId="720792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704E3C3" w14:textId="77777777" w:rsidR="00883AEC" w:rsidRDefault="00000000">
            <w:r>
              <w:rPr>
                <w:b/>
                <w:bCs/>
                <w:sz w:val="18"/>
                <w:szCs w:val="18"/>
              </w:rPr>
              <w:t>Diagram convention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27FA5" w14:textId="77777777" w:rsidR="00883AEC" w:rsidRDefault="00000000">
            <w:r>
              <w:rPr>
                <w:sz w:val="18"/>
                <w:szCs w:val="18"/>
              </w:rPr>
              <w:t>FHIR shown with solid arrow and solid border (primary operational output). OMOP shown with dashed arrow and dashed border (secondary research output). Both derived from SQL center, not from raw data.</w:t>
            </w:r>
          </w:p>
        </w:tc>
      </w:tr>
    </w:tbl>
    <w:p w14:paraId="27812771" w14:textId="77777777" w:rsidR="00883AEC" w:rsidRDefault="00883AEC">
      <w:pPr>
        <w:spacing w:before="80" w:after="80"/>
      </w:pPr>
    </w:p>
    <w:p w14:paraId="20D2DD44" w14:textId="77777777" w:rsidR="00883AEC" w:rsidRDefault="00000000">
      <w:pPr>
        <w:pStyle w:val="Heading2"/>
      </w:pPr>
      <w:r>
        <w:lastRenderedPageBreak/>
        <w:t>Decision 4 — Data Flow Architecture: Regional Node as Deployment Host</w:t>
      </w:r>
    </w:p>
    <w:p w14:paraId="547F2A8E" w14:textId="77777777" w:rsidR="00883AEC" w:rsidRDefault="00883AE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3AEC" w14:paraId="497016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D9073E9" w14:textId="77777777" w:rsidR="00883AEC" w:rsidRDefault="00000000">
            <w:r>
              <w:rPr>
                <w:b/>
                <w:bCs/>
                <w:sz w:val="18"/>
                <w:szCs w:val="18"/>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B81D2" w14:textId="77777777" w:rsidR="00883AEC" w:rsidRDefault="00000000">
            <w:r>
              <w:rPr>
                <w:sz w:val="18"/>
                <w:szCs w:val="18"/>
              </w:rPr>
              <w:t>Decided — April 8, 2026</w:t>
            </w:r>
          </w:p>
        </w:tc>
      </w:tr>
      <w:tr w:rsidR="00883AEC" w14:paraId="0E038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C184156" w14:textId="77777777" w:rsidR="00883AEC" w:rsidRDefault="00000000">
            <w:r>
              <w:rPr>
                <w:b/>
                <w:bCs/>
                <w:sz w:val="18"/>
                <w:szCs w:val="18"/>
              </w:rPr>
              <w:t>Decision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6ADD" w14:textId="77777777" w:rsidR="00883AEC" w:rsidRDefault="00000000">
            <w:r>
              <w:rPr>
                <w:sz w:val="18"/>
                <w:szCs w:val="18"/>
              </w:rPr>
              <w:t>Data flows from clinical sites and device feeds through a regional data transport step to the regional node (ACO, IDN, or HIE). Oros infrastructure is deployed at the regional node — not directly connected to clinical sites. The regional node is the deployment host, not a data source.</w:t>
            </w:r>
          </w:p>
        </w:tc>
      </w:tr>
      <w:tr w:rsidR="00883AEC" w14:paraId="0F0A79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92E4FD1" w14:textId="77777777" w:rsidR="00883AEC" w:rsidRDefault="00000000">
            <w:r>
              <w:rPr>
                <w:b/>
                <w:bCs/>
                <w:sz w:val="18"/>
                <w:szCs w:val="18"/>
              </w:rPr>
              <w:t>Corrected from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8DD31" w14:textId="77777777" w:rsidR="00883AEC" w:rsidRDefault="00000000">
            <w:r>
              <w:rPr>
                <w:sz w:val="18"/>
                <w:szCs w:val="18"/>
              </w:rPr>
              <w:t>Earlier diagram incorrectly showed ACOs/IDNs as a parallel data source alongside clinical sites. ACOs and IDNs are where the Oros infrastructure sits, not where data originates.</w:t>
            </w:r>
          </w:p>
        </w:tc>
      </w:tr>
      <w:tr w:rsidR="00883AEC" w14:paraId="68315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FE77910" w14:textId="77777777" w:rsidR="00883AEC" w:rsidRDefault="00000000">
            <w:r>
              <w:rPr>
                <w:b/>
                <w:bCs/>
                <w:sz w:val="18"/>
                <w:szCs w:val="18"/>
              </w:rPr>
              <w:t>Data sources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C212C" w14:textId="77777777" w:rsidR="00883AEC" w:rsidRDefault="00000000">
            <w:r>
              <w:rPr>
                <w:sz w:val="18"/>
                <w:szCs w:val="18"/>
              </w:rPr>
              <w:t>Three primary streams: (1) Clinical sites — EHR data, lab results; (2) Connected devices — CGM, BP monitors, weight scales; (3) Lab and administrative data — additional lab feeds, claims, attribution lists.</w:t>
            </w:r>
          </w:p>
        </w:tc>
      </w:tr>
      <w:tr w:rsidR="00883AEC" w14:paraId="538FC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8EEA36C" w14:textId="77777777" w:rsidR="00883AEC" w:rsidRDefault="00000000">
            <w:r>
              <w:rPr>
                <w:b/>
                <w:bCs/>
                <w:sz w:val="18"/>
                <w:szCs w:val="18"/>
              </w:rPr>
              <w:t>Regional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04625" w14:textId="77777777" w:rsidR="00883AEC" w:rsidRDefault="00000000">
            <w:r>
              <w:rPr>
                <w:sz w:val="18"/>
                <w:szCs w:val="18"/>
              </w:rPr>
              <w:t>The organization hosting Oros infrastructure varies by region. In the Colorado rural health pilot, UCHealth (IDN model with rural clinic partnerships) is the primary regional node candidate, potentially supplemented by Contexture (Colorado HIE). The governance model is flexible — Oros adapts to the regional data infrastructure that already exists rather than requiring a specific node type.</w:t>
            </w:r>
          </w:p>
        </w:tc>
      </w:tr>
      <w:tr w:rsidR="00883AEC" w14:paraId="0D146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CC963EF" w14:textId="77777777" w:rsidR="00883AEC" w:rsidRDefault="00000000">
            <w:r>
              <w:rPr>
                <w:b/>
                <w:bCs/>
                <w:sz w:val="18"/>
                <w:szCs w:val="18"/>
              </w:rPr>
              <w:t>Hosting model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BB465" w14:textId="77777777" w:rsidR="00883AEC" w:rsidRDefault="00000000">
            <w:r>
              <w:rPr>
                <w:sz w:val="18"/>
                <w:szCs w:val="18"/>
              </w:rPr>
              <w:t>Two options: (1) Oros-managed — Oros hosts the infrastructure for the regional node; (2) Self-hosted — the regional IDN/ACO runs Oros infrastructure in their own cloud. Both options are supported by design. The reference implementation is a containerized deployment that supports both.</w:t>
            </w:r>
          </w:p>
        </w:tc>
      </w:tr>
      <w:tr w:rsidR="00883AEC" w14:paraId="403102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2EA6604" w14:textId="77777777" w:rsidR="00883AEC" w:rsidRDefault="00000000">
            <w:r>
              <w:rPr>
                <w:b/>
                <w:bCs/>
                <w:sz w:val="18"/>
                <w:szCs w:val="18"/>
              </w:rPr>
              <w:t>HIE positioning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8869C" w14:textId="77777777" w:rsidR="00883AEC" w:rsidRDefault="00000000">
            <w:r>
              <w:rPr>
                <w:sz w:val="18"/>
                <w:szCs w:val="18"/>
              </w:rPr>
              <w:t>Following discovery work with CyncHealth (Nebraska/Iowa), Big Sky Care Connect (Montana), and LACIE (Kansas City), primary deployment focus is ACOs and IDNs with direct clinic feeds. HIEs are positioned as a supplementary data source, not primary deployment targets. Reason: HIEs are not positioned to take on the operational data quality remediation work.</w:t>
            </w:r>
          </w:p>
        </w:tc>
      </w:tr>
    </w:tbl>
    <w:p w14:paraId="3342CE00" w14:textId="77777777" w:rsidR="00883AEC" w:rsidRDefault="00883AEC">
      <w:pPr>
        <w:spacing w:before="80" w:after="80"/>
      </w:pPr>
    </w:p>
    <w:p w14:paraId="24E59877" w14:textId="77777777" w:rsidR="00883AEC" w:rsidRDefault="00000000">
      <w:pPr>
        <w:pStyle w:val="Heading2"/>
      </w:pPr>
      <w:r>
        <w:t>5. Downstream Implications</w:t>
      </w:r>
    </w:p>
    <w:p w14:paraId="1716C521" w14:textId="77777777" w:rsidR="00883AEC" w:rsidRDefault="00883AEC">
      <w:pPr>
        <w:spacing w:before="80" w:after="80"/>
      </w:pPr>
    </w:p>
    <w:p w14:paraId="5F9549CB" w14:textId="77777777" w:rsidR="00883AEC" w:rsidRDefault="00000000">
      <w:pPr>
        <w:spacing w:before="60" w:after="60"/>
      </w:pPr>
      <w:r>
        <w:t>These four decisions have the following implications for the Backend build:</w:t>
      </w:r>
    </w:p>
    <w:p w14:paraId="7D3CE388" w14:textId="77777777" w:rsidR="00883AEC" w:rsidRDefault="00883AEC">
      <w:pPr>
        <w:spacing w:before="80" w:after="80"/>
      </w:pPr>
    </w:p>
    <w:p w14:paraId="23F1E31A" w14:textId="77777777" w:rsidR="00883AEC" w:rsidRDefault="00000000">
      <w:pPr>
        <w:pStyle w:val="Heading3"/>
      </w:pPr>
      <w:r>
        <w:t>5.1 Condition module schema — immediate next task</w:t>
      </w:r>
    </w:p>
    <w:p w14:paraId="11A21851" w14:textId="77777777" w:rsidR="00883AEC" w:rsidRDefault="00000000">
      <w:pPr>
        <w:spacing w:before="60" w:after="60"/>
      </w:pPr>
      <w:r>
        <w:t>The condition module schema (the checks.config.json structure) must be defined before the Hanieh collaboration session. The schema is the contract between Oros and clinical knowledge engineering contributors. It should be: condition as the top-level key (for legibility and funding purposes), variables and their checks as the organizing unit internally. One file per condition, structured around variables.</w:t>
      </w:r>
    </w:p>
    <w:p w14:paraId="128B93ED" w14:textId="77777777" w:rsidR="00883AEC" w:rsidRDefault="00883AEC">
      <w:pPr>
        <w:spacing w:before="80" w:after="80"/>
      </w:pPr>
    </w:p>
    <w:p w14:paraId="0FB69CEE" w14:textId="77777777" w:rsidR="00883AEC" w:rsidRDefault="00000000">
      <w:pPr>
        <w:pStyle w:val="Heading3"/>
      </w:pPr>
      <w:r>
        <w:t>5.2 Database migrations</w:t>
      </w:r>
    </w:p>
    <w:p w14:paraId="6BAF01EB" w14:textId="77777777" w:rsidR="00883AEC" w:rsidRDefault="00000000">
      <w:pPr>
        <w:spacing w:before="60" w:after="60"/>
      </w:pPr>
      <w:r>
        <w:t>The existing Neon schema is already well-positioned for these decisions. No migrations are required to support TA-agnosticism — the schema already implements it (use_case_name as string, no condition column in check tables, composite session-aware FKs). The condition module config loading requires a new pipeline step at startup: read config files, load condition module definitions into the database. The specific tables for this are to be defined in the schema design phase.</w:t>
      </w:r>
    </w:p>
    <w:p w14:paraId="33E97BB3" w14:textId="77777777" w:rsidR="00883AEC" w:rsidRDefault="00883AEC">
      <w:pPr>
        <w:spacing w:before="80" w:after="80"/>
      </w:pPr>
    </w:p>
    <w:p w14:paraId="1F3B4816" w14:textId="77777777" w:rsidR="00883AEC" w:rsidRDefault="00000000">
      <w:pPr>
        <w:pStyle w:val="Heading3"/>
      </w:pPr>
      <w:r>
        <w:t>5.3 Terminology layer</w:t>
      </w:r>
    </w:p>
    <w:p w14:paraId="40494776" w14:textId="77777777" w:rsidR="00883AEC" w:rsidRDefault="00000000">
      <w:pPr>
        <w:spacing w:before="60" w:after="60"/>
      </w:pPr>
      <w:r>
        <w:lastRenderedPageBreak/>
        <w:t>For the POC, the terminology layer is implemented as static reference files (NLM downloadable code sets — ICD-10, RxNorm, LOINC, SNOMED subsets). This is sufficient for POC-scale validation. HAPI FHIR (open source FHIR server with terminology service capabilities) is the upgrade path when the build scales. The condition module config file includes value sets as the condition-specific layer on top of the authoritative reference. Chime Ogbuji's locally fine-tuned LLM (SNOMED, ICD-10, RxNorm, LOINC) is a future Layer 2 module enhancing the normalization step — not a current dependency.</w:t>
      </w:r>
    </w:p>
    <w:p w14:paraId="5647610B" w14:textId="77777777" w:rsidR="00883AEC" w:rsidRDefault="00883AEC">
      <w:pPr>
        <w:spacing w:before="80" w:after="80"/>
      </w:pPr>
    </w:p>
    <w:p w14:paraId="0B62C169" w14:textId="77777777" w:rsidR="00883AEC" w:rsidRDefault="00000000">
      <w:pPr>
        <w:pStyle w:val="Heading3"/>
      </w:pPr>
      <w:r>
        <w:t>5.4 Scoring engine</w:t>
      </w:r>
    </w:p>
    <w:p w14:paraId="66A28786" w14:textId="77777777" w:rsidR="00883AEC" w:rsidRDefault="00000000">
      <w:pPr>
        <w:spacing w:before="60" w:after="60"/>
      </w:pPr>
      <w:r>
        <w:t>The three checks currently implemented (device_patient_linkage_cgm, device_temporal_density_cgm_14d, layer1_notnull_fields_smoking) are correctly structured. Each exports check metadata as constants (CHECK_NAME, VARIABLE_NAME, CHECK_SCOPE, PRIORITY, THRESHOLD). These are already structured for externalization to the condition module config file. No restructuring needed — the path from constants to config-driven is straightforward.</w:t>
      </w:r>
    </w:p>
    <w:p w14:paraId="04360A3B" w14:textId="77777777" w:rsidR="00883AEC" w:rsidRDefault="00883AEC">
      <w:pPr>
        <w:spacing w:before="80" w:after="80"/>
      </w:pPr>
    </w:p>
    <w:p w14:paraId="28333826" w14:textId="77777777" w:rsidR="00883AEC" w:rsidRDefault="00000000">
      <w:pPr>
        <w:pStyle w:val="Heading2"/>
      </w:pPr>
      <w:r>
        <w:t>6. Open Questions Carried Forward</w:t>
      </w:r>
    </w:p>
    <w:p w14:paraId="4FFDE4EB" w14:textId="77777777" w:rsidR="00883AEC" w:rsidRDefault="00883AEC">
      <w:pPr>
        <w:spacing w:before="80" w:after="80"/>
      </w:pPr>
    </w:p>
    <w:p w14:paraId="5A43E06A" w14:textId="77777777" w:rsidR="00883AEC" w:rsidRDefault="00000000">
      <w:pPr>
        <w:spacing w:before="40" w:after="40"/>
        <w:ind w:left="480" w:hanging="240"/>
      </w:pPr>
      <w:r>
        <w:t>•  Condition module schema: is condition or variable the top-level key? Recommended hybrid: condition as envelope, variables as internal organizing unit. To be validated with Hanieh.</w:t>
      </w:r>
    </w:p>
    <w:p w14:paraId="79052290" w14:textId="77777777" w:rsidR="00883AEC" w:rsidRDefault="00000000">
      <w:pPr>
        <w:spacing w:before="40" w:after="40"/>
        <w:ind w:left="480" w:hanging="240"/>
      </w:pPr>
      <w:r>
        <w:t>•  Database tables for condition module runtime representation: what specific tables are needed? To be designed in schema work.</w:t>
      </w:r>
    </w:p>
    <w:p w14:paraId="550BE945" w14:textId="77777777" w:rsidR="00883AEC" w:rsidRDefault="00000000">
      <w:pPr>
        <w:spacing w:before="40" w:after="40"/>
        <w:ind w:left="480" w:hanging="240"/>
      </w:pPr>
      <w:r>
        <w:t>•  Agentic backend NL query interface: what does the user-facing query interface look like for non-technical care team users? To be designed in UI build phase.</w:t>
      </w:r>
    </w:p>
    <w:p w14:paraId="4500D8C1" w14:textId="77777777" w:rsidR="00883AEC" w:rsidRDefault="00000000">
      <w:pPr>
        <w:spacing w:before="40" w:after="40"/>
        <w:ind w:left="480" w:hanging="240"/>
      </w:pPr>
      <w:r>
        <w:t>•  OMOP CDM implementation scope: which OMOP tables are required for the POC beyond the seven identified in the Data Model? To be determined when research use case is scoped.</w:t>
      </w:r>
    </w:p>
    <w:p w14:paraId="4C88320A" w14:textId="77777777" w:rsidR="00883AEC" w:rsidRDefault="00000000">
      <w:pPr>
        <w:spacing w:before="40" w:after="40"/>
        <w:ind w:left="480" w:hanging="240"/>
      </w:pPr>
      <w:r>
        <w:t>•  Governance project: the open question of whether Oros becomes a nonprofit, DAO, or other legal structure remains open and is deferred to the governance project thread.</w:t>
      </w:r>
    </w:p>
    <w:p w14:paraId="1FF47FE1" w14:textId="77777777" w:rsidR="00883AEC" w:rsidRDefault="00883AEC">
      <w:pPr>
        <w:spacing w:before="80" w:after="80"/>
      </w:pPr>
    </w:p>
    <w:p w14:paraId="01DA90D7" w14:textId="77777777" w:rsidR="00883AEC" w:rsidRDefault="00000000">
      <w:pPr>
        <w:pStyle w:val="Heading2"/>
      </w:pPr>
      <w:r>
        <w:t>7. Relationship to Other Documents</w:t>
      </w:r>
    </w:p>
    <w:p w14:paraId="38F34120" w14:textId="77777777" w:rsidR="00883AEC" w:rsidRDefault="00883AEC">
      <w:pPr>
        <w:spacing w:before="80" w:after="80"/>
      </w:pPr>
    </w:p>
    <w:p w14:paraId="67164B3B" w14:textId="77777777" w:rsidR="00883AEC" w:rsidRDefault="00000000">
      <w:pPr>
        <w:spacing w:before="60" w:after="60"/>
      </w:pPr>
      <w:r>
        <w:t>Data Model v2 — schema already implements TA-agnosticism. Section 9 (FK Constraint Design) documents the session-aware composite FK pattern and the cgm_readings exception for Bug 1 demo fidelity.</w:t>
      </w:r>
    </w:p>
    <w:p w14:paraId="5D5108C6" w14:textId="77777777" w:rsidR="00883AEC" w:rsidRDefault="00000000">
      <w:pPr>
        <w:spacing w:before="60" w:after="60"/>
      </w:pPr>
      <w:r>
        <w:t>Technical Specification — needs R1 (TA-agnostic design principles) and R4 (condition plug-in definition). Phase 3 documentation task, after condition module schema is stable.</w:t>
      </w:r>
    </w:p>
    <w:p w14:paraId="08CA74D1" w14:textId="77777777" w:rsidR="00883AEC" w:rsidRDefault="00000000">
      <w:pPr>
        <w:spacing w:before="60" w:after="60"/>
      </w:pPr>
      <w:r>
        <w:t>Methodology Architecture — needs the Michael Kahn lineage acknowledgment and condition module framing. Phase 3 documentation task.</w:t>
      </w:r>
    </w:p>
    <w:p w14:paraId="59F02415" w14:textId="77777777" w:rsidR="00883AEC" w:rsidRDefault="00000000">
      <w:pPr>
        <w:spacing w:before="60" w:after="60"/>
      </w:pPr>
      <w:r>
        <w:t>Platform Architecture v3 SVG — visual reference for all four decisions. Saved as Oros_Platform_Architecture_v3.svg.</w:t>
      </w:r>
    </w:p>
    <w:p w14:paraId="6CA50F45" w14:textId="77777777" w:rsidR="00883AEC" w:rsidRDefault="00000000">
      <w:pPr>
        <w:spacing w:before="60" w:after="60"/>
      </w:pPr>
      <w:r>
        <w:t>Oros Brand and Messaging Reference — platform identity decisions. Saved separately, deferred to post-POC for website and brand execution.</w:t>
      </w:r>
    </w:p>
    <w:p w14:paraId="1347BB83" w14:textId="77777777" w:rsidR="00883AEC" w:rsidRDefault="00000000">
      <w:pPr>
        <w:spacing w:before="60" w:after="60"/>
      </w:pPr>
      <w:r>
        <w:t>Oros Collaboration/IP Project Carryover — context for the new Collaboration, Attribution and IP Claude project.</w:t>
      </w:r>
    </w:p>
    <w:p w14:paraId="2A001001" w14:textId="77777777" w:rsidR="00883AEC" w:rsidRDefault="00000000">
      <w:pPr>
        <w:pStyle w:val="Heading2"/>
        <w:spacing w:before="280" w:after="140"/>
      </w:pPr>
      <w:r>
        <w:t>8. Architecture Specification (April 2026)</w:t>
      </w:r>
    </w:p>
    <w:p w14:paraId="2A001002" w14:textId="77777777" w:rsidR="00883AEC" w:rsidRDefault="00000000">
      <w:pPr>
        <w:spacing w:before="60" w:after="120"/>
      </w:pPr>
      <w:r>
        <w:t xml:space="preserve">Subsequent to the four decisions recorded in this document, a formal Architecture Specification (v1.2, April 2026) was produced in collaboration with Hanieh Razzaghi (CHOP / UPenn). That document is the canonical methodology reference for the Oros CKM Data Readiness Infrastructure and supersedes the Baseline Methodology document.</w:t>
      </w:r>
    </w:p>
    <w:p w14:paraId="2A001003" w14:textId="77777777" w:rsidR="00883AEC" w:rsidRDefault="00000000">
      <w:pPr>
        <w:spacing w:before="60" w:after="120"/>
      </w:pPr>
      <w:r>
        <w:t xml:space="preserve">The condition module schema defined in Decision 2 (Section 5.1) must conform to the object model defined in the Architecture Specification. The config file implements a Condition Module containing one or more Use Case Specifications, each of which carries its own Population Definition, Variable Application Rules, and Use-Case Computation Logic. The Architecture Specification is the contract that governs what the condition module config file must contain.</w:t>
      </w:r>
    </w:p>
    <w:p w14:paraId="2A001004" w14:textId="77777777" w:rsidR="00883AEC" w:rsidRDefault="00000000">
      <w:pPr>
        <w:spacing w:before="60" w:after="120"/>
      </w:pPr>
      <w:r>
        <w:t xml:space="preserve">Open question resolved: the condition module schema uses condition as the top-level key, with variables as the internal organizing unit, and Use Case Specifications as the operational objects nested within each condition. This was validated with Hanieh Razzaghi and is now locked.</w:t>
      </w:r>
    </w:p>
    <w:sectPr w:rsidR="00883A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3076C"/>
    <w:multiLevelType w:val="hybridMultilevel"/>
    <w:tmpl w:val="BB74F5DC"/>
    <w:lvl w:ilvl="0" w:tplc="AB927E82">
      <w:start w:val="1"/>
      <w:numFmt w:val="bullet"/>
      <w:lvlText w:val="●"/>
      <w:lvlJc w:val="left"/>
      <w:pPr>
        <w:ind w:left="720" w:hanging="360"/>
      </w:pPr>
    </w:lvl>
    <w:lvl w:ilvl="1" w:tplc="DA7A35BC">
      <w:start w:val="1"/>
      <w:numFmt w:val="bullet"/>
      <w:lvlText w:val="○"/>
      <w:lvlJc w:val="left"/>
      <w:pPr>
        <w:ind w:left="1440" w:hanging="360"/>
      </w:pPr>
    </w:lvl>
    <w:lvl w:ilvl="2" w:tplc="E714A348">
      <w:start w:val="1"/>
      <w:numFmt w:val="bullet"/>
      <w:lvlText w:val="■"/>
      <w:lvlJc w:val="left"/>
      <w:pPr>
        <w:ind w:left="2160" w:hanging="360"/>
      </w:pPr>
    </w:lvl>
    <w:lvl w:ilvl="3" w:tplc="7A08F32C">
      <w:start w:val="1"/>
      <w:numFmt w:val="bullet"/>
      <w:lvlText w:val="●"/>
      <w:lvlJc w:val="left"/>
      <w:pPr>
        <w:ind w:left="2880" w:hanging="360"/>
      </w:pPr>
    </w:lvl>
    <w:lvl w:ilvl="4" w:tplc="897E11BA">
      <w:start w:val="1"/>
      <w:numFmt w:val="bullet"/>
      <w:lvlText w:val="○"/>
      <w:lvlJc w:val="left"/>
      <w:pPr>
        <w:ind w:left="3600" w:hanging="360"/>
      </w:pPr>
    </w:lvl>
    <w:lvl w:ilvl="5" w:tplc="49E2C6A2">
      <w:start w:val="1"/>
      <w:numFmt w:val="bullet"/>
      <w:lvlText w:val="■"/>
      <w:lvlJc w:val="left"/>
      <w:pPr>
        <w:ind w:left="4320" w:hanging="360"/>
      </w:pPr>
    </w:lvl>
    <w:lvl w:ilvl="6" w:tplc="E76488E2">
      <w:start w:val="1"/>
      <w:numFmt w:val="bullet"/>
      <w:lvlText w:val="●"/>
      <w:lvlJc w:val="left"/>
      <w:pPr>
        <w:ind w:left="5040" w:hanging="360"/>
      </w:pPr>
    </w:lvl>
    <w:lvl w:ilvl="7" w:tplc="E8EA1B58">
      <w:start w:val="1"/>
      <w:numFmt w:val="bullet"/>
      <w:lvlText w:val="●"/>
      <w:lvlJc w:val="left"/>
      <w:pPr>
        <w:ind w:left="5760" w:hanging="360"/>
      </w:pPr>
    </w:lvl>
    <w:lvl w:ilvl="8" w:tplc="6D54A74E">
      <w:start w:val="1"/>
      <w:numFmt w:val="bullet"/>
      <w:lvlText w:val="●"/>
      <w:lvlJc w:val="left"/>
      <w:pPr>
        <w:ind w:left="6480" w:hanging="360"/>
      </w:pPr>
    </w:lvl>
  </w:abstractNum>
  <w:num w:numId="1" w16cid:durableId="319040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AEC"/>
    <w:rsid w:val="00883AEC"/>
    <w:rsid w:val="00D30BC1"/>
    <w:rsid w:val="00E47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AC7857"/>
  <w15:docId w15:val="{EB8D730F-8CFD-8D44-8F02-28EA1076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20" w:after="110"/>
      <w:outlineLvl w:val="1"/>
    </w:pPr>
    <w:rPr>
      <w:b/>
      <w:bCs/>
      <w:color w:val="2E4D7B"/>
      <w:sz w:val="26"/>
      <w:szCs w:val="26"/>
    </w:rPr>
  </w:style>
  <w:style w:type="paragraph" w:styleId="Heading3">
    <w:name w:val="heading 3"/>
    <w:uiPriority w:val="9"/>
    <w:unhideWhenUsed/>
    <w:qFormat/>
    <w:pPr>
      <w:spacing w:before="160" w:after="80"/>
      <w:outlineLvl w:val="2"/>
    </w:pPr>
    <w:rPr>
      <w:b/>
      <w:bCs/>
      <w:color w:val="2E4D7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1713</Words>
  <Characters>10327</Characters>
  <Application>Microsoft Office Word</Application>
  <DocSecurity>0</DocSecurity>
  <Lines>208</Lines>
  <Paragraphs>86</Paragraphs>
  <ScaleCrop>false</ScaleCrop>
  <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Dominique Pahud</cp:lastModifiedBy>
  <cp:revision>2</cp:revision>
  <dcterms:created xsi:type="dcterms:W3CDTF">2026-04-08T16:39:00Z</dcterms:created>
  <dcterms:modified xsi:type="dcterms:W3CDTF">2026-04-08T16:39:00Z</dcterms:modified>
</cp:coreProperties>
</file>