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Device Data Model &amp; Readiness Extension</w:t>
      </w:r>
    </w:p>
    <w:p>
      <w:pPr>
        <w:spacing w:after="160"/>
      </w:pPr>
      <w:r>
        <w:rPr>
          <w:color w:val="555555"/>
          <w:sz w:val="24"/>
          <w:szCs w:val="24"/>
        </w:rPr>
        <w:t xml:space="preserve">CKM Data Readiness Infrastructure — v1</w:t>
      </w:r>
    </w:p>
    <w:p>
      <w:pPr>
        <w:spacing w:after="80"/>
      </w:pPr>
      <w:r>
        <w:t xml:space="preserve"/>
      </w:r>
    </w:p>
    <w:p>
      <w:pPr>
        <w:spacing w:after="100"/>
      </w:pPr>
      <w:r>
        <w:t xml:space="preserve">This document defines the device-agnostic event model and associated readiness checks that support CGM and other wearable data (connected weight scales, home blood pressure monitors) within the CKM Data Readiness framework.</w:t>
      </w:r>
    </w:p>
    <w:p>
      <w:pPr>
        <w:spacing w:after="80"/>
      </w:pPr>
      <w:r>
        <w:t xml:space="preserve"/>
      </w:r>
    </w:p>
    <w:p>
      <w:pPr>
        <w:spacing w:after="100"/>
      </w:pPr>
      <w:r>
        <w:t xml:space="preserve">Device data follows the same variable-level and use-case evaluation model as EHR data. This document describes the additional requirements specific to device and time series data, and how they integrate with the core readiness framework.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A6F" w:sz="4"/>
              <w:left w:val="single" w:color="2A7A6F" w:sz="12"/>
              <w:bottom w:val="single" w:color="2A7A6F" w:sz="4"/>
              <w:right w:val="single" w:color="2A7A6F" w:sz="4"/>
            </w:tcBorders>
            <w:shd w:fill="EA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Core Principle: Device data is evaluated as a time series variable, with additional requirements for temporal density, consistency, and reproducibility of derived metrics.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Strategic Positioning</w:t>
      </w:r>
    </w:p>
    <w:p>
      <w:pPr>
        <w:spacing w:after="100"/>
      </w:pPr>
      <w:r>
        <w:t xml:space="preserve">In rural settings, EHR data is often incomplete, inconsistent, or delayed to integrate. Device-derived data provides an early operational path for risk stratification and remote monitoring before full EHR integration is in place.</w:t>
      </w:r>
    </w:p>
    <w:p>
      <w:pPr>
        <w:spacing w:after="80"/>
      </w:pPr>
      <w:r>
        <w:t xml:space="preserve"/>
      </w:r>
    </w:p>
    <w:p>
      <w:pPr>
        <w:spacing w:after="100"/>
      </w:pPr>
      <w:r>
        <w:t xml:space="preserve">This enables staged deployment:</w:t>
      </w:r>
    </w:p>
    <w:p>
      <w:pPr>
        <w:pStyle w:val="ListParagraph"/>
        <w:numPr>
          <w:ilvl w:val="0"/>
          <w:numId w:val="2"/>
        </w:numPr>
      </w:pPr>
      <w:r>
        <w:t xml:space="preserve">Device-based signals support initial use cases (risk stratification, remote monitoring) with limited EHR dependency</w:t>
      </w:r>
    </w:p>
    <w:p>
      <w:pPr>
        <w:pStyle w:val="ListParagraph"/>
        <w:numPr>
          <w:ilvl w:val="0"/>
          <w:numId w:val="2"/>
        </w:numPr>
      </w:pPr>
      <w:r>
        <w:t xml:space="preserve">As EHR data readiness improves, device and EHR data are combined for more advanced care coordination and reporting</w:t>
      </w:r>
    </w:p>
    <w:p>
      <w:pPr>
        <w:pStyle w:val="ListParagraph"/>
        <w:numPr>
          <w:ilvl w:val="0"/>
          <w:numId w:val="2"/>
        </w:numPr>
      </w:pPr>
      <w:r>
        <w:t xml:space="preserve">The same readiness framework applies throughout, enabling consistent evaluation and improvement across data types</w:t>
      </w:r>
    </w:p>
    <w:p>
      <w:pPr>
        <w:spacing w:after="8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1. Device-Agnostic Event Model</w:t>
      </w:r>
    </w:p>
    <w:p>
      <w:pPr>
        <w:spacing w:after="100"/>
      </w:pPr>
      <w:r>
        <w:t xml:space="preserve">All device data is ingested through a common event model regardless of device type or manufacturer. This model enables consistent evaluation, storage, and analysis across device types.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A. Device Source</w:t>
      </w:r>
    </w:p>
    <w:p>
      <w:pPr>
        <w:spacing w:after="100"/>
      </w:pPr>
      <w:r>
        <w:t xml:space="preserve">Metadata identifying the device that produced the data: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A7A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A7A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device_id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Unique identifier for the device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device_type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Type of device: CGM, scale, BP cuff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Device manufacturer (e.g., Dexcom, Abbott, Withings)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Device model name or number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data_source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How data is received: API, file upload, or manual entry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B. Measurement Event</w:t>
      </w:r>
    </w:p>
    <w:p>
      <w:pPr>
        <w:spacing w:after="100"/>
      </w:pPr>
      <w:r>
        <w:t xml:space="preserve">Each individual reading or measurement from a device: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A7A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A7A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patient_id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Patient identifier — must match the identity resolution system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device_id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Links measurement to a specific device record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timestamp_utc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Measurement time in UTC — primary timestamp for analysis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timestamp_local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Measurement time in local timezone — used for concordance checks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measurement_type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Type of measurement: glucose, weight, systolic_bp, diastolic_bp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Numeric measurement value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unit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Unit of measurement (mg/dL, mmol/L, kg, lbs, mmHg)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C. Device Metadata (Optional)</w:t>
      </w:r>
    </w:p>
    <w:p>
      <w:pPr>
        <w:spacing w:after="100"/>
      </w:pPr>
      <w:r>
        <w:t xml:space="preserve">Additional metadata supporting readiness evaluation and derived metric computation: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A7A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A7A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sampling_frequency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Expected reading interval (e.g., every 5 minutes for CGM)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algorithm_version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Sensor algorithm version — relevant for derived metric consistency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firmware_version</w:t>
            </w:r>
          </w:p>
        </w:tc>
        <w:tc>
          <w:tcPr>
            <w:tcW w:type="dxa" w:w="6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Device firmware version (optional)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2. Primary vs. Derived Variables</w:t>
      </w:r>
    </w:p>
    <w:p>
      <w:pPr>
        <w:spacing w:after="100"/>
      </w:pPr>
      <w:r>
        <w:t xml:space="preserve">Device data produces two categories of variables. These are handled differently in the readiness framework.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Primary Variables</w:t>
      </w:r>
    </w:p>
    <w:p>
      <w:pPr>
        <w:spacing w:after="100"/>
      </w:pPr>
      <w:r>
        <w:t xml:space="preserve">Primary variables are the raw time series readings from the device. They are the source of truth for all analysis.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A7A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756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A7A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Variable</w:t>
            </w:r>
          </w:p>
        </w:tc>
      </w:tr>
      <w:tr>
        <w:tc>
          <w:tcPr>
            <w:tcW w:type="dxa" w:w="1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CGM</w:t>
            </w:r>
          </w:p>
        </w:tc>
        <w:tc>
          <w:tcPr>
            <w:tcW w:type="dxa" w:w="7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Glucose time series — raw readings at device sampling frequency</w:t>
            </w:r>
          </w:p>
        </w:tc>
      </w:tr>
      <w:tr>
        <w:tc>
          <w:tcPr>
            <w:tcW w:type="dxa" w:w="1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Scale</w:t>
            </w:r>
          </w:p>
        </w:tc>
        <w:tc>
          <w:tcPr>
            <w:tcW w:type="dxa" w:w="7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Weight time series — individual weigh-in events</w:t>
            </w:r>
          </w:p>
        </w:tc>
      </w:tr>
      <w:tr>
        <w:tc>
          <w:tcPr>
            <w:tcW w:type="dxa" w:w="1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BP cuff</w:t>
            </w:r>
          </w:p>
        </w:tc>
        <w:tc>
          <w:tcPr>
            <w:tcW w:type="dxa" w:w="7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Systolic and diastolic BP time series — individual measurement events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Derived Variables</w:t>
      </w:r>
    </w:p>
    <w:p>
      <w:pPr>
        <w:spacing w:after="100"/>
      </w:pPr>
      <w:r>
        <w:t xml:space="preserve">Derived variables are computed from primary variables. They should not be trusted directly from device output — they must be recomputed from raw data to ensure consistency across manufacturers and algorithm versions.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6A4C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756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6A4C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Derived Variables (Recompute from Raw)</w:t>
            </w:r>
          </w:p>
        </w:tc>
      </w:tr>
      <w:tr>
        <w:tc>
          <w:tcPr>
            <w:tcW w:type="dxa" w:w="1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CGM</w:t>
            </w:r>
          </w:p>
        </w:tc>
        <w:tc>
          <w:tcPr>
            <w:tcW w:type="dxa" w:w="7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TIR (time in range), GMI (glucose management indicator), variability</w:t>
            </w:r>
          </w:p>
        </w:tc>
      </w:tr>
      <w:tr>
        <w:tc>
          <w:tcPr>
            <w:tcW w:type="dxa" w:w="1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Scale</w:t>
            </w:r>
          </w:p>
        </w:tc>
        <w:tc>
          <w:tcPr>
            <w:tcW w:type="dxa" w:w="7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Rate of weight change, rolling trends</w:t>
            </w:r>
          </w:p>
        </w:tc>
      </w:tr>
      <w:tr>
        <w:tc>
          <w:tcPr>
            <w:tcW w:type="dxa" w:w="1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BP</w:t>
            </w:r>
          </w:p>
        </w:tc>
        <w:tc>
          <w:tcPr>
            <w:tcW w:type="dxa" w:w="7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Rolling averages, variability indices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8020" w:sz="4"/>
              <w:left w:val="single" w:color="C08020" w:sz="12"/>
              <w:bottom w:val="single" w:color="C08020" w:sz="4"/>
              <w:right w:val="single" w:color="C08020" w:sz="4"/>
            </w:tcBorders>
            <w:shd w:fill="FDF6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Derived metrics such as TIR, GMI, and variability must be recomputed from raw primary data. Device-reported derived values vary by manufacturer and algorithm version and should not be used directly for cross-site comparison.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3. Variable-Level Evaluation — Device-Specific Checks</w:t>
      </w:r>
    </w:p>
    <w:p>
      <w:pPr>
        <w:spacing w:after="100"/>
      </w:pPr>
      <w:r>
        <w:t xml:space="preserve">Device variables are evaluated using the same two-dimensional framework as EHR variables (Technical evaluation and Readiness evaluation), with additional checks specific to time series data.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Technical Checks</w:t>
      </w:r>
    </w:p>
    <w:p>
      <w:pPr>
        <w:pStyle w:val="ListParagraph"/>
        <w:numPr>
          <w:ilvl w:val="0"/>
          <w:numId w:val="3"/>
        </w:numPr>
      </w:pPr>
      <w:r>
        <w:t xml:space="preserve">Ingestion completeness — device records meet not-null requirements for all required fields</w:t>
      </w:r>
    </w:p>
    <w:p>
      <w:pPr>
        <w:pStyle w:val="ListParagraph"/>
        <w:numPr>
          <w:ilvl w:val="0"/>
          <w:numId w:val="3"/>
        </w:numPr>
      </w:pPr>
      <w:r>
        <w:t xml:space="preserve">Timestamp parsing and normalization — UTC and local timestamps present and correctly parsed; timezone normalization applied</w:t>
      </w:r>
    </w:p>
    <w:p>
      <w:pPr>
        <w:pStyle w:val="ListParagraph"/>
        <w:numPr>
          <w:ilvl w:val="0"/>
          <w:numId w:val="3"/>
        </w:numPr>
      </w:pPr>
      <w:r>
        <w:t xml:space="preserve">Unit normalization — values normalized to standard units across device types and manufacturers</w:t>
      </w:r>
    </w:p>
    <w:p>
      <w:pPr>
        <w:pStyle w:val="ListParagraph"/>
        <w:numPr>
          <w:ilvl w:val="0"/>
          <w:numId w:val="3"/>
        </w:numPr>
      </w:pPr>
      <w:r>
        <w:t xml:space="preserve">Patient-device linkage — device records reliably linked to the correct patient; linkage failures detected and flagged</w:t>
      </w:r>
    </w:p>
    <w:p>
      <w:pPr>
        <w:pStyle w:val="ListParagraph"/>
        <w:numPr>
          <w:ilvl w:val="0"/>
          <w:numId w:val="3"/>
        </w:numPr>
      </w:pPr>
      <w:r>
        <w:t xml:space="preserve">Duplicate detection — redundant records from overlapping device feeds removed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Readiness Checks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  <w:color w:val="2A7A6F"/>
          <w:sz w:val="22"/>
          <w:szCs w:val="22"/>
        </w:rPr>
        <w:t xml:space="preserve">Plausibility</w:t>
      </w:r>
    </w:p>
    <w:p>
      <w:pPr>
        <w:pStyle w:val="ListParagraph"/>
        <w:numPr>
          <w:ilvl w:val="0"/>
          <w:numId w:val="4"/>
        </w:numPr>
      </w:pPr>
      <w:r>
        <w:t xml:space="preserve">Values fall within expected physiologic ranges for the measurement type (e.g., glucose 40–400 mg/dL, weight 20–300 kg, BP systolic 60–250 mmHg)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  <w:color w:val="2A7A6F"/>
          <w:sz w:val="22"/>
          <w:szCs w:val="22"/>
        </w:rPr>
        <w:t xml:space="preserve">Temporal Density</w:t>
      </w:r>
    </w:p>
    <w:p>
      <w:pPr>
        <w:pStyle w:val="ListParagraph"/>
        <w:numPr>
          <w:ilvl w:val="0"/>
          <w:numId w:val="5"/>
        </w:numPr>
      </w:pPr>
      <w:r>
        <w:t xml:space="preserve">Sampling frequency matches expected device interval (e.g., every 5 minutes for CGM)</w:t>
      </w:r>
    </w:p>
    <w:p>
      <w:pPr>
        <w:pStyle w:val="ListParagraph"/>
        <w:numPr>
          <w:ilvl w:val="0"/>
          <w:numId w:val="5"/>
        </w:numPr>
      </w:pPr>
      <w:r>
        <w:t xml:space="preserve">Percentage coverage over a defined analysis window meets minimum threshold (e.g., ≥70% over 14 days)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  <w:color w:val="2A7A6F"/>
          <w:sz w:val="22"/>
          <w:szCs w:val="22"/>
        </w:rPr>
        <w:t xml:space="preserve">Temporal Consistency</w:t>
      </w:r>
    </w:p>
    <w:p>
      <w:pPr>
        <w:pStyle w:val="ListParagraph"/>
        <w:numPr>
          <w:ilvl w:val="0"/>
          <w:numId w:val="6"/>
        </w:numPr>
      </w:pPr>
      <w:r>
        <w:t xml:space="preserve">Timestamps are monotonically increasing within a patient session</w:t>
      </w:r>
    </w:p>
    <w:p>
      <w:pPr>
        <w:pStyle w:val="ListParagraph"/>
        <w:numPr>
          <w:ilvl w:val="0"/>
          <w:numId w:val="6"/>
        </w:numPr>
      </w:pPr>
      <w:r>
        <w:t xml:space="preserve">UTC and local timestamps are consistent; timezone offsets applied correctly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  <w:color w:val="2A7A6F"/>
          <w:sz w:val="22"/>
          <w:szCs w:val="22"/>
        </w:rPr>
        <w:t xml:space="preserve">Concordance (Critical)</w:t>
      </w:r>
    </w:p>
    <w:p>
      <w:pPr>
        <w:pStyle w:val="ListParagraph"/>
        <w:numPr>
          <w:ilvl w:val="0"/>
          <w:numId w:val="7"/>
        </w:numPr>
      </w:pPr>
      <w:r>
        <w:t xml:space="preserve">Derived metrics are consistent with values recomputed from raw data</w:t>
      </w:r>
    </w:p>
    <w:p>
      <w:pPr>
        <w:pStyle w:val="ListParagraph"/>
        <w:numPr>
          <w:ilvl w:val="0"/>
          <w:numId w:val="7"/>
        </w:numPr>
      </w:pPr>
      <w:r>
        <w:t xml:space="preserve">Cross-device and cross-vendor representations are consistent for the same variable type</w:t>
      </w:r>
    </w:p>
    <w:p>
      <w:pPr>
        <w:spacing w:after="8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 Use-Case Evaluation — Fit-for-Purpose</w:t>
      </w:r>
    </w:p>
    <w:p>
      <w:pPr>
        <w:spacing w:after="100"/>
      </w:pPr>
      <w:r>
        <w:t xml:space="preserve">Device variable readiness feeds into use-case fitness evaluation in the same way as EHR variables. A use case requiring device data is assessed against the combined readiness of all required variables.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Example: CGM-Based Diabetes Risk Stratification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9E" w:sz="4"/>
              <w:left w:val="single" w:color="2E5F9E" w:sz="8"/>
              <w:bottom w:val="single" w:color="2E5F9E" w:sz="4"/>
              <w:right w:val="single" w:color="2E5F9E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Requirements</w:t>
            </w:r>
          </w:p>
          <w:p>
            <w:pPr>
              <w:spacing w:after="40"/>
              <w:ind w:left="160" w:hanging="160"/>
            </w:pPr>
            <w:r>
              <w:rPr>
                <w:color w:val="333333"/>
                <w:sz w:val="20"/>
                <w:szCs w:val="20"/>
              </w:rPr>
              <w:t xml:space="preserve">•  Temporal coverage: ≥70% of expected readings over 14 days</w:t>
            </w:r>
          </w:p>
          <w:p>
            <w:pPr>
              <w:spacing w:after="40"/>
              <w:ind w:left="160" w:hanging="160"/>
            </w:pPr>
            <w:r>
              <w:rPr>
                <w:color w:val="333333"/>
                <w:sz w:val="20"/>
                <w:szCs w:val="20"/>
              </w:rPr>
              <w:t xml:space="preserve">•  Consistent sampling intervals (no systematic gaps)</w:t>
            </w:r>
          </w:p>
          <w:p>
            <w:pPr>
              <w:spacing w:after="40"/>
              <w:ind w:left="160" w:hanging="160"/>
            </w:pPr>
            <w:r>
              <w:rPr>
                <w:color w:val="333333"/>
                <w:sz w:val="20"/>
                <w:szCs w:val="20"/>
              </w:rPr>
              <w:t xml:space="preserve">•  Stable patient-device linkage across the analysis period</w:t>
            </w:r>
          </w:p>
          <w:p>
            <w:pPr>
              <w:spacing w:after="40"/>
              <w:ind w:left="160" w:hanging="160"/>
            </w:pPr>
            <w:r>
              <w:rPr>
                <w:color w:val="333333"/>
                <w:sz w:val="20"/>
                <w:szCs w:val="20"/>
              </w:rPr>
              <w:t xml:space="preserve">•  Plausible glucose values throughout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56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NOT READY</w:t>
            </w:r>
          </w:p>
        </w:tc>
        <w:tc>
          <w:tcPr>
            <w:tcW w:type="dxa" w:w="20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Insufficient coverage</w:t>
            </w:r>
          </w:p>
        </w:tc>
        <w:tc>
          <w:tcPr>
            <w:tcW w:type="dxa" w:w="4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&lt; 70% of expected readings present; major temporal gaps prevent longitudinal analysis</w:t>
            </w:r>
          </w:p>
        </w:tc>
      </w:tr>
      <w:tr>
        <w:tc>
          <w:tcPr>
            <w:tcW w:type="dxa" w:w="2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PARTIALLY READY</w:t>
            </w:r>
          </w:p>
        </w:tc>
        <w:tc>
          <w:tcPr>
            <w:tcW w:type="dxa" w:w="20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Moderate gaps or issues</w:t>
            </w:r>
          </w:p>
        </w:tc>
        <w:tc>
          <w:tcPr>
            <w:tcW w:type="dxa" w:w="4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Coverage between 50–70%; identity linkage partially resolved; analysis feasible with caveats</w:t>
            </w:r>
          </w:p>
        </w:tc>
      </w:tr>
      <w:tr>
        <w:tc>
          <w:tcPr>
            <w:tcW w:type="dxa" w:w="2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READY</w:t>
            </w:r>
          </w:p>
        </w:tc>
        <w:tc>
          <w:tcPr>
            <w:tcW w:type="dxa" w:w="20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Sufficient density</w:t>
            </w:r>
          </w:p>
        </w:tc>
        <w:tc>
          <w:tcPr>
            <w:tcW w:type="dxa" w:w="4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E4A"/>
                <w:sz w:val="19"/>
                <w:szCs w:val="19"/>
              </w:rPr>
              <w:t xml:space="preserve">≥70% coverage with consistent sampling; identity linkage confirmed; derived metrics validated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5. Time Window Definition</w:t>
      </w:r>
    </w:p>
    <w:p>
      <w:pPr>
        <w:spacing w:after="100"/>
      </w:pPr>
      <w:r>
        <w:t xml:space="preserve">Device-based variables require explicit definition of analysis windows. All temporal density, coverage, and derived metric computations are evaluated within a defined window. Window definition must be standardized across sites to ensure comparability.</w:t>
      </w:r>
    </w:p>
    <w:p>
      <w:pPr>
        <w:spacing w:after="80"/>
      </w:pPr>
      <w:r>
        <w:t xml:space="preserve"/>
      </w:r>
    </w:p>
    <w:p>
      <w:pPr>
        <w:spacing w:after="100"/>
      </w:pPr>
      <w:r>
        <w:t xml:space="preserve">Examples of analysis windows used in the pilot:</w:t>
      </w:r>
    </w:p>
    <w:p>
      <w:pPr>
        <w:pStyle w:val="ListParagraph"/>
        <w:numPr>
          <w:ilvl w:val="0"/>
          <w:numId w:val="2"/>
        </w:numPr>
      </w:pPr>
      <w:r>
        <w:t xml:space="preserve">14-day rolling window — primary window for CGM temporal density and TIR computation</w:t>
      </w:r>
    </w:p>
    <w:p>
      <w:pPr>
        <w:pStyle w:val="ListParagraph"/>
        <w:numPr>
          <w:ilvl w:val="0"/>
          <w:numId w:val="2"/>
        </w:numPr>
      </w:pPr>
      <w:r>
        <w:t xml:space="preserve">30-day rolling window — used for trend analysis and longer-term coverage assessment</w:t>
      </w:r>
    </w:p>
    <w:p>
      <w:pPr>
        <w:pStyle w:val="ListParagraph"/>
        <w:numPr>
          <w:ilvl w:val="0"/>
          <w:numId w:val="2"/>
        </w:numPr>
      </w:pPr>
      <w:r>
        <w:t xml:space="preserve">Encounter-anchored window — device readings evaluated within a defined period before or after a clinical encounter</w:t>
      </w:r>
    </w:p>
    <w:p>
      <w:pPr>
        <w:spacing w:after="80"/>
      </w:pPr>
      <w:r>
        <w:t xml:space="preserve"/>
      </w:r>
    </w:p>
    <w:p>
      <w:pPr>
        <w:spacing w:after="100"/>
      </w:pPr>
      <w:r>
        <w:t xml:space="preserve">Window definition is specified per use case and per condition plug-in. Consistent window definitions are required for NCQA alignment and cross-site comparability. TIR and GMI computations are only valid when evaluated within a standardized window with sufficient temporal density.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9E" w:sz="4"/>
              <w:left w:val="single" w:color="2E5F9E" w:sz="8"/>
              <w:bottom w:val="single" w:color="2E5F9E" w:sz="4"/>
              <w:right w:val="single" w:color="2E5F9E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NCQA alignment note</w:t>
            </w:r>
          </w:p>
          <w:p>
            <w:pPr>
              <w:spacing w:after="40"/>
              <w:ind w:left="160" w:hanging="160"/>
            </w:pPr>
            <w:r>
              <w:rPr>
                <w:color w:val="333333"/>
                <w:sz w:val="20"/>
                <w:szCs w:val="20"/>
              </w:rPr>
              <w:t xml:space="preserve">•  TIR and GMI reporting standards specify evaluation windows (typically 14 days minimum).</w:t>
            </w:r>
          </w:p>
          <w:p>
            <w:pPr>
              <w:spacing w:after="40"/>
              <w:ind w:left="160" w:hanging="160"/>
            </w:pPr>
            <w:r>
              <w:rPr>
                <w:color w:val="333333"/>
                <w:sz w:val="20"/>
                <w:szCs w:val="20"/>
              </w:rPr>
              <w:t xml:space="preserve">•  Sites must meet temporal density thresholds within those windows before derived metrics are considered valid.</w:t>
            </w:r>
          </w:p>
          <w:p>
            <w:pPr>
              <w:spacing w:after="40"/>
              <w:ind w:left="160" w:hanging="160"/>
            </w:pPr>
            <w:r>
              <w:rPr>
                <w:color w:val="333333"/>
                <w:sz w:val="20"/>
                <w:szCs w:val="20"/>
              </w:rPr>
              <w:t xml:space="preserve">•  The readiness framework evaluates window compliance before reporting derived metrics as available.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6. Remediation Patterns</w:t>
      </w:r>
    </w:p>
    <w:p>
      <w:pPr>
        <w:spacing w:after="100"/>
      </w:pPr>
      <w:r>
        <w:t xml:space="preserve">When device variable checks fail, the methodology generates targeted remediation guidance. Common remediation patterns include:</w:t>
      </w:r>
    </w:p>
    <w:p>
      <w:pPr>
        <w:pStyle w:val="ListParagraph"/>
        <w:numPr>
          <w:ilvl w:val="0"/>
          <w:numId w:val="2"/>
        </w:numPr>
      </w:pPr>
      <w:r>
        <w:t xml:space="preserve">Normalize timestamps and units — standardize timezone handling and unit conversion across device types</w:t>
      </w:r>
    </w:p>
    <w:p>
      <w:pPr>
        <w:pStyle w:val="ListParagraph"/>
        <w:numPr>
          <w:ilvl w:val="0"/>
          <w:numId w:val="2"/>
        </w:numPr>
      </w:pPr>
      <w:r>
        <w:t xml:space="preserve">Recompute derived metrics — regenerate TIR, GMI, and variability from raw glucose time series to ensure cross-manufacturer consistency</w:t>
      </w:r>
    </w:p>
    <w:p>
      <w:pPr>
        <w:pStyle w:val="ListParagraph"/>
        <w:numPr>
          <w:ilvl w:val="0"/>
          <w:numId w:val="2"/>
        </w:numPr>
      </w:pPr>
      <w:r>
        <w:t xml:space="preserve">Flag or interpolate small gaps — identify acceptable gaps and apply consistent handling rules</w:t>
      </w:r>
    </w:p>
    <w:p>
      <w:pPr>
        <w:pStyle w:val="ListParagraph"/>
        <w:numPr>
          <w:ilvl w:val="0"/>
          <w:numId w:val="2"/>
        </w:numPr>
      </w:pPr>
      <w:r>
        <w:t xml:space="preserve">Improve patient-device linkage — standardize patient ID handling in device ingestion pipeline; audit mapping logic</w:t>
      </w:r>
    </w:p>
    <w:p>
      <w:pPr>
        <w:pStyle w:val="ListParagraph"/>
        <w:numPr>
          <w:ilvl w:val="0"/>
          <w:numId w:val="2"/>
        </w:numPr>
      </w:pPr>
      <w:r>
        <w:t xml:space="preserve">Address temporal density gaps — assess device adherence; implement patient outreach for low-coverage cases</w:t>
      </w:r>
    </w:p>
    <w:p>
      <w:pPr>
        <w:spacing w:after="8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7. Rural Health Positioning</w:t>
      </w:r>
    </w:p>
    <w:p>
      <w:pPr>
        <w:spacing w:after="100"/>
      </w:pPr>
      <w:r>
        <w:t xml:space="preserve">Device-derived data is particularly valuable in rural settings for three reasons: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Early operational capability. </w:t>
      </w:r>
      <w:r>
        <w:t xml:space="preserve">Device data enables risk stratification and remote monitoring before full EHR integration is complete. This allows the pilot to demonstrate value sooner and at lower infrastructure cost.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Reduced EHR dependency. </w:t>
      </w:r>
      <w:r>
        <w:t xml:space="preserve">In settings where EHR data is fragmented or delayed, device data provides a more reliable real-time signal for clinical risk detection.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Staged improvement path. </w:t>
      </w:r>
      <w:r>
        <w:t xml:space="preserve">Beginning with device-based use cases creates momentum and infrastructure that supports progressive integration of EHR data as data readiness improves.</w:t>
      </w:r>
    </w:p>
    <w:p>
      <w:pPr>
        <w:spacing w:after="8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8. Relationship to Core Framework Documents</w:t>
      </w:r>
    </w:p>
    <w:p>
      <w:pPr>
        <w:spacing w:after="100"/>
      </w:pPr>
      <w:r>
        <w:rPr>
          <w:b/>
          <w:bCs/>
        </w:rPr>
        <w:t xml:space="preserve">Methodology Architecture </w:t>
      </w:r>
      <w:r>
        <w:t xml:space="preserve">— describes how device variables fit into the variable-level evaluation and use-case fitness model, with a worked CGM example.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Technical Specification </w:t>
      </w:r>
      <w:r>
        <w:t xml:space="preserve">— contains the device check registry integrated with the full check framework, scoring model, and variable tagging.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Operational Care Model </w:t>
      </w:r>
      <w:r>
        <w:t xml:space="preserve">— describes how device-generated signals translate into clinical workflows for care teams.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Pilot Architecture Diagram </w:t>
      </w:r>
      <w:r>
        <w:t xml:space="preserve">— shows where device data sources (CGM, scale, BP cuff) connect to the regional aggregation node and readiness infrastructure.</w:t>
      </w:r>
    </w:p>
    <w:sectPr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2026-03-30T14:27:00.198Z</dcterms:created>
  <dcterms:modified xsi:type="dcterms:W3CDTF">2026-03-30T14:27:00.198Z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