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Operational Data Readiness Governance Framework</w:t>
      </w:r>
    </w:p>
    <w:p>
      <w:pPr>
        <w:spacing w:after="160"/>
      </w:pPr>
      <w:r>
        <w:rPr>
          <w:color w:val="555555"/>
          <w:sz w:val="24"/>
          <w:szCs w:val="24"/>
        </w:rPr>
        <w:t xml:space="preserve">Roles and Responsibilities for CKM Data Readiness Infrastructure</w:t>
      </w:r>
    </w:p>
    <w:p>
      <w:pPr>
        <w:spacing w:after="80"/>
      </w:pPr>
      <w:r>
        <w:t xml:space="preserve"/>
      </w:r>
    </w:p>
    <w:p>
      <w:pPr>
        <w:pStyle w:val="Heading2"/>
      </w:pPr>
      <w:r>
        <w:t xml:space="preserve">Purpose</w:t>
      </w:r>
    </w:p>
    <w:p>
      <w:pPr>
        <w:spacing w:after="100"/>
      </w:pPr>
      <w:r>
        <w:t xml:space="preserve">This document defines the governance model used to coordinate assessment and remediation of data readiness issues identified by the CKM Data Readiness Infrastructure.</w:t>
      </w:r>
    </w:p>
    <w:p>
      <w:pPr>
        <w:spacing w:after="80"/>
      </w:pPr>
      <w:r>
        <w:t xml:space="preserve"/>
      </w:r>
    </w:p>
    <w:p>
      <w:pPr>
        <w:spacing w:after="100"/>
      </w:pPr>
      <w:r>
        <w:t xml:space="preserve">Healthcare ecosystems vary widely in how data infrastructure is organized. In some regions the central node may be an HIE, while in others it may be an ACO platform, integrated delivery network, state data utility, or other data environment. The governance framework therefore defines roles at the level of functional categories rather than specific organizations.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9E" w:sz="4"/>
              <w:left w:val="single" w:color="2E5F9E" w:sz="12"/>
              <w:bottom w:val="single" w:color="2E5F9E" w:sz="4"/>
              <w:right w:val="single" w:color="2E5F9E" w:sz="4"/>
            </w:tcBorders>
            <w:shd w:fill="EEF4FB" w:val="clear"/>
            <w:tcMar>
              <w:top w:type="dxa" w:w="120"/>
              <w:left w:type="dxa" w:w="200"/>
              <w:bottom w:type="dxa" w:w="120"/>
              <w:right w:type="dxa" w:w="200"/>
            </w:tcMar>
          </w:tcPr>
          <w:p>
            <w:r>
              <w:rPr>
                <w:b/>
                <w:bCs/>
                <w:color w:val="1F3864"/>
                <w:sz w:val="22"/>
                <w:szCs w:val="22"/>
              </w:rPr>
              <w:t xml:space="preserve">Governance Principle: The readiness framework does not centralize remediation. Instead it enables coordinated improvement across the organizations that control the underlying systems and workflows.</w:t>
            </w:r>
          </w:p>
        </w:tc>
      </w:tr>
    </w:tbl>
    <w:p>
      <w:pPr>
        <w:spacing w:after="80"/>
      </w:pPr>
      <w:r>
        <w:t xml:space="preserve"/>
      </w:r>
    </w:p>
    <w:p>
      <w:pPr>
        <w:pStyle w:val="Heading2"/>
      </w:pPr>
      <w:r>
        <w:t xml:space="preserve">Functional Roles</w:t>
      </w:r>
    </w:p>
    <w:p>
      <w:pPr>
        <w:spacing w:after="100"/>
      </w:pPr>
      <w:r>
        <w:t xml:space="preserve">The governance model organizes participating actors into seven functional roles. These roles are defined by function, not by organization. The same organization may fill more than one role depending on the regional context. The Program Coordinator role in particular is explicitly delegatable — it is assigned to the organization leading a given regional engagement rather than being fixed to any single organization.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W w:type="dxa" w:w="2400"/>
            <w:tcBorders>
              <w:top w:val="single" w:color="2C5282" w:sz="4"/>
              <w:left w:val="single" w:color="2C5282" w:sz="4"/>
              <w:bottom w:val="single" w:color="2C5282" w:sz="4"/>
              <w:right w:val="single" w:color="2C5282" w:sz="4"/>
            </w:tcBorders>
            <w:shd w:fill="1F3864" w:val="clear"/>
            <w:tcMar>
              <w:top w:type="dxa" w:w="80"/>
              <w:left w:type="dxa" w:w="120"/>
              <w:bottom w:type="dxa" w:w="80"/>
              <w:right w:type="dxa" w:w="120"/>
            </w:tcMar>
          </w:tcPr>
          <w:p>
            <w:r>
              <w:rPr>
                <w:b/>
                <w:bCs/>
                <w:color w:val="FFFFFF"/>
                <w:sz w:val="19"/>
                <w:szCs w:val="19"/>
              </w:rPr>
              <w:t xml:space="preserve">Functional Role</w:t>
            </w:r>
          </w:p>
        </w:tc>
        <w:tc>
          <w:tcPr>
            <w:tcW w:type="dxa" w:w="4560"/>
            <w:tcBorders>
              <w:top w:val="single" w:color="2C5282" w:sz="4"/>
              <w:left w:val="single" w:color="2C5282" w:sz="4"/>
              <w:bottom w:val="single" w:color="2C5282" w:sz="4"/>
              <w:right w:val="single" w:color="2C5282" w:sz="4"/>
            </w:tcBorders>
            <w:shd w:fill="1F3864" w:val="clear"/>
            <w:tcMar>
              <w:top w:type="dxa" w:w="80"/>
              <w:left w:type="dxa" w:w="120"/>
              <w:bottom w:type="dxa" w:w="80"/>
              <w:right w:type="dxa" w:w="120"/>
            </w:tcMar>
          </w:tcPr>
          <w:p>
            <w:r>
              <w:rPr>
                <w:b/>
                <w:bCs/>
                <w:color w:val="FFFFFF"/>
                <w:sz w:val="19"/>
                <w:szCs w:val="19"/>
              </w:rPr>
              <w:t xml:space="preserve">Function in the Ecosystem</w:t>
            </w:r>
          </w:p>
        </w:tc>
        <w:tc>
          <w:tcPr>
            <w:tcW w:type="dxa" w:w="2400"/>
            <w:tcBorders>
              <w:top w:val="single" w:color="2C5282" w:sz="4"/>
              <w:left w:val="single" w:color="2C5282" w:sz="4"/>
              <w:bottom w:val="single" w:color="2C5282" w:sz="4"/>
              <w:right w:val="single" w:color="2C5282" w:sz="4"/>
            </w:tcBorders>
            <w:shd w:fill="1F3864" w:val="clear"/>
            <w:tcMar>
              <w:top w:type="dxa" w:w="80"/>
              <w:left w:type="dxa" w:w="120"/>
              <w:bottom w:type="dxa" w:w="80"/>
              <w:right w:type="dxa" w:w="120"/>
            </w:tcMar>
          </w:tcPr>
          <w:p>
            <w:r>
              <w:rPr>
                <w:b/>
                <w:bCs/>
                <w:color w:val="FFFFFF"/>
                <w:sz w:val="19"/>
                <w:szCs w:val="19"/>
              </w:rPr>
              <w:t xml:space="preserve">Examples in Practice</w:t>
            </w:r>
          </w:p>
        </w:tc>
      </w:tr>
      <w:tr>
        <w:tc>
          <w:tcPr>
            <w:tcW w:type="dxa" w:w="2400"/>
            <w:tcBorders>
              <w:top w:val="single" w:color="BBCCDD" w:sz="2"/>
              <w:left w:val="single" w:color="BBCCDD" w:sz="2"/>
              <w:bottom w:val="single" w:color="BBCCDD" w:sz="2"/>
              <w:right w:val="single" w:color="BBCCDD" w:sz="2"/>
            </w:tcBorders>
            <w:shd w:fill="F5F8FC" w:val="clear"/>
            <w:tcMar>
              <w:top w:type="dxa" w:w="90"/>
              <w:left w:type="dxa" w:w="120"/>
              <w:bottom w:type="dxa" w:w="90"/>
              <w:right w:type="dxa" w:w="120"/>
            </w:tcMar>
          </w:tcPr>
          <w:p>
            <w:r>
              <w:rPr>
                <w:b/>
                <w:bCs/>
                <w:color w:val="1F3864"/>
                <w:sz w:val="19"/>
                <w:szCs w:val="19"/>
              </w:rPr>
              <w:t xml:space="preserve">Primary Care Site</w:t>
            </w:r>
          </w:p>
        </w:tc>
        <w:tc>
          <w:tcPr>
            <w:tcW w:type="dxa" w:w="4560"/>
            <w:tcBorders>
              <w:top w:val="single" w:color="BBCCDD" w:sz="2"/>
              <w:left w:val="single" w:color="BBCCDD" w:sz="2"/>
              <w:bottom w:val="single" w:color="BBCCDD" w:sz="2"/>
              <w:right w:val="single" w:color="BBCCDD" w:sz="2"/>
            </w:tcBorders>
            <w:shd w:fill="F5F8FC" w:val="clear"/>
            <w:tcMar>
              <w:top w:type="dxa" w:w="90"/>
              <w:left w:type="dxa" w:w="120"/>
              <w:bottom w:type="dxa" w:w="90"/>
              <w:right w:type="dxa" w:w="120"/>
            </w:tcMar>
          </w:tcPr>
          <w:p>
            <w:r>
              <w:rPr>
                <w:b w:val="false"/>
                <w:bCs w:val="false"/>
                <w:color w:val="333333"/>
                <w:sz w:val="19"/>
                <w:szCs w:val="19"/>
              </w:rPr>
              <w:t xml:space="preserve">Clinical data generation at the point of care. Responsible for EHR data capture, device integration, patient-facing workflows, and clinical remediation actions within the clinic.</w:t>
            </w:r>
          </w:p>
        </w:tc>
        <w:tc>
          <w:tcPr>
            <w:tcW w:type="dxa" w:w="2400"/>
            <w:tcBorders>
              <w:top w:val="single" w:color="BBCCDD" w:sz="2"/>
              <w:left w:val="single" w:color="BBCCDD" w:sz="2"/>
              <w:bottom w:val="single" w:color="BBCCDD" w:sz="2"/>
              <w:right w:val="single" w:color="BBCCDD" w:sz="2"/>
            </w:tcBorders>
            <w:shd w:fill="F5F8FC" w:val="clear"/>
            <w:tcMar>
              <w:top w:type="dxa" w:w="90"/>
              <w:left w:type="dxa" w:w="120"/>
              <w:bottom w:type="dxa" w:w="90"/>
              <w:right w:type="dxa" w:w="120"/>
            </w:tcMar>
          </w:tcPr>
          <w:p>
            <w:r>
              <w:rPr>
                <w:b w:val="false"/>
                <w:bCs w:val="false"/>
                <w:color w:val="333333"/>
                <w:sz w:val="19"/>
                <w:szCs w:val="19"/>
              </w:rPr>
              <w:t xml:space="preserve">Rural primary care clinic, FQHC, independent PCP practice, IDN-owned clinic</w:t>
            </w:r>
          </w:p>
        </w:tc>
      </w:tr>
      <w:tr>
        <w:tc>
          <w:tcPr>
            <w:tcW w:type="dxa" w:w="2400"/>
            <w:tcBorders>
              <w:top w:val="single" w:color="BBCCDD" w:sz="2"/>
              <w:left w:val="single" w:color="BBCCDD" w:sz="2"/>
              <w:bottom w:val="single" w:color="BBCCDD" w:sz="2"/>
              <w:right w:val="single" w:color="BBCCDD" w:sz="2"/>
            </w:tcBorders>
            <w:shd w:fill="FFFFFF" w:val="clear"/>
            <w:tcMar>
              <w:top w:type="dxa" w:w="90"/>
              <w:left w:type="dxa" w:w="120"/>
              <w:bottom w:type="dxa" w:w="90"/>
              <w:right w:type="dxa" w:w="120"/>
            </w:tcMar>
          </w:tcPr>
          <w:p>
            <w:r>
              <w:rPr>
                <w:b/>
                <w:bCs/>
                <w:color w:val="1F3864"/>
                <w:sz w:val="19"/>
                <w:szCs w:val="19"/>
              </w:rPr>
              <w:t xml:space="preserve">Specialty Partner</w:t>
            </w:r>
          </w:p>
        </w:tc>
        <w:tc>
          <w:tcPr>
            <w:tcW w:type="dxa" w:w="4560"/>
            <w:tcBorders>
              <w:top w:val="single" w:color="BBCCDD" w:sz="2"/>
              <w:left w:val="single" w:color="BBCCDD" w:sz="2"/>
              <w:bottom w:val="single" w:color="BBCCDD" w:sz="2"/>
              <w:right w:val="single" w:color="BBCCDD" w:sz="2"/>
            </w:tcBorders>
            <w:shd w:fill="FFFFFF" w:val="clear"/>
            <w:tcMar>
              <w:top w:type="dxa" w:w="90"/>
              <w:left w:type="dxa" w:w="120"/>
              <w:bottom w:type="dxa" w:w="90"/>
              <w:right w:type="dxa" w:w="120"/>
            </w:tcMar>
          </w:tcPr>
          <w:p>
            <w:r>
              <w:rPr>
                <w:b w:val="false"/>
                <w:bCs w:val="false"/>
                <w:color w:val="333333"/>
                <w:sz w:val="19"/>
                <w:szCs w:val="19"/>
              </w:rPr>
              <w:t xml:space="preserve">Specialist clinical input and escalation endpoint. Receives referred patients and shared data from the primary care site. Consulted on clinical plausibility questions. Primarily a clinical actor, not a data infrastructure actor. Specialists do not participate in data remediation unless a data issue requires clinical interpretation — for example, confirming whether a value is clinically plausible or whether an unexpected derived metric discrepancy reflects a real patient state.</w:t>
            </w:r>
          </w:p>
        </w:tc>
        <w:tc>
          <w:tcPr>
            <w:tcW w:type="dxa" w:w="2400"/>
            <w:tcBorders>
              <w:top w:val="single" w:color="BBCCDD" w:sz="2"/>
              <w:left w:val="single" w:color="BBCCDD" w:sz="2"/>
              <w:bottom w:val="single" w:color="BBCCDD" w:sz="2"/>
              <w:right w:val="single" w:color="BBCCDD" w:sz="2"/>
            </w:tcBorders>
            <w:shd w:fill="FFFFFF" w:val="clear"/>
            <w:tcMar>
              <w:top w:type="dxa" w:w="90"/>
              <w:left w:type="dxa" w:w="120"/>
              <w:bottom w:type="dxa" w:w="90"/>
              <w:right w:type="dxa" w:w="120"/>
            </w:tcMar>
          </w:tcPr>
          <w:p>
            <w:r>
              <w:rPr>
                <w:b w:val="false"/>
                <w:bCs w:val="false"/>
                <w:color w:val="333333"/>
                <w:sz w:val="19"/>
                <w:szCs w:val="19"/>
              </w:rPr>
              <w:t xml:space="preserve">Cardiologist, Endocrinologist, Nephrologist, CDCES</w:t>
            </w:r>
          </w:p>
        </w:tc>
      </w:tr>
      <w:tr>
        <w:tc>
          <w:tcPr>
            <w:tcW w:type="dxa" w:w="2400"/>
            <w:tcBorders>
              <w:top w:val="single" w:color="BBCCDD" w:sz="2"/>
              <w:left w:val="single" w:color="BBCCDD" w:sz="2"/>
              <w:bottom w:val="single" w:color="BBCCDD" w:sz="2"/>
              <w:right w:val="single" w:color="BBCCDD" w:sz="2"/>
            </w:tcBorders>
            <w:shd w:fill="F5F8FC" w:val="clear"/>
            <w:tcMar>
              <w:top w:type="dxa" w:w="90"/>
              <w:left w:type="dxa" w:w="120"/>
              <w:bottom w:type="dxa" w:w="90"/>
              <w:right w:type="dxa" w:w="120"/>
            </w:tcMar>
          </w:tcPr>
          <w:p>
            <w:r>
              <w:rPr>
                <w:b/>
                <w:bCs/>
                <w:color w:val="1F3864"/>
                <w:sz w:val="19"/>
                <w:szCs w:val="19"/>
              </w:rPr>
              <w:t xml:space="preserve">Regional Data Node</w:t>
            </w:r>
          </w:p>
        </w:tc>
        <w:tc>
          <w:tcPr>
            <w:tcW w:type="dxa" w:w="4560"/>
            <w:tcBorders>
              <w:top w:val="single" w:color="BBCCDD" w:sz="2"/>
              <w:left w:val="single" w:color="BBCCDD" w:sz="2"/>
              <w:bottom w:val="single" w:color="BBCCDD" w:sz="2"/>
              <w:right w:val="single" w:color="BBCCDD" w:sz="2"/>
            </w:tcBorders>
            <w:shd w:fill="F5F8FC" w:val="clear"/>
            <w:tcMar>
              <w:top w:type="dxa" w:w="90"/>
              <w:left w:type="dxa" w:w="120"/>
              <w:bottom w:type="dxa" w:w="90"/>
              <w:right w:type="dxa" w:w="120"/>
            </w:tcMar>
          </w:tcPr>
          <w:p>
            <w:r>
              <w:rPr>
                <w:b w:val="false"/>
                <w:bCs w:val="false"/>
                <w:color w:val="333333"/>
                <w:sz w:val="19"/>
                <w:szCs w:val="19"/>
              </w:rPr>
              <w:t xml:space="preserve">Data aggregation, transport, identity resolution, and feed routing across the regional ecosystem. The technical hub through which clinical data flows before reaching the readiness infrastructure.</w:t>
            </w:r>
          </w:p>
        </w:tc>
        <w:tc>
          <w:tcPr>
            <w:tcW w:type="dxa" w:w="2400"/>
            <w:tcBorders>
              <w:top w:val="single" w:color="BBCCDD" w:sz="2"/>
              <w:left w:val="single" w:color="BBCCDD" w:sz="2"/>
              <w:bottom w:val="single" w:color="BBCCDD" w:sz="2"/>
              <w:right w:val="single" w:color="BBCCDD" w:sz="2"/>
            </w:tcBorders>
            <w:shd w:fill="F5F8FC" w:val="clear"/>
            <w:tcMar>
              <w:top w:type="dxa" w:w="90"/>
              <w:left w:type="dxa" w:w="120"/>
              <w:bottom w:type="dxa" w:w="90"/>
              <w:right w:type="dxa" w:w="120"/>
            </w:tcMar>
          </w:tcPr>
          <w:p>
            <w:r>
              <w:rPr>
                <w:b w:val="false"/>
                <w:bCs w:val="false"/>
                <w:color w:val="333333"/>
                <w:sz w:val="19"/>
                <w:szCs w:val="19"/>
              </w:rPr>
              <w:t xml:space="preserve">Health Information Exchange (HIE), ACO data platform, IDN data warehouse, state data utility</w:t>
            </w:r>
          </w:p>
        </w:tc>
      </w:tr>
      <w:tr>
        <w:tc>
          <w:tcPr>
            <w:tcW w:type="dxa" w:w="2400"/>
            <w:tcBorders>
              <w:top w:val="single" w:color="BBCCDD" w:sz="2"/>
              <w:left w:val="single" w:color="BBCCDD" w:sz="2"/>
              <w:bottom w:val="single" w:color="BBCCDD" w:sz="2"/>
              <w:right w:val="single" w:color="BBCCDD" w:sz="2"/>
            </w:tcBorders>
            <w:shd w:fill="FFFFFF" w:val="clear"/>
            <w:tcMar>
              <w:top w:type="dxa" w:w="90"/>
              <w:left w:type="dxa" w:w="120"/>
              <w:bottom w:type="dxa" w:w="90"/>
              <w:right w:type="dxa" w:w="120"/>
            </w:tcMar>
          </w:tcPr>
          <w:p>
            <w:r>
              <w:rPr>
                <w:b/>
                <w:bCs/>
                <w:color w:val="1F3864"/>
                <w:sz w:val="19"/>
                <w:szCs w:val="19"/>
              </w:rPr>
              <w:t xml:space="preserve">Technology Vendor</w:t>
            </w:r>
          </w:p>
        </w:tc>
        <w:tc>
          <w:tcPr>
            <w:tcW w:type="dxa" w:w="4560"/>
            <w:tcBorders>
              <w:top w:val="single" w:color="BBCCDD" w:sz="2"/>
              <w:left w:val="single" w:color="BBCCDD" w:sz="2"/>
              <w:bottom w:val="single" w:color="BBCCDD" w:sz="2"/>
              <w:right w:val="single" w:color="BBCCDD" w:sz="2"/>
            </w:tcBorders>
            <w:shd w:fill="FFFFFF" w:val="clear"/>
            <w:tcMar>
              <w:top w:type="dxa" w:w="90"/>
              <w:left w:type="dxa" w:w="120"/>
              <w:bottom w:type="dxa" w:w="90"/>
              <w:right w:type="dxa" w:w="120"/>
            </w:tcMar>
          </w:tcPr>
          <w:p>
            <w:r>
              <w:rPr>
                <w:b w:val="false"/>
                <w:bCs w:val="false"/>
                <w:color w:val="333333"/>
                <w:sz w:val="19"/>
                <w:szCs w:val="19"/>
              </w:rPr>
              <w:t xml:space="preserve">EHR system configuration, device data integration, interface maintenance, and structured data output format. Responsible for fixing systematic issues at the system level.</w:t>
            </w:r>
          </w:p>
        </w:tc>
        <w:tc>
          <w:tcPr>
            <w:tcW w:type="dxa" w:w="2400"/>
            <w:tcBorders>
              <w:top w:val="single" w:color="BBCCDD" w:sz="2"/>
              <w:left w:val="single" w:color="BBCCDD" w:sz="2"/>
              <w:bottom w:val="single" w:color="BBCCDD" w:sz="2"/>
              <w:right w:val="single" w:color="BBCCDD" w:sz="2"/>
            </w:tcBorders>
            <w:shd w:fill="FFFFFF" w:val="clear"/>
            <w:tcMar>
              <w:top w:type="dxa" w:w="90"/>
              <w:left w:type="dxa" w:w="120"/>
              <w:bottom w:type="dxa" w:w="90"/>
              <w:right w:type="dxa" w:w="120"/>
            </w:tcMar>
          </w:tcPr>
          <w:p>
            <w:r>
              <w:rPr>
                <w:b w:val="false"/>
                <w:bCs w:val="false"/>
                <w:color w:val="333333"/>
                <w:sz w:val="19"/>
                <w:szCs w:val="19"/>
              </w:rPr>
              <w:t xml:space="preserve">EHR vendors (Epic, Athena, etc.), CGM manufacturers (Dexcom, Abbott), interface vendors</w:t>
            </w:r>
          </w:p>
        </w:tc>
      </w:tr>
      <w:tr>
        <w:tc>
          <w:tcPr>
            <w:tcW w:type="dxa" w:w="2400"/>
            <w:tcBorders>
              <w:top w:val="single" w:color="BBCCDD" w:sz="2"/>
              <w:left w:val="single" w:color="BBCCDD" w:sz="2"/>
              <w:bottom w:val="single" w:color="BBCCDD" w:sz="2"/>
              <w:right w:val="single" w:color="BBCCDD" w:sz="2"/>
            </w:tcBorders>
            <w:shd w:fill="F5F8FC" w:val="clear"/>
            <w:tcMar>
              <w:top w:type="dxa" w:w="90"/>
              <w:left w:type="dxa" w:w="120"/>
              <w:bottom w:type="dxa" w:w="90"/>
              <w:right w:type="dxa" w:w="120"/>
            </w:tcMar>
          </w:tcPr>
          <w:p>
            <w:r>
              <w:rPr>
                <w:b/>
                <w:bCs/>
                <w:color w:val="1F3864"/>
                <w:sz w:val="19"/>
                <w:szCs w:val="19"/>
              </w:rPr>
              <w:t xml:space="preserve">Program Coordinator</w:t>
            </w:r>
          </w:p>
        </w:tc>
        <w:tc>
          <w:tcPr>
            <w:tcW w:type="dxa" w:w="4560"/>
            <w:tcBorders>
              <w:top w:val="single" w:color="BBCCDD" w:sz="2"/>
              <w:left w:val="single" w:color="BBCCDD" w:sz="2"/>
              <w:bottom w:val="single" w:color="BBCCDD" w:sz="2"/>
              <w:right w:val="single" w:color="BBCCDD" w:sz="2"/>
            </w:tcBorders>
            <w:shd w:fill="F5F8FC" w:val="clear"/>
            <w:tcMar>
              <w:top w:type="dxa" w:w="90"/>
              <w:left w:type="dxa" w:w="120"/>
              <w:bottom w:type="dxa" w:w="90"/>
              <w:right w:type="dxa" w:w="120"/>
            </w:tcMar>
          </w:tcPr>
          <w:p>
            <w:r>
              <w:rPr>
                <w:b w:val="false"/>
                <w:bCs w:val="false"/>
                <w:color w:val="333333"/>
                <w:sz w:val="19"/>
                <w:szCs w:val="19"/>
              </w:rPr>
              <w:t xml:space="preserve">Infrastructure design and deployment, readiness methodology, scoring engine, issue classification, AI-assisted patch generation, and technical assistance to participating sites. This role is delegatable and is assigned to the organization leading a given regional engagement.</w:t>
            </w:r>
          </w:p>
        </w:tc>
        <w:tc>
          <w:tcPr>
            <w:tcW w:type="dxa" w:w="2400"/>
            <w:tcBorders>
              <w:top w:val="single" w:color="BBCCDD" w:sz="2"/>
              <w:left w:val="single" w:color="BBCCDD" w:sz="2"/>
              <w:bottom w:val="single" w:color="BBCCDD" w:sz="2"/>
              <w:right w:val="single" w:color="BBCCDD" w:sz="2"/>
            </w:tcBorders>
            <w:shd w:fill="F5F8FC" w:val="clear"/>
            <w:tcMar>
              <w:top w:type="dxa" w:w="90"/>
              <w:left w:type="dxa" w:w="120"/>
              <w:bottom w:type="dxa" w:w="90"/>
              <w:right w:type="dxa" w:w="120"/>
            </w:tcMar>
          </w:tcPr>
          <w:p>
            <w:r>
              <w:rPr>
                <w:b w:val="false"/>
                <w:bCs w:val="false"/>
                <w:color w:val="333333"/>
                <w:sz w:val="19"/>
                <w:szCs w:val="19"/>
              </w:rPr>
              <w:t xml:space="preserve">Oros (Colorado/Kansas pilots), academic health system partner, state health agency, qualified health IT organization</w:t>
            </w:r>
          </w:p>
        </w:tc>
      </w:tr>
      <w:tr>
        <w:tc>
          <w:tcPr>
            <w:tcW w:type="dxa" w:w="2400"/>
            <w:tcBorders>
              <w:top w:val="single" w:color="BBCCDD" w:sz="2"/>
              <w:left w:val="single" w:color="BBCCDD" w:sz="2"/>
              <w:bottom w:val="single" w:color="BBCCDD" w:sz="2"/>
              <w:right w:val="single" w:color="BBCCDD" w:sz="2"/>
            </w:tcBorders>
            <w:shd w:fill="FFFFFF" w:val="clear"/>
            <w:tcMar>
              <w:top w:type="dxa" w:w="90"/>
              <w:left w:type="dxa" w:w="120"/>
              <w:bottom w:type="dxa" w:w="90"/>
              <w:right w:type="dxa" w:w="120"/>
            </w:tcMar>
          </w:tcPr>
          <w:p>
            <w:r>
              <w:rPr>
                <w:b/>
                <w:bCs/>
                <w:color w:val="1F3864"/>
                <w:sz w:val="19"/>
                <w:szCs w:val="19"/>
              </w:rPr>
              <w:t xml:space="preserve">Network / Payer</w:t>
            </w:r>
          </w:p>
        </w:tc>
        <w:tc>
          <w:tcPr>
            <w:tcW w:type="dxa" w:w="4560"/>
            <w:tcBorders>
              <w:top w:val="single" w:color="BBCCDD" w:sz="2"/>
              <w:left w:val="single" w:color="BBCCDD" w:sz="2"/>
              <w:bottom w:val="single" w:color="BBCCDD" w:sz="2"/>
              <w:right w:val="single" w:color="BBCCDD" w:sz="2"/>
            </w:tcBorders>
            <w:shd w:fill="FFFFFF" w:val="clear"/>
            <w:tcMar>
              <w:top w:type="dxa" w:w="90"/>
              <w:left w:type="dxa" w:w="120"/>
              <w:bottom w:type="dxa" w:w="90"/>
              <w:right w:type="dxa" w:w="120"/>
            </w:tcMar>
          </w:tcPr>
          <w:p>
            <w:r>
              <w:rPr>
                <w:b w:val="false"/>
                <w:bCs w:val="false"/>
                <w:color w:val="333333"/>
                <w:sz w:val="19"/>
                <w:szCs w:val="19"/>
              </w:rPr>
              <w:t xml:space="preserve">Care coordination program management, value-based care reporting oversight, incentive alignment, and program-level accountability for participating sites.</w:t>
            </w:r>
          </w:p>
        </w:tc>
        <w:tc>
          <w:tcPr>
            <w:tcW w:type="dxa" w:w="2400"/>
            <w:tcBorders>
              <w:top w:val="single" w:color="BBCCDD" w:sz="2"/>
              <w:left w:val="single" w:color="BBCCDD" w:sz="2"/>
              <w:bottom w:val="single" w:color="BBCCDD" w:sz="2"/>
              <w:right w:val="single" w:color="BBCCDD" w:sz="2"/>
            </w:tcBorders>
            <w:shd w:fill="FFFFFF" w:val="clear"/>
            <w:tcMar>
              <w:top w:type="dxa" w:w="90"/>
              <w:left w:type="dxa" w:w="120"/>
              <w:bottom w:type="dxa" w:w="90"/>
              <w:right w:type="dxa" w:w="120"/>
            </w:tcMar>
          </w:tcPr>
          <w:p>
            <w:r>
              <w:rPr>
                <w:b w:val="false"/>
                <w:bCs w:val="false"/>
                <w:color w:val="333333"/>
                <w:sz w:val="19"/>
                <w:szCs w:val="19"/>
              </w:rPr>
              <w:t xml:space="preserve">ACO, Clinically Integrated Network (CIN), commercial payer, CMS program administrator</w:t>
            </w:r>
          </w:p>
        </w:tc>
      </w:tr>
      <w:tr>
        <w:tc>
          <w:tcPr>
            <w:tcW w:type="dxa" w:w="2400"/>
            <w:tcBorders>
              <w:top w:val="single" w:color="BBCCDD" w:sz="2"/>
              <w:left w:val="single" w:color="BBCCDD" w:sz="2"/>
              <w:bottom w:val="single" w:color="BBCCDD" w:sz="2"/>
              <w:right w:val="single" w:color="BBCCDD" w:sz="2"/>
            </w:tcBorders>
            <w:shd w:fill="F5F8FC" w:val="clear"/>
            <w:tcMar>
              <w:top w:type="dxa" w:w="90"/>
              <w:left w:type="dxa" w:w="120"/>
              <w:bottom w:type="dxa" w:w="90"/>
              <w:right w:type="dxa" w:w="120"/>
            </w:tcMar>
          </w:tcPr>
          <w:p>
            <w:r>
              <w:rPr>
                <w:b/>
                <w:bCs/>
                <w:color w:val="1F3864"/>
                <w:sz w:val="19"/>
                <w:szCs w:val="19"/>
              </w:rPr>
              <w:t xml:space="preserve">Policy / Regulatory</w:t>
            </w:r>
          </w:p>
        </w:tc>
        <w:tc>
          <w:tcPr>
            <w:tcW w:type="dxa" w:w="4560"/>
            <w:tcBorders>
              <w:top w:val="single" w:color="BBCCDD" w:sz="2"/>
              <w:left w:val="single" w:color="BBCCDD" w:sz="2"/>
              <w:bottom w:val="single" w:color="BBCCDD" w:sz="2"/>
              <w:right w:val="single" w:color="BBCCDD" w:sz="2"/>
            </w:tcBorders>
            <w:shd w:fill="F5F8FC" w:val="clear"/>
            <w:tcMar>
              <w:top w:type="dxa" w:w="90"/>
              <w:left w:type="dxa" w:w="120"/>
              <w:bottom w:type="dxa" w:w="90"/>
              <w:right w:type="dxa" w:w="120"/>
            </w:tcMar>
          </w:tcPr>
          <w:p>
            <w:r>
              <w:rPr>
                <w:b w:val="false"/>
                <w:bCs w:val="false"/>
                <w:color w:val="333333"/>
                <w:sz w:val="19"/>
                <w:szCs w:val="19"/>
              </w:rPr>
              <w:t xml:space="preserve">State and federal standards, reporting requirements, incentive program design, and regulatory alignment. Primarily an Informed or Consulted actor in operational tasks; shapes the framework within which the pilot operates.</w:t>
            </w:r>
          </w:p>
        </w:tc>
        <w:tc>
          <w:tcPr>
            <w:tcW w:type="dxa" w:w="2400"/>
            <w:tcBorders>
              <w:top w:val="single" w:color="BBCCDD" w:sz="2"/>
              <w:left w:val="single" w:color="BBCCDD" w:sz="2"/>
              <w:bottom w:val="single" w:color="BBCCDD" w:sz="2"/>
              <w:right w:val="single" w:color="BBCCDD" w:sz="2"/>
            </w:tcBorders>
            <w:shd w:fill="F5F8FC" w:val="clear"/>
            <w:tcMar>
              <w:top w:type="dxa" w:w="90"/>
              <w:left w:type="dxa" w:w="120"/>
              <w:bottom w:type="dxa" w:w="90"/>
              <w:right w:type="dxa" w:w="120"/>
            </w:tcMar>
          </w:tcPr>
          <w:p>
            <w:r>
              <w:rPr>
                <w:b w:val="false"/>
                <w:bCs w:val="false"/>
                <w:color w:val="333333"/>
                <w:sz w:val="19"/>
                <w:szCs w:val="19"/>
              </w:rPr>
              <w:t xml:space="preserve">State health agencies (CDPHE, KDHE), ONC/ASTP, CMS, NCQA</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7A6F" w:sz="4"/>
              <w:left w:val="single" w:color="2A7A6F" w:sz="12"/>
              <w:bottom w:val="single" w:color="2A7A6F" w:sz="4"/>
              <w:right w:val="single" w:color="2A7A6F" w:sz="4"/>
            </w:tcBorders>
            <w:shd w:fill="EAF4F1" w:val="clear"/>
            <w:tcMar>
              <w:top w:type="dxa" w:w="120"/>
              <w:left w:type="dxa" w:w="200"/>
              <w:bottom w:type="dxa" w:w="120"/>
              <w:right w:type="dxa" w:w="200"/>
            </w:tcMar>
          </w:tcPr>
          <w:p>
            <w:r>
              <w:rPr>
                <w:b/>
                <w:bCs/>
                <w:color w:val="1F3864"/>
                <w:sz w:val="22"/>
                <w:szCs w:val="22"/>
              </w:rPr>
              <w:t xml:space="preserve">Delegatable roles: The Program Coordinator role is filled by the organization leading infrastructure development and methodology implementation for a given regional engagement. In the Colorado rural health pilot, this role is assigned to Oros. In other regional contexts, this role may be assigned to an academic health system, a state health agency, or a qualified health IT organization.</w:t>
            </w:r>
          </w:p>
        </w:tc>
      </w:tr>
    </w:tbl>
    <w:p>
      <w:pPr>
        <w:spacing w:after="80"/>
      </w:pPr>
      <w:r>
        <w:t xml:space="preserve"/>
      </w:r>
    </w:p>
    <w:p>
      <w:pPr>
        <w:pStyle w:val="Heading2"/>
      </w:pPr>
      <w:r>
        <w:t xml:space="preserve">Governance Model</w:t>
      </w:r>
    </w:p>
    <w:p>
      <w:pPr>
        <w:spacing w:after="100"/>
      </w:pPr>
      <w:r>
        <w:t xml:space="preserve">Responsibilities are distributed across functional roles depending on regional data architecture and the specific issue being addressed. The Remediation Roles and Accountability document provides the detailed task-level assignment across all phases.</w:t>
      </w:r>
    </w:p>
    <w:p>
      <w:pPr>
        <w:spacing w:after="80"/>
      </w:pPr>
      <w:r>
        <w:t xml:space="preserve"/>
      </w:r>
    </w:p>
    <w:p>
      <w:pPr>
        <w:spacing w:after="100"/>
      </w:pPr>
      <w:r>
        <w:t xml:space="preserve">The Program Coordinator serves as the orchestration layer across all functional roles — responsible for translating readiness methodology into operational scoring, classifying issues, generating remediation work items, and coordinating resolution across actors who control different parts of the underlying infrastructure. This combination of methodology ownership and cross-actor coordination capability is what makes the role effective, and what should guide how it is assigned in any regional engagement.</w:t>
      </w:r>
    </w:p>
    <w:p>
      <w:pPr>
        <w:spacing w:after="80"/>
      </w:pPr>
      <w:r>
        <w:t xml:space="preserve"/>
      </w:r>
    </w:p>
    <w:p>
      <w:pPr>
        <w:spacing w:after="100"/>
      </w:pPr>
      <w:r>
        <w:t xml:space="preserve">Primary responsibility areas by role:</w:t>
      </w:r>
    </w:p>
    <w:p>
      <w:pPr>
        <w:pStyle w:val="ListParagraph"/>
        <w:numPr>
          <w:ilvl w:val="0"/>
          <w:numId w:val="2"/>
        </w:numPr>
      </w:pPr>
      <w:r>
        <w:t xml:space="preserve">Primary Care Site — data generation, clinical workflow remediation, patient-facing device adherence</w:t>
      </w:r>
    </w:p>
    <w:p>
      <w:pPr>
        <w:pStyle w:val="ListParagraph"/>
        <w:numPr>
          <w:ilvl w:val="0"/>
          <w:numId w:val="2"/>
        </w:numPr>
      </w:pPr>
      <w:r>
        <w:t xml:space="preserve">Specialty Partner — clinical plausibility consultation, care coordination data review</w:t>
      </w:r>
    </w:p>
    <w:p>
      <w:pPr>
        <w:pStyle w:val="ListParagraph"/>
        <w:numPr>
          <w:ilvl w:val="0"/>
          <w:numId w:val="2"/>
        </w:numPr>
      </w:pPr>
      <w:r>
        <w:t xml:space="preserve">Regional Data Node — data transport, identity resolution, feed routing, deduplication</w:t>
      </w:r>
    </w:p>
    <w:p>
      <w:pPr>
        <w:pStyle w:val="ListParagraph"/>
        <w:numPr>
          <w:ilvl w:val="0"/>
          <w:numId w:val="2"/>
        </w:numPr>
      </w:pPr>
      <w:r>
        <w:t xml:space="preserve">Technology Vendor — EHR configuration, interface maintenance, structured data output format</w:t>
      </w:r>
    </w:p>
    <w:p>
      <w:pPr>
        <w:pStyle w:val="ListParagraph"/>
        <w:numPr>
          <w:ilvl w:val="0"/>
          <w:numId w:val="2"/>
        </w:numPr>
      </w:pPr>
      <w:r>
        <w:t xml:space="preserve">Program Coordinator — readiness methodology, scoring, issue classification, AI-assisted patching, technical assistance</w:t>
      </w:r>
    </w:p>
    <w:p>
      <w:pPr>
        <w:pStyle w:val="ListParagraph"/>
        <w:numPr>
          <w:ilvl w:val="0"/>
          <w:numId w:val="2"/>
        </w:numPr>
      </w:pPr>
      <w:r>
        <w:t xml:space="preserve">Network / Payer — care coordination oversight, VBC reporting, incentive alignment</w:t>
      </w:r>
    </w:p>
    <w:p>
      <w:pPr>
        <w:pStyle w:val="ListParagraph"/>
        <w:numPr>
          <w:ilvl w:val="0"/>
          <w:numId w:val="2"/>
        </w:numPr>
      </w:pPr>
      <w:r>
        <w:t xml:space="preserve">Policy / Regulatory — standards setting, reporting requirements, incentive program design</w:t>
      </w:r>
    </w:p>
    <w:p>
      <w:pPr>
        <w:spacing w:after="80"/>
      </w:pPr>
      <w:r>
        <w:t xml:space="preserve"/>
      </w:r>
    </w:p>
    <w:p>
      <w:pPr>
        <w:pStyle w:val="Heading2"/>
      </w:pPr>
      <w:r>
        <w:t xml:space="preserve">Governance Phases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7560"/>
        <w:gridCol w:w="900"/>
      </w:tblGrid>
      <w:tr>
        <w:tc>
          <w:tcPr>
            <w:tcW w:type="dxa" w:w="900"/>
            <w:tcBorders>
              <w:top w:val="none" w:color="FFFFFF" w:sz="0"/>
              <w:left w:val="none" w:color="FFFFFF" w:sz="0"/>
              <w:bottom w:val="none" w:color="FFFFFF" w:sz="0"/>
              <w:right w:val="none" w:color="FFFFFF" w:sz="0"/>
            </w:tcBorders>
          </w:tcPr>
          <w:p>
            <w:pPr>
              <w:spacing w:after="80"/>
            </w:pPr>
            <w:r>
              <w:t xml:space="preserve"/>
            </w:r>
          </w:p>
        </w:tc>
        <w:tc>
          <w:tcPr>
            <w:tcW w:type="dxa" w:w="7560"/>
            <w:tcBorders>
              <w:top w:val="none" w:color="FFFFFF" w:sz="0"/>
              <w:left w:val="none" w:color="FFFFFF" w:sz="0"/>
              <w:bottom w:val="none" w:color="FFFFFF" w:sz="0"/>
              <w:right w:val="none" w:color="FFFFFF" w:sz="0"/>
            </w:tcBorders>
          </w:tcPr>
          <w:tbl>
            <w:tblPr>
              <w:tblW w:type="dxa" w:w="7560"/>
              <w:tblBorders>
                <w:top w:val="single" w:color="auto" w:sz="4"/>
                <w:left w:val="single" w:color="auto" w:sz="4"/>
                <w:bottom w:val="single" w:color="auto" w:sz="4"/>
                <w:right w:val="single" w:color="auto" w:sz="4"/>
                <w:insideH w:val="single" w:color="auto" w:sz="4"/>
                <w:insideV w:val="single" w:color="auto" w:sz="4"/>
              </w:tblBorders>
            </w:tblPr>
            <w:tblGrid>
              <w:gridCol w:w="7560"/>
            </w:tblGrid>
            <w:tr>
              <w:tc>
                <w:tcPr>
                  <w:tcW w:type="dxa" w:w="7560"/>
                  <w:tcBorders>
                    <w:top w:val="single" w:color="4A80B0" w:sz="4"/>
                    <w:left w:val="single" w:color="4A80B0" w:sz="4"/>
                    <w:bottom w:val="none" w:color="4A80B0" w:sz="0"/>
                    <w:right w:val="single" w:color="4A80B0" w:sz="4"/>
                  </w:tcBorders>
                  <w:shd w:fill="4A80B0" w:val="clear"/>
                  <w:tcMar>
                    <w:top w:type="dxa" w:w="80"/>
                    <w:left w:type="dxa" w:w="180"/>
                    <w:bottom w:type="dxa" w:w="60"/>
                    <w:right w:type="dxa" w:w="180"/>
                  </w:tcMar>
                </w:tcPr>
                <w:p>
                  <w:r>
                    <w:rPr>
                      <w:b/>
                      <w:bCs/>
                      <w:color w:val="FFFFFF"/>
                      <w:sz w:val="18"/>
                      <w:szCs w:val="18"/>
                    </w:rPr>
                    <w:t xml:space="preserve">PHASE 1 — DATA INTAKE AND INTEGRATION</w:t>
                  </w:r>
                </w:p>
              </w:tc>
            </w:tr>
            <w:tr>
              <w:tc>
                <w:tcPr>
                  <w:tcW w:type="dxa" w:w="7560"/>
                  <w:tcBorders>
                    <w:top w:val="none" w:color="4A80B0" w:sz="0"/>
                    <w:left w:val="single" w:color="4A80B0" w:sz="4"/>
                    <w:bottom w:val="single" w:color="4A80B0" w:sz="4"/>
                    <w:right w:val="single" w:color="4A80B0" w:sz="4"/>
                  </w:tcBorders>
                  <w:shd w:fill="EBF4FB" w:val="clear"/>
                  <w:tcMar>
                    <w:top w:type="dxa" w:w="80"/>
                    <w:left w:type="dxa" w:w="180"/>
                    <w:bottom w:type="dxa" w:w="120"/>
                    <w:right w:type="dxa" w:w="180"/>
                  </w:tcMar>
                </w:tcPr>
                <w:p>
                  <w:pPr>
                    <w:spacing w:after="0"/>
                  </w:pPr>
                  <w:r>
                    <w:rPr>
                      <w:color w:val="333333"/>
                      <w:sz w:val="20"/>
                      <w:szCs w:val="20"/>
                    </w:rPr>
                    <w:t xml:space="preserve">Responsible actors ensure clinical data sources are successfully integrated and transported to the regional aggregation node. This includes EHR feeds, device data streams (CGM, BP monitors, weight scales), laboratory systems, and other data sources. The Technology Vendor and Regional Data Node bear primary responsibility; the Primary Care Site is accountable for data provision at the source.</w:t>
                  </w:r>
                </w:p>
              </w:tc>
            </w:tr>
          </w:tbl>
          <w:p/>
        </w:tc>
        <w:tc>
          <w:tcPr>
            <w:tcW w:type="dxa" w:w="900"/>
            <w:tcBorders>
              <w:top w:val="none" w:color="FFFFFF" w:sz="0"/>
              <w:left w:val="none" w:color="FFFFFF" w:sz="0"/>
              <w:bottom w:val="none" w:color="FFFFFF" w:sz="0"/>
              <w:right w:val="none" w:color="FFFFFF" w:sz="0"/>
            </w:tcBorders>
          </w:tcPr>
          <w:p>
            <w:pPr>
              <w:spacing w:after="80"/>
            </w:pPr>
            <w:r>
              <w:t xml:space="preserve"/>
            </w:r>
          </w:p>
        </w:tc>
      </w:tr>
    </w:tbl>
    <w:p>
      <w:pPr>
        <w:spacing w:after="60" w:before="60"/>
        <w:jc w:val="center"/>
      </w:pPr>
      <w:r>
        <w:rPr>
          <w:b/>
          <w:bCs/>
          <w:color w:val="7A8FA6"/>
          <w:sz w:val="28"/>
          <w:szCs w:val="28"/>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7560"/>
        <w:gridCol w:w="900"/>
      </w:tblGrid>
      <w:tr>
        <w:tc>
          <w:tcPr>
            <w:tcW w:type="dxa" w:w="900"/>
            <w:tcBorders>
              <w:top w:val="none" w:color="FFFFFF" w:sz="0"/>
              <w:left w:val="none" w:color="FFFFFF" w:sz="0"/>
              <w:bottom w:val="none" w:color="FFFFFF" w:sz="0"/>
              <w:right w:val="none" w:color="FFFFFF" w:sz="0"/>
            </w:tcBorders>
          </w:tcPr>
          <w:p>
            <w:pPr>
              <w:spacing w:after="80"/>
            </w:pPr>
            <w:r>
              <w:t xml:space="preserve"/>
            </w:r>
          </w:p>
        </w:tc>
        <w:tc>
          <w:tcPr>
            <w:tcW w:type="dxa" w:w="7560"/>
            <w:tcBorders>
              <w:top w:val="none" w:color="FFFFFF" w:sz="0"/>
              <w:left w:val="none" w:color="FFFFFF" w:sz="0"/>
              <w:bottom w:val="none" w:color="FFFFFF" w:sz="0"/>
              <w:right w:val="none" w:color="FFFFFF" w:sz="0"/>
            </w:tcBorders>
          </w:tcPr>
          <w:tbl>
            <w:tblPr>
              <w:tblW w:type="dxa" w:w="7560"/>
              <w:tblBorders>
                <w:top w:val="single" w:color="auto" w:sz="4"/>
                <w:left w:val="single" w:color="auto" w:sz="4"/>
                <w:bottom w:val="single" w:color="auto" w:sz="4"/>
                <w:right w:val="single" w:color="auto" w:sz="4"/>
                <w:insideH w:val="single" w:color="auto" w:sz="4"/>
                <w:insideV w:val="single" w:color="auto" w:sz="4"/>
              </w:tblBorders>
            </w:tblPr>
            <w:tblGrid>
              <w:gridCol w:w="7560"/>
            </w:tblGrid>
            <w:tr>
              <w:tc>
                <w:tcPr>
                  <w:tcW w:type="dxa" w:w="7560"/>
                  <w:tcBorders>
                    <w:top w:val="single" w:color="2C5282" w:sz="4"/>
                    <w:left w:val="single" w:color="2C5282" w:sz="4"/>
                    <w:bottom w:val="none" w:color="2C5282" w:sz="0"/>
                    <w:right w:val="single" w:color="2C5282" w:sz="4"/>
                  </w:tcBorders>
                  <w:shd w:fill="2C5282" w:val="clear"/>
                  <w:tcMar>
                    <w:top w:type="dxa" w:w="80"/>
                    <w:left w:type="dxa" w:w="180"/>
                    <w:bottom w:type="dxa" w:w="60"/>
                    <w:right w:type="dxa" w:w="180"/>
                  </w:tcMar>
                </w:tcPr>
                <w:p>
                  <w:r>
                    <w:rPr>
                      <w:b/>
                      <w:bCs/>
                      <w:color w:val="FFFFFF"/>
                      <w:sz w:val="18"/>
                      <w:szCs w:val="18"/>
                    </w:rPr>
                    <w:t xml:space="preserve">PHASE 2 — OPERATIONAL DATA READINESS EVALUATION</w:t>
                  </w:r>
                </w:p>
              </w:tc>
            </w:tr>
            <w:tr>
              <w:tc>
                <w:tcPr>
                  <w:tcW w:type="dxa" w:w="7560"/>
                  <w:tcBorders>
                    <w:top w:val="none" w:color="2C5282" w:sz="0"/>
                    <w:left w:val="single" w:color="2C5282" w:sz="4"/>
                    <w:bottom w:val="single" w:color="2C5282" w:sz="4"/>
                    <w:right w:val="single" w:color="2C5282" w:sz="4"/>
                  </w:tcBorders>
                  <w:shd w:fill="EEF2F8" w:val="clear"/>
                  <w:tcMar>
                    <w:top w:type="dxa" w:w="80"/>
                    <w:left w:type="dxa" w:w="180"/>
                    <w:bottom w:type="dxa" w:w="120"/>
                    <w:right w:type="dxa" w:w="180"/>
                  </w:tcMar>
                </w:tcPr>
                <w:p>
                  <w:pPr>
                    <w:spacing w:after="0"/>
                  </w:pPr>
                  <w:r>
                    <w:rPr>
                      <w:color w:val="333333"/>
                      <w:sz w:val="20"/>
                      <w:szCs w:val="20"/>
                    </w:rPr>
                    <w:t xml:space="preserve">The CKM Data Readiness Infrastructure evaluates whether available data is fit for purpose for defined operational use cases. Readiness is evaluated at the variable level and aggregated to determine whether specific use cases are operationally viable. The Program Coordinator leads evaluation; the Regional Data Node and Technology Vendor are consulted on structural issues.</w:t>
                  </w:r>
                </w:p>
              </w:tc>
            </w:tr>
          </w:tbl>
          <w:p/>
        </w:tc>
        <w:tc>
          <w:tcPr>
            <w:tcW w:type="dxa" w:w="900"/>
            <w:tcBorders>
              <w:top w:val="none" w:color="FFFFFF" w:sz="0"/>
              <w:left w:val="none" w:color="FFFFFF" w:sz="0"/>
              <w:bottom w:val="none" w:color="FFFFFF" w:sz="0"/>
              <w:right w:val="none" w:color="FFFFFF" w:sz="0"/>
            </w:tcBorders>
          </w:tcPr>
          <w:p>
            <w:pPr>
              <w:spacing w:after="80"/>
            </w:pPr>
            <w:r>
              <w:t xml:space="preserve"/>
            </w:r>
          </w:p>
        </w:tc>
      </w:tr>
    </w:tbl>
    <w:p>
      <w:pPr>
        <w:spacing w:after="60" w:before="60"/>
        <w:jc w:val="center"/>
      </w:pPr>
      <w:r>
        <w:rPr>
          <w:b/>
          <w:bCs/>
          <w:color w:val="7A8FA6"/>
          <w:sz w:val="28"/>
          <w:szCs w:val="28"/>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7560"/>
        <w:gridCol w:w="900"/>
      </w:tblGrid>
      <w:tr>
        <w:tc>
          <w:tcPr>
            <w:tcW w:type="dxa" w:w="900"/>
            <w:tcBorders>
              <w:top w:val="none" w:color="FFFFFF" w:sz="0"/>
              <w:left w:val="none" w:color="FFFFFF" w:sz="0"/>
              <w:bottom w:val="none" w:color="FFFFFF" w:sz="0"/>
              <w:right w:val="none" w:color="FFFFFF" w:sz="0"/>
            </w:tcBorders>
          </w:tcPr>
          <w:p>
            <w:pPr>
              <w:spacing w:after="80"/>
            </w:pPr>
            <w:r>
              <w:t xml:space="preserve"/>
            </w:r>
          </w:p>
        </w:tc>
        <w:tc>
          <w:tcPr>
            <w:tcW w:type="dxa" w:w="7560"/>
            <w:tcBorders>
              <w:top w:val="none" w:color="FFFFFF" w:sz="0"/>
              <w:left w:val="none" w:color="FFFFFF" w:sz="0"/>
              <w:bottom w:val="none" w:color="FFFFFF" w:sz="0"/>
              <w:right w:val="none" w:color="FFFFFF" w:sz="0"/>
            </w:tcBorders>
          </w:tcPr>
          <w:tbl>
            <w:tblPr>
              <w:tblW w:type="dxa" w:w="7560"/>
              <w:tblBorders>
                <w:top w:val="single" w:color="auto" w:sz="4"/>
                <w:left w:val="single" w:color="auto" w:sz="4"/>
                <w:bottom w:val="single" w:color="auto" w:sz="4"/>
                <w:right w:val="single" w:color="auto" w:sz="4"/>
                <w:insideH w:val="single" w:color="auto" w:sz="4"/>
                <w:insideV w:val="single" w:color="auto" w:sz="4"/>
              </w:tblBorders>
            </w:tblPr>
            <w:tblGrid>
              <w:gridCol w:w="7560"/>
            </w:tblGrid>
            <w:tr>
              <w:tc>
                <w:tcPr>
                  <w:tcW w:type="dxa" w:w="7560"/>
                  <w:tcBorders>
                    <w:top w:val="single" w:color="2A7A6F" w:sz="4"/>
                    <w:left w:val="single" w:color="2A7A6F" w:sz="4"/>
                    <w:bottom w:val="none" w:color="2A7A6F" w:sz="0"/>
                    <w:right w:val="single" w:color="2A7A6F" w:sz="4"/>
                  </w:tcBorders>
                  <w:shd w:fill="2A7A6F" w:val="clear"/>
                  <w:tcMar>
                    <w:top w:type="dxa" w:w="80"/>
                    <w:left w:type="dxa" w:w="180"/>
                    <w:bottom w:type="dxa" w:w="60"/>
                    <w:right w:type="dxa" w:w="180"/>
                  </w:tcMar>
                </w:tcPr>
                <w:p>
                  <w:r>
                    <w:rPr>
                      <w:b/>
                      <w:bCs/>
                      <w:color w:val="FFFFFF"/>
                      <w:sz w:val="18"/>
                      <w:szCs w:val="18"/>
                    </w:rPr>
                    <w:t xml:space="preserve">PHASE 3 — REMEDIATION COORDINATION</w:t>
                  </w:r>
                </w:p>
              </w:tc>
            </w:tr>
            <w:tr>
              <w:tc>
                <w:tcPr>
                  <w:tcW w:type="dxa" w:w="7560"/>
                  <w:tcBorders>
                    <w:top w:val="none" w:color="2A7A6F" w:sz="0"/>
                    <w:left w:val="single" w:color="2A7A6F" w:sz="4"/>
                    <w:bottom w:val="single" w:color="2A7A6F" w:sz="4"/>
                    <w:right w:val="single" w:color="2A7A6F" w:sz="4"/>
                  </w:tcBorders>
                  <w:shd w:fill="EBF7F4" w:val="clear"/>
                  <w:tcMar>
                    <w:top w:type="dxa" w:w="80"/>
                    <w:left w:type="dxa" w:w="180"/>
                    <w:bottom w:type="dxa" w:w="120"/>
                    <w:right w:type="dxa" w:w="180"/>
                  </w:tcMar>
                </w:tcPr>
                <w:p>
                  <w:pPr>
                    <w:spacing w:after="0"/>
                  </w:pPr>
                  <w:r>
                    <w:rPr>
                      <w:color w:val="333333"/>
                      <w:sz w:val="20"/>
                      <w:szCs w:val="20"/>
                    </w:rPr>
                    <w:t xml:space="preserve">Identified issues are classified and routed to the appropriate actors across the ecosystem. The Program Coordinator classifies issues based on phenotype and routes work items to the responsible functional role. Work items are generated by the Program Coordinator based on classified issues and routed to the responsible actor. Some issues can be addressed by AI-assisted patching with human approval (see Remediation Roles and Accountability document). Others require stakeholder-led action by the Primary Care Site, Technology Vendor, or Regional Data Node.</w:t>
                  </w:r>
                </w:p>
              </w:tc>
            </w:tr>
          </w:tbl>
          <w:p/>
        </w:tc>
        <w:tc>
          <w:tcPr>
            <w:tcW w:type="dxa" w:w="900"/>
            <w:tcBorders>
              <w:top w:val="none" w:color="FFFFFF" w:sz="0"/>
              <w:left w:val="none" w:color="FFFFFF" w:sz="0"/>
              <w:bottom w:val="none" w:color="FFFFFF" w:sz="0"/>
              <w:right w:val="none" w:color="FFFFFF" w:sz="0"/>
            </w:tcBorders>
          </w:tcPr>
          <w:p>
            <w:pPr>
              <w:spacing w:after="80"/>
            </w:pPr>
            <w:r>
              <w:t xml:space="preserve"/>
            </w:r>
          </w:p>
        </w:tc>
      </w:tr>
    </w:tbl>
    <w:p>
      <w:pPr>
        <w:spacing w:after="60" w:before="60"/>
        <w:jc w:val="center"/>
      </w:pPr>
      <w:r>
        <w:rPr>
          <w:b/>
          <w:bCs/>
          <w:color w:val="7A8FA6"/>
          <w:sz w:val="28"/>
          <w:szCs w:val="28"/>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7560"/>
        <w:gridCol w:w="900"/>
      </w:tblGrid>
      <w:tr>
        <w:tc>
          <w:tcPr>
            <w:tcW w:type="dxa" w:w="900"/>
            <w:tcBorders>
              <w:top w:val="none" w:color="FFFFFF" w:sz="0"/>
              <w:left w:val="none" w:color="FFFFFF" w:sz="0"/>
              <w:bottom w:val="none" w:color="FFFFFF" w:sz="0"/>
              <w:right w:val="none" w:color="FFFFFF" w:sz="0"/>
            </w:tcBorders>
          </w:tcPr>
          <w:p>
            <w:pPr>
              <w:spacing w:after="80"/>
            </w:pPr>
            <w:r>
              <w:t xml:space="preserve"/>
            </w:r>
          </w:p>
        </w:tc>
        <w:tc>
          <w:tcPr>
            <w:tcW w:type="dxa" w:w="7560"/>
            <w:tcBorders>
              <w:top w:val="none" w:color="FFFFFF" w:sz="0"/>
              <w:left w:val="none" w:color="FFFFFF" w:sz="0"/>
              <w:bottom w:val="none" w:color="FFFFFF" w:sz="0"/>
              <w:right w:val="none" w:color="FFFFFF" w:sz="0"/>
            </w:tcBorders>
          </w:tcPr>
          <w:tbl>
            <w:tblPr>
              <w:tblW w:type="dxa" w:w="7560"/>
              <w:tblBorders>
                <w:top w:val="single" w:color="auto" w:sz="4"/>
                <w:left w:val="single" w:color="auto" w:sz="4"/>
                <w:bottom w:val="single" w:color="auto" w:sz="4"/>
                <w:right w:val="single" w:color="auto" w:sz="4"/>
                <w:insideH w:val="single" w:color="auto" w:sz="4"/>
                <w:insideV w:val="single" w:color="auto" w:sz="4"/>
              </w:tblBorders>
            </w:tblPr>
            <w:tblGrid>
              <w:gridCol w:w="7560"/>
            </w:tblGrid>
            <w:tr>
              <w:tc>
                <w:tcPr>
                  <w:tcW w:type="dxa" w:w="7560"/>
                  <w:tcBorders>
                    <w:top w:val="single" w:color="6A4CA0" w:sz="4"/>
                    <w:left w:val="single" w:color="6A4CA0" w:sz="4"/>
                    <w:bottom w:val="none" w:color="6A4CA0" w:sz="0"/>
                    <w:right w:val="single" w:color="6A4CA0" w:sz="4"/>
                  </w:tcBorders>
                  <w:shd w:fill="6A4CA0" w:val="clear"/>
                  <w:tcMar>
                    <w:top w:type="dxa" w:w="80"/>
                    <w:left w:type="dxa" w:w="180"/>
                    <w:bottom w:type="dxa" w:w="60"/>
                    <w:right w:type="dxa" w:w="180"/>
                  </w:tcMar>
                </w:tcPr>
                <w:p>
                  <w:r>
                    <w:rPr>
                      <w:b/>
                      <w:bCs/>
                      <w:color w:val="FFFFFF"/>
                      <w:sz w:val="18"/>
                      <w:szCs w:val="18"/>
                    </w:rPr>
                    <w:t xml:space="preserve">PHASE 4 — INSTITUTIONAL REMEDIATION</w:t>
                  </w:r>
                </w:p>
              </w:tc>
            </w:tr>
            <w:tr>
              <w:tc>
                <w:tcPr>
                  <w:tcW w:type="dxa" w:w="7560"/>
                  <w:tcBorders>
                    <w:top w:val="none" w:color="6A4CA0" w:sz="0"/>
                    <w:left w:val="single" w:color="6A4CA0" w:sz="4"/>
                    <w:bottom w:val="single" w:color="6A4CA0" w:sz="4"/>
                    <w:right w:val="single" w:color="6A4CA0" w:sz="4"/>
                  </w:tcBorders>
                  <w:shd w:fill="F3EEF8" w:val="clear"/>
                  <w:tcMar>
                    <w:top w:type="dxa" w:w="80"/>
                    <w:left w:type="dxa" w:w="180"/>
                    <w:bottom w:type="dxa" w:w="120"/>
                    <w:right w:type="dxa" w:w="180"/>
                  </w:tcMar>
                </w:tcPr>
                <w:p>
                  <w:pPr>
                    <w:spacing w:after="0"/>
                  </w:pPr>
                  <w:r>
                    <w:rPr>
                      <w:color w:val="333333"/>
                      <w:sz w:val="20"/>
                      <w:szCs w:val="20"/>
                    </w:rPr>
                    <w:t xml:space="preserve">Responsible actors address configuration issues, workflow gaps, data transport failures, terminology mapping errors, and other remediation tasks within their control. The responsible actor is determined by issue type — see the Remediation Roles and Accountability document for the full phenotype-to-actor mapping.</w:t>
                  </w:r>
                </w:p>
              </w:tc>
            </w:tr>
          </w:tbl>
          <w:p/>
        </w:tc>
        <w:tc>
          <w:tcPr>
            <w:tcW w:type="dxa" w:w="900"/>
            <w:tcBorders>
              <w:top w:val="none" w:color="FFFFFF" w:sz="0"/>
              <w:left w:val="none" w:color="FFFFFF" w:sz="0"/>
              <w:bottom w:val="none" w:color="FFFFFF" w:sz="0"/>
              <w:right w:val="none" w:color="FFFFFF" w:sz="0"/>
            </w:tcBorders>
          </w:tcPr>
          <w:p>
            <w:pPr>
              <w:spacing w:after="80"/>
            </w:pPr>
            <w:r>
              <w:t xml:space="preserve"/>
            </w:r>
          </w:p>
        </w:tc>
      </w:tr>
    </w:tbl>
    <w:p>
      <w:pPr>
        <w:spacing w:after="60" w:before="60"/>
        <w:jc w:val="center"/>
      </w:pPr>
      <w:r>
        <w:rPr>
          <w:b/>
          <w:bCs/>
          <w:color w:val="7A8FA6"/>
          <w:sz w:val="28"/>
          <w:szCs w:val="28"/>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7560"/>
        <w:gridCol w:w="900"/>
      </w:tblGrid>
      <w:tr>
        <w:tc>
          <w:tcPr>
            <w:tcW w:type="dxa" w:w="900"/>
            <w:tcBorders>
              <w:top w:val="none" w:color="FFFFFF" w:sz="0"/>
              <w:left w:val="none" w:color="FFFFFF" w:sz="0"/>
              <w:bottom w:val="none" w:color="FFFFFF" w:sz="0"/>
              <w:right w:val="none" w:color="FFFFFF" w:sz="0"/>
            </w:tcBorders>
          </w:tcPr>
          <w:p>
            <w:pPr>
              <w:spacing w:after="80"/>
            </w:pPr>
            <w:r>
              <w:t xml:space="preserve"/>
            </w:r>
          </w:p>
        </w:tc>
        <w:tc>
          <w:tcPr>
            <w:tcW w:type="dxa" w:w="7560"/>
            <w:tcBorders>
              <w:top w:val="none" w:color="FFFFFF" w:sz="0"/>
              <w:left w:val="none" w:color="FFFFFF" w:sz="0"/>
              <w:bottom w:val="none" w:color="FFFFFF" w:sz="0"/>
              <w:right w:val="none" w:color="FFFFFF" w:sz="0"/>
            </w:tcBorders>
          </w:tcPr>
          <w:tbl>
            <w:tblPr>
              <w:tblW w:type="dxa" w:w="7560"/>
              <w:tblBorders>
                <w:top w:val="single" w:color="auto" w:sz="4"/>
                <w:left w:val="single" w:color="auto" w:sz="4"/>
                <w:bottom w:val="single" w:color="auto" w:sz="4"/>
                <w:right w:val="single" w:color="auto" w:sz="4"/>
                <w:insideH w:val="single" w:color="auto" w:sz="4"/>
                <w:insideV w:val="single" w:color="auto" w:sz="4"/>
              </w:tblBorders>
            </w:tblPr>
            <w:tblGrid>
              <w:gridCol w:w="7560"/>
            </w:tblGrid>
            <w:tr>
              <w:tc>
                <w:tcPr>
                  <w:tcW w:type="dxa" w:w="7560"/>
                  <w:tcBorders>
                    <w:top w:val="single" w:color="C08020" w:sz="4"/>
                    <w:left w:val="single" w:color="C08020" w:sz="4"/>
                    <w:bottom w:val="none" w:color="C08020" w:sz="0"/>
                    <w:right w:val="single" w:color="C08020" w:sz="4"/>
                  </w:tcBorders>
                  <w:shd w:fill="C08020" w:val="clear"/>
                  <w:tcMar>
                    <w:top w:type="dxa" w:w="80"/>
                    <w:left w:type="dxa" w:w="180"/>
                    <w:bottom w:type="dxa" w:w="60"/>
                    <w:right w:type="dxa" w:w="180"/>
                  </w:tcMar>
                </w:tcPr>
                <w:p>
                  <w:r>
                    <w:rPr>
                      <w:b/>
                      <w:bCs/>
                      <w:color w:val="FFFFFF"/>
                      <w:sz w:val="18"/>
                      <w:szCs w:val="18"/>
                    </w:rPr>
                    <w:t xml:space="preserve">PHASE 5 — BENCHMARKING AND INCENTIVES</w:t>
                  </w:r>
                </w:p>
              </w:tc>
            </w:tr>
            <w:tr>
              <w:tc>
                <w:tcPr>
                  <w:tcW w:type="dxa" w:w="7560"/>
                  <w:tcBorders>
                    <w:top w:val="none" w:color="C08020" w:sz="0"/>
                    <w:left w:val="single" w:color="C08020" w:sz="4"/>
                    <w:bottom w:val="single" w:color="C08020" w:sz="4"/>
                    <w:right w:val="single" w:color="C08020" w:sz="4"/>
                  </w:tcBorders>
                  <w:shd w:fill="FDF6E8" w:val="clear"/>
                  <w:tcMar>
                    <w:top w:type="dxa" w:w="80"/>
                    <w:left w:type="dxa" w:w="180"/>
                    <w:bottom w:type="dxa" w:w="120"/>
                    <w:right w:type="dxa" w:w="180"/>
                  </w:tcMar>
                </w:tcPr>
                <w:p>
                  <w:pPr>
                    <w:spacing w:after="0"/>
                  </w:pPr>
                  <w:r>
                    <w:rPr>
                      <w:color w:val="333333"/>
                      <w:sz w:val="20"/>
                      <w:szCs w:val="20"/>
                    </w:rPr>
                    <w:t xml:space="preserve">Over time, readiness scores may support benchmarking across peer institutions and alignment with state or value-based care incentive programs. The Network/Payer manages incentive programs; the Policy/Regulatory layer shapes reporting requirements. The Program Coordinator provides the readiness scoring infrastructure that makes benchmarking possible.</w:t>
                  </w:r>
                </w:p>
              </w:tc>
            </w:tr>
          </w:tbl>
          <w:p/>
        </w:tc>
        <w:tc>
          <w:tcPr>
            <w:tcW w:type="dxa" w:w="900"/>
            <w:tcBorders>
              <w:top w:val="none" w:color="FFFFFF" w:sz="0"/>
              <w:left w:val="none" w:color="FFFFFF" w:sz="0"/>
              <w:bottom w:val="none" w:color="FFFFFF" w:sz="0"/>
              <w:right w:val="none" w:color="FFFFFF" w:sz="0"/>
            </w:tcBorders>
          </w:tcPr>
          <w:p>
            <w:pPr>
              <w:spacing w:after="80"/>
            </w:pPr>
            <w:r>
              <w:t xml:space="preserve"/>
            </w:r>
          </w:p>
        </w:tc>
      </w:tr>
    </w:tbl>
    <w:p>
      <w:pPr>
        <w:spacing w:after="80"/>
      </w:pPr>
      <w:r>
        <w:t xml:space="preserve"/>
      </w:r>
    </w:p>
    <w:p>
      <w:pPr>
        <w:pStyle w:val="Heading2"/>
      </w:pPr>
      <w:r>
        <w:t xml:space="preserve">Transparency Mechanism</w:t>
      </w:r>
    </w:p>
    <w:p>
      <w:pPr>
        <w:spacing w:after="100"/>
      </w:pPr>
      <w:r>
        <w:t xml:space="preserve">State health agencies and Network/Payer organizations may publish readiness assessments across participating institutions to encourage improvement and cross-institution learning. This transparency mechanism creates accountability across the ecosystem and supports alignment with state and value-based care incentive programs.</w:t>
      </w:r>
    </w:p>
    <w:p>
      <w:pPr>
        <w:spacing w:after="80"/>
      </w:pPr>
      <w:r>
        <w:t xml:space="preserve"/>
      </w:r>
    </w:p>
    <w:p>
      <w:pPr>
        <w:spacing w:after="100"/>
      </w:pPr>
      <w:r>
        <w:t xml:space="preserve">Published readiness assessments may inform:</w:t>
      </w:r>
    </w:p>
    <w:p>
      <w:pPr>
        <w:pStyle w:val="ListParagraph"/>
        <w:numPr>
          <w:ilvl w:val="0"/>
          <w:numId w:val="3"/>
        </w:numPr>
      </w:pPr>
      <w:r>
        <w:t xml:space="preserve">Regional benchmarking across peer institutions</w:t>
      </w:r>
    </w:p>
    <w:p>
      <w:pPr>
        <w:pStyle w:val="ListParagraph"/>
        <w:numPr>
          <w:ilvl w:val="0"/>
          <w:numId w:val="3"/>
        </w:numPr>
      </w:pPr>
      <w:r>
        <w:t xml:space="preserve">State program eligibility and incentive alignment</w:t>
      </w:r>
    </w:p>
    <w:p>
      <w:pPr>
        <w:pStyle w:val="ListParagraph"/>
        <w:numPr>
          <w:ilvl w:val="0"/>
          <w:numId w:val="3"/>
        </w:numPr>
      </w:pPr>
      <w:r>
        <w:t xml:space="preserve">Prioritization of technical assistance and remediation support</w:t>
      </w:r>
    </w:p>
    <w:p>
      <w:pPr>
        <w:spacing w:after="80"/>
      </w:pPr>
      <w:r>
        <w:t xml:space="preserve"/>
      </w:r>
    </w:p>
    <w:p>
      <w:pPr>
        <w:pStyle w:val="Heading2"/>
      </w:pPr>
      <w:r>
        <w:t xml:space="preserve">Relationship to Other Documents</w:t>
      </w:r>
    </w:p>
    <w:p>
      <w:pPr>
        <w:spacing w:after="100"/>
      </w:pPr>
      <w:r>
        <w:rPr>
          <w:b/>
          <w:bCs/>
        </w:rPr>
        <w:t xml:space="preserve">Remediation Roles and Accountability </w:t>
      </w:r>
      <w:r>
        <w:t xml:space="preserve">— provides the detailed task-level RACI across all governance phases, including AI-assisted remediation with human approval. Uses the same seven functional roles defined in this document.</w:t>
      </w:r>
    </w:p>
    <w:p>
      <w:pPr>
        <w:spacing w:after="80"/>
      </w:pPr>
      <w:r>
        <w:t xml:space="preserve"/>
      </w:r>
    </w:p>
    <w:p>
      <w:pPr>
        <w:spacing w:after="100"/>
      </w:pPr>
      <w:r>
        <w:rPr>
          <w:b/>
          <w:bCs/>
        </w:rPr>
        <w:t xml:space="preserve">Operational Care Model </w:t>
      </w:r>
      <w:r>
        <w:t xml:space="preserve">— describes how clinical teams translate data signals into patient care. Connects the Primary Care Site and Specialty Partner roles to clinical workflows.</w:t>
      </w:r>
    </w:p>
    <w:p>
      <w:pPr>
        <w:spacing w:after="80"/>
      </w:pPr>
      <w:r>
        <w:t xml:space="preserve"/>
      </w:r>
    </w:p>
    <w:p>
      <w:pPr>
        <w:spacing w:after="100"/>
      </w:pPr>
      <w:r>
        <w:rPr>
          <w:b/>
          <w:bCs/>
        </w:rPr>
        <w:t xml:space="preserve">Methodology Architecture </w:t>
      </w:r>
      <w:r>
        <w:t xml:space="preserve">— describes the variable-level evaluation and use-case fitness model that generates the readiness assessments this governance framework coordinates.</w:t>
      </w:r>
    </w:p>
    <w:sectPr>
      <w:pgSz w:w="12240" w:h="15840" w:orient="portrait"/>
      <w:pgMar w:top="144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ind w:left="600" w:hanging="300"/>
      </w:pPr>
    </w:lvl>
  </w:abstractNum>
  <w:abstractNum w:abstractNumId="3" w15:restartNumberingAfterBreak="0">
    <w:multiLevelType w:val="hybridMultilevel"/>
    <w:lvl w:ilvl="0" w15:tentative="1">
      <w:start w:val="1"/>
      <w:numFmt w:val="bullet"/>
      <w:lvlText w:val="•"/>
      <w:lvlJc w:val="left"/>
      <w:pPr>
        <w:spacing w:after="60"/>
        <w:ind w:left="600" w:hanging="300"/>
      </w:pPr>
    </w:lvl>
  </w:abstractNum>
  <w:abstractNum w:abstractNumId="4" w15:restartNumberingAfterBreak="0">
    <w:multiLevelType w:val="hybridMultilevel"/>
    <w:lvl w:ilvl="0" w15:tentative="1">
      <w:start w:val="1"/>
      <w:numFmt w:val="bullet"/>
      <w:lvlText w:val="•"/>
      <w:lvlJc w:val="left"/>
      <w:pPr>
        <w:spacing w:after="60"/>
        <w:ind w:left="6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3864"/>
      <w:sz w:val="32"/>
      <w:szCs w:val="32"/>
    </w:rPr>
  </w:style>
  <w:style w:type="paragraph" w:styleId="Heading2">
    <w:name w:val="Heading 2"/>
    <w:basedOn w:val="Normal"/>
    <w:next w:val="Normal"/>
    <w:qFormat/>
    <w:pPr>
      <w:spacing w:after="80" w:before="200"/>
      <w:outlineLvl w:val="1"/>
    </w:pPr>
    <w:rPr>
      <w:rFonts w:ascii="Arial" w:cs="Arial" w:eastAsia="Arial" w:hAnsi="Arial"/>
      <w:b/>
      <w:bCs/>
      <w:color w:val="2E5F9E"/>
      <w:sz w:val="26"/>
      <w:szCs w:val="26"/>
    </w:rPr>
  </w:style>
  <w:style w:type="paragraph" w:styleId="Heading3">
    <w:name w:val="Heading 3"/>
    <w:basedOn w:val="Normal"/>
    <w:next w:val="Normal"/>
    <w:qFormat/>
    <w:pPr>
      <w:spacing w:after="60" w:before="140"/>
      <w:outlineLvl w:val="2"/>
    </w:pPr>
    <w:rPr>
      <w:rFonts w:ascii="Arial" w:cs="Arial" w:eastAsia="Arial" w:hAnsi="Arial"/>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2026-04-01T02:46:08.834Z</dcterms:created>
  <dcterms:modified xsi:type="dcterms:W3CDTF">2026-04-01T02:46:08.835Z</dcterms:modified>
</cp:coreProperties>
</file>

<file path=docProps/custom.xml><?xml version="1.0" encoding="utf-8"?>
<Properties xmlns="http://schemas.openxmlformats.org/officeDocument/2006/custom-properties" xmlns:vt="http://schemas.openxmlformats.org/officeDocument/2006/docPropsVTypes"/>
</file>