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Signal and Data Elements Table</w:t>
      </w:r>
    </w:p>
    <w:p>
      <w:pPr>
        <w:spacing w:after="160"/>
      </w:pPr>
      <w:r>
        <w:rPr>
          <w:color w:val="555555"/>
          <w:sz w:val="24"/>
          <w:szCs w:val="24"/>
        </w:rPr>
        <w:t xml:space="preserve">CKM Data Readiness Infrastructure Pilot</w:t>
      </w:r>
    </w:p>
    <w:p>
      <w:pPr>
        <w:spacing w:after="80"/>
      </w:pPr>
      <w:r>
        <w:t xml:space="preserve"/>
      </w:r>
    </w:p>
    <w:p>
      <w:pPr>
        <w:pStyle w:val="Heading2"/>
      </w:pPr>
      <w:r>
        <w:t xml:space="preserve">Purpose</w:t>
      </w:r>
    </w:p>
    <w:p>
      <w:pPr>
        <w:spacing w:after="100"/>
      </w:pPr>
      <w:r>
        <w:t xml:space="preserve">This document defines the clinical signals used in the CKM Data Readiness pilot and maps each signal to the variables and data sources required to generate it. It bridges the readiness methodology and the operational care model — showing concretely what data is needed, whether it is currently available, and what readiness status must be achieved before each signal can support clinical action.</w:t>
      </w:r>
    </w:p>
    <w:p>
      <w:pPr>
        <w:spacing w:after="80"/>
      </w:pPr>
      <w:r>
        <w:t xml:space="preserve"/>
      </w:r>
    </w:p>
    <w:p>
      <w:pPr>
        <w:spacing w:after="100"/>
      </w:pPr>
      <w:r>
        <w:t xml:space="preserve">Signals represent clinically meaningful patterns detected in available data streams. Each signal depends on one or more clinical variables meeting a minimum readiness threshold. The readiness status column indicates the current or expected status based on typical pilot site conditions.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4"/>
              <w:left w:val="single" w:color="2E5F9E" w:sz="12"/>
              <w:bottom w:val="single" w:color="2E5F9E" w:sz="4"/>
              <w:right w:val="single" w:color="2E5F9E" w:sz="4"/>
            </w:tcBorders>
            <w:shd w:fill="EEF4FB" w:val="clear"/>
            <w:tcMar>
              <w:top w:type="dxa" w:w="120"/>
              <w:left w:type="dxa" w:w="200"/>
              <w:bottom w:type="dxa" w:w="120"/>
              <w:right w:type="dxa" w:w="200"/>
            </w:tcMar>
          </w:tcPr>
          <w:p>
            <w:r>
              <w:rPr>
                <w:b/>
                <w:bCs/>
                <w:color w:val="1F3864"/>
                <w:sz w:val="22"/>
                <w:szCs w:val="22"/>
              </w:rPr>
              <w:t xml:space="preserve">Fit-for-purpose is evaluated at the use-case level. A signal is viable only when all required variables meet their readiness thresholds. A single variable gap can block an entire use case.</w:t>
            </w:r>
          </w:p>
        </w:tc>
      </w:tr>
    </w:tbl>
    <w:p>
      <w:pPr>
        <w:spacing w:after="80"/>
      </w:pPr>
      <w:r>
        <w:t xml:space="preserve"/>
      </w:r>
    </w:p>
    <w:p>
      <w:pPr>
        <w:pStyle w:val="Heading2"/>
      </w:pPr>
      <w:r>
        <w:t xml:space="preserve">Signal Definitions and Readiness Status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60"/>
        <w:gridCol w:w="1680"/>
        <w:gridCol w:w="1920"/>
        <w:gridCol w:w="1800"/>
      </w:tblGrid>
      <w:tr>
        <w:trPr>
          <w:tblHeader/>
        </w:trPr>
        <w:tc>
          <w:tcPr>
            <w:tcW w:type="dxa" w:w="1200"/>
            <w:tcBorders>
              <w:top w:val="single" w:color="2C5282" w:sz="4"/>
              <w:left w:val="single" w:color="2C5282" w:sz="4"/>
              <w:bottom w:val="single" w:color="2C5282" w:sz="4"/>
              <w:right w:val="single" w:color="2C5282" w:sz="4"/>
            </w:tcBorders>
            <w:shd w:fill="1F3864" w:val="clear"/>
            <w:tcMar>
              <w:top w:type="dxa" w:w="80"/>
              <w:left w:type="dxa" w:w="120"/>
              <w:bottom w:type="dxa" w:w="80"/>
              <w:right w:type="dxa" w:w="120"/>
            </w:tcMar>
          </w:tcPr>
          <w:p>
            <w:r>
              <w:rPr>
                <w:b/>
                <w:bCs/>
                <w:color w:val="FFFFFF"/>
                <w:sz w:val="19"/>
                <w:szCs w:val="19"/>
              </w:rPr>
              <w:t xml:space="preserve">Variable</w:t>
            </w:r>
          </w:p>
        </w:tc>
        <w:tc>
          <w:tcPr>
            <w:tcW w:type="dxa" w:w="1200"/>
            <w:tcBorders>
              <w:top w:val="single" w:color="2C5282" w:sz="4"/>
              <w:left w:val="single" w:color="2C5282" w:sz="4"/>
              <w:bottom w:val="single" w:color="2C5282" w:sz="4"/>
              <w:right w:val="single" w:color="2C5282" w:sz="4"/>
            </w:tcBorders>
            <w:shd w:fill="1F3864" w:val="clear"/>
            <w:tcMar>
              <w:top w:type="dxa" w:w="80"/>
              <w:left w:type="dxa" w:w="120"/>
              <w:bottom w:type="dxa" w:w="80"/>
              <w:right w:type="dxa" w:w="120"/>
            </w:tcMar>
          </w:tcPr>
          <w:p>
            <w:r>
              <w:rPr>
                <w:b/>
                <w:bCs/>
                <w:color w:val="FFFFFF"/>
                <w:sz w:val="19"/>
                <w:szCs w:val="19"/>
              </w:rPr>
              <w:t xml:space="preserve">Condition</w:t>
            </w:r>
          </w:p>
        </w:tc>
        <w:tc>
          <w:tcPr>
            <w:tcW w:type="dxa" w:w="1560"/>
            <w:tcBorders>
              <w:top w:val="single" w:color="2C5282" w:sz="4"/>
              <w:left w:val="single" w:color="2C5282" w:sz="4"/>
              <w:bottom w:val="single" w:color="2C5282" w:sz="4"/>
              <w:right w:val="single" w:color="2C5282" w:sz="4"/>
            </w:tcBorders>
            <w:shd w:fill="1F3864" w:val="clear"/>
            <w:tcMar>
              <w:top w:type="dxa" w:w="80"/>
              <w:left w:type="dxa" w:w="120"/>
              <w:bottom w:type="dxa" w:w="80"/>
              <w:right w:type="dxa" w:w="120"/>
            </w:tcMar>
          </w:tcPr>
          <w:p>
            <w:r>
              <w:rPr>
                <w:b/>
                <w:bCs/>
                <w:color w:val="FFFFFF"/>
                <w:sz w:val="19"/>
                <w:szCs w:val="19"/>
              </w:rPr>
              <w:t xml:space="preserve">Signal</w:t>
            </w:r>
          </w:p>
        </w:tc>
        <w:tc>
          <w:tcPr>
            <w:tcW w:type="dxa" w:w="1680"/>
            <w:tcBorders>
              <w:top w:val="single" w:color="2C5282" w:sz="4"/>
              <w:left w:val="single" w:color="2C5282" w:sz="4"/>
              <w:bottom w:val="single" w:color="2C5282" w:sz="4"/>
              <w:right w:val="single" w:color="2C5282" w:sz="4"/>
            </w:tcBorders>
            <w:shd w:fill="1F3864" w:val="clear"/>
            <w:tcMar>
              <w:top w:type="dxa" w:w="80"/>
              <w:left w:type="dxa" w:w="120"/>
              <w:bottom w:type="dxa" w:w="80"/>
              <w:right w:type="dxa" w:w="120"/>
            </w:tcMar>
          </w:tcPr>
          <w:p>
            <w:r>
              <w:rPr>
                <w:b/>
                <w:bCs/>
                <w:color w:val="FFFFFF"/>
                <w:sz w:val="19"/>
                <w:szCs w:val="19"/>
              </w:rPr>
              <w:t xml:space="preserve">Required Data Source</w:t>
            </w:r>
          </w:p>
        </w:tc>
        <w:tc>
          <w:tcPr>
            <w:tcW w:type="dxa" w:w="1920"/>
            <w:tcBorders>
              <w:top w:val="single" w:color="2C5282" w:sz="4"/>
              <w:left w:val="single" w:color="2C5282" w:sz="4"/>
              <w:bottom w:val="single" w:color="2C5282" w:sz="4"/>
              <w:right w:val="single" w:color="2C5282" w:sz="4"/>
            </w:tcBorders>
            <w:shd w:fill="1F3864" w:val="clear"/>
            <w:tcMar>
              <w:top w:type="dxa" w:w="80"/>
              <w:left w:type="dxa" w:w="120"/>
              <w:bottom w:type="dxa" w:w="80"/>
              <w:right w:type="dxa" w:w="120"/>
            </w:tcMar>
          </w:tcPr>
          <w:p>
            <w:r>
              <w:rPr>
                <w:b/>
                <w:bCs/>
                <w:color w:val="FFFFFF"/>
                <w:sz w:val="19"/>
                <w:szCs w:val="19"/>
              </w:rPr>
              <w:t xml:space="preserve">Example Clinical Action</w:t>
            </w:r>
          </w:p>
        </w:tc>
        <w:tc>
          <w:tcPr>
            <w:tcW w:type="dxa" w:w="1800"/>
            <w:tcBorders>
              <w:top w:val="single" w:color="2C5282" w:sz="4"/>
              <w:left w:val="single" w:color="2C5282" w:sz="4"/>
              <w:bottom w:val="single" w:color="2C5282" w:sz="4"/>
              <w:right w:val="single" w:color="2C5282" w:sz="4"/>
            </w:tcBorders>
            <w:shd w:fill="1F3864" w:val="clear"/>
            <w:tcMar>
              <w:top w:type="dxa" w:w="80"/>
              <w:left w:type="dxa" w:w="120"/>
              <w:bottom w:type="dxa" w:w="80"/>
              <w:right w:type="dxa" w:w="120"/>
            </w:tcMar>
          </w:tcPr>
          <w:p>
            <w:r>
              <w:rPr>
                <w:b/>
                <w:bCs/>
                <w:color w:val="FFFFFF"/>
                <w:sz w:val="19"/>
                <w:szCs w:val="19"/>
              </w:rPr>
              <w:t xml:space="preserve">Readiness Status</w:t>
            </w:r>
          </w:p>
        </w:tc>
      </w:tr>
      <w:tr>
        <w:tc>
          <w:tcPr>
            <w:tcW w:type="dxa" w:w="12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Weight</w:t>
            </w:r>
          </w:p>
        </w:tc>
        <w:tc>
          <w:tcPr>
            <w:tcW w:type="dxa" w:w="12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Heart Failure</w:t>
            </w:r>
          </w:p>
        </w:tc>
        <w:tc>
          <w:tcPr>
            <w:tcW w:type="dxa" w:w="156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Rapid weight increase (&gt;2 lbs in 24h)</w:t>
            </w:r>
          </w:p>
        </w:tc>
        <w:tc>
          <w:tcPr>
            <w:tcW w:type="dxa" w:w="168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Connected weight scale</w:t>
            </w:r>
          </w:p>
        </w:tc>
        <w:tc>
          <w:tcPr>
            <w:tcW w:type="dxa" w:w="192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Medication adjustment or diuretic titration</w:t>
            </w:r>
          </w:p>
        </w:tc>
        <w:tc>
          <w:tcPr>
            <w:tcW w:type="dxa" w:w="1800"/>
            <w:tcBorders>
              <w:top w:val="single" w:color="BBCCDD" w:sz="2"/>
              <w:left w:val="single" w:color="BBCCDD" w:sz="2"/>
              <w:bottom w:val="single" w:color="BBCCDD" w:sz="2"/>
              <w:right w:val="single" w:color="BBCCDD" w:sz="2"/>
            </w:tcBorders>
            <w:shd w:fill="E8F5E9" w:val="clear"/>
            <w:tcMar>
              <w:top w:type="dxa" w:w="80"/>
              <w:left w:type="dxa" w:w="120"/>
              <w:bottom w:type="dxa" w:w="80"/>
              <w:right w:type="dxa" w:w="120"/>
            </w:tcMar>
          </w:tcPr>
          <w:p>
            <w:r>
              <w:rPr>
                <w:b/>
                <w:bCs/>
                <w:color w:val="1B5E20"/>
                <w:sz w:val="19"/>
                <w:szCs w:val="19"/>
              </w:rPr>
              <w:t xml:space="preserve">READY when: device feed active, patient-device linkage confirmed</w:t>
            </w:r>
          </w:p>
        </w:tc>
      </w:tr>
      <w:tr>
        <w:tc>
          <w:tcPr>
            <w:tcW w:type="dxa" w:w="12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Weight</w:t>
            </w:r>
          </w:p>
        </w:tc>
        <w:tc>
          <w:tcPr>
            <w:tcW w:type="dxa" w:w="12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Heart Failure</w:t>
            </w:r>
          </w:p>
        </w:tc>
        <w:tc>
          <w:tcPr>
            <w:tcW w:type="dxa" w:w="156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Missing weight signal (device gap)</w:t>
            </w:r>
          </w:p>
        </w:tc>
        <w:tc>
          <w:tcPr>
            <w:tcW w:type="dxa" w:w="168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Absence of expected device reading</w:t>
            </w:r>
          </w:p>
        </w:tc>
        <w:tc>
          <w:tcPr>
            <w:tcW w:type="dxa" w:w="192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Patient outreach to verify monitoring adherence</w:t>
            </w:r>
          </w:p>
        </w:tc>
        <w:tc>
          <w:tcPr>
            <w:tcW w:type="dxa" w:w="1800"/>
            <w:tcBorders>
              <w:top w:val="single" w:color="BBCCDD" w:sz="2"/>
              <w:left w:val="single" w:color="BBCCDD" w:sz="2"/>
              <w:bottom w:val="single" w:color="BBCCDD" w:sz="2"/>
              <w:right w:val="single" w:color="BBCCDD" w:sz="2"/>
            </w:tcBorders>
            <w:shd w:fill="FFF8E1" w:val="clear"/>
            <w:tcMar>
              <w:top w:type="dxa" w:w="80"/>
              <w:left w:type="dxa" w:w="120"/>
              <w:bottom w:type="dxa" w:w="80"/>
              <w:right w:type="dxa" w:w="120"/>
            </w:tcMar>
          </w:tcPr>
          <w:p>
            <w:r>
              <w:rPr>
                <w:b/>
                <w:bCs/>
                <w:color w:val="E65100"/>
                <w:sz w:val="19"/>
                <w:szCs w:val="19"/>
              </w:rPr>
              <w:t xml:space="preserve">PARTIALLY READY: gap detection requires temporal density checks</w:t>
            </w:r>
          </w:p>
        </w:tc>
      </w:tr>
      <w:tr>
        <w:tc>
          <w:tcPr>
            <w:tcW w:type="dxa" w:w="12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Blood Pressure</w:t>
            </w:r>
          </w:p>
        </w:tc>
        <w:tc>
          <w:tcPr>
            <w:tcW w:type="dxa" w:w="12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Hypertension</w:t>
            </w:r>
          </w:p>
        </w:tc>
        <w:tc>
          <w:tcPr>
            <w:tcW w:type="dxa" w:w="156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Persistent elevated BP (≥130/80 mmHg on 3+ readings)</w:t>
            </w:r>
          </w:p>
        </w:tc>
        <w:tc>
          <w:tcPr>
            <w:tcW w:type="dxa" w:w="168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Home blood pressure monitor</w:t>
            </w:r>
          </w:p>
        </w:tc>
        <w:tc>
          <w:tcPr>
            <w:tcW w:type="dxa" w:w="192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Medication review or care team outreach</w:t>
            </w:r>
          </w:p>
        </w:tc>
        <w:tc>
          <w:tcPr>
            <w:tcW w:type="dxa" w:w="1800"/>
            <w:tcBorders>
              <w:top w:val="single" w:color="BBCCDD" w:sz="2"/>
              <w:left w:val="single" w:color="BBCCDD" w:sz="2"/>
              <w:bottom w:val="single" w:color="BBCCDD" w:sz="2"/>
              <w:right w:val="single" w:color="BBCCDD" w:sz="2"/>
            </w:tcBorders>
            <w:shd w:fill="FFF8E1" w:val="clear"/>
            <w:tcMar>
              <w:top w:type="dxa" w:w="80"/>
              <w:left w:type="dxa" w:w="120"/>
              <w:bottom w:type="dxa" w:w="80"/>
              <w:right w:type="dxa" w:w="120"/>
            </w:tcMar>
          </w:tcPr>
          <w:p>
            <w:r>
              <w:rPr>
                <w:b/>
                <w:bCs/>
                <w:color w:val="E65100"/>
                <w:sz w:val="19"/>
                <w:szCs w:val="19"/>
              </w:rPr>
              <w:t xml:space="preserve">PARTIALLY READY: temporal coverage gaps in many sites</w:t>
            </w:r>
          </w:p>
        </w:tc>
      </w:tr>
      <w:tr>
        <w:tc>
          <w:tcPr>
            <w:tcW w:type="dxa" w:w="12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Blood Pressure</w:t>
            </w:r>
          </w:p>
        </w:tc>
        <w:tc>
          <w:tcPr>
            <w:tcW w:type="dxa" w:w="12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Hypertension</w:t>
            </w:r>
          </w:p>
        </w:tc>
        <w:tc>
          <w:tcPr>
            <w:tcW w:type="dxa" w:w="156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Missing BP signal (device gap)</w:t>
            </w:r>
          </w:p>
        </w:tc>
        <w:tc>
          <w:tcPr>
            <w:tcW w:type="dxa" w:w="168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Absence of expected device reading</w:t>
            </w:r>
          </w:p>
        </w:tc>
        <w:tc>
          <w:tcPr>
            <w:tcW w:type="dxa" w:w="192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Patient outreach or device troubleshooting</w:t>
            </w:r>
          </w:p>
        </w:tc>
        <w:tc>
          <w:tcPr>
            <w:tcW w:type="dxa" w:w="1800"/>
            <w:tcBorders>
              <w:top w:val="single" w:color="BBCCDD" w:sz="2"/>
              <w:left w:val="single" w:color="BBCCDD" w:sz="2"/>
              <w:bottom w:val="single" w:color="BBCCDD" w:sz="2"/>
              <w:right w:val="single" w:color="BBCCDD" w:sz="2"/>
            </w:tcBorders>
            <w:shd w:fill="FFF8E1" w:val="clear"/>
            <w:tcMar>
              <w:top w:type="dxa" w:w="80"/>
              <w:left w:type="dxa" w:w="120"/>
              <w:bottom w:type="dxa" w:w="80"/>
              <w:right w:type="dxa" w:w="120"/>
            </w:tcMar>
          </w:tcPr>
          <w:p>
            <w:r>
              <w:rPr>
                <w:b/>
                <w:bCs/>
                <w:color w:val="E65100"/>
                <w:sz w:val="19"/>
                <w:szCs w:val="19"/>
              </w:rPr>
              <w:t xml:space="preserve">PARTIALLY READY: identity linkage issues reduce usable population</w:t>
            </w:r>
          </w:p>
        </w:tc>
      </w:tr>
      <w:tr>
        <w:tc>
          <w:tcPr>
            <w:tcW w:type="dxa" w:w="12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CGM Glucose</w:t>
            </w:r>
          </w:p>
        </w:tc>
        <w:tc>
          <w:tcPr>
            <w:tcW w:type="dxa" w:w="12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Diabetes</w:t>
            </w:r>
          </w:p>
        </w:tc>
        <w:tc>
          <w:tcPr>
            <w:tcW w:type="dxa" w:w="156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CGM deterioration trend (rising glucose / declining TIR)</w:t>
            </w:r>
          </w:p>
        </w:tc>
        <w:tc>
          <w:tcPr>
            <w:tcW w:type="dxa" w:w="168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Continuous glucose monitor</w:t>
            </w:r>
          </w:p>
        </w:tc>
        <w:tc>
          <w:tcPr>
            <w:tcW w:type="dxa" w:w="192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Therapy adjustment or endocrinology consultation</w:t>
            </w:r>
          </w:p>
        </w:tc>
        <w:tc>
          <w:tcPr>
            <w:tcW w:type="dxa" w:w="1800"/>
            <w:tcBorders>
              <w:top w:val="single" w:color="BBCCDD" w:sz="2"/>
              <w:left w:val="single" w:color="BBCCDD" w:sz="2"/>
              <w:bottom w:val="single" w:color="BBCCDD" w:sz="2"/>
              <w:right w:val="single" w:color="BBCCDD" w:sz="2"/>
            </w:tcBorders>
            <w:shd w:fill="FFF8E1" w:val="clear"/>
            <w:tcMar>
              <w:top w:type="dxa" w:w="80"/>
              <w:left w:type="dxa" w:w="120"/>
              <w:bottom w:type="dxa" w:w="80"/>
              <w:right w:type="dxa" w:w="120"/>
            </w:tcMar>
          </w:tcPr>
          <w:p>
            <w:r>
              <w:rPr>
                <w:b/>
                <w:bCs/>
                <w:color w:val="B71C1C"/>
                <w:sz w:val="19"/>
                <w:szCs w:val="19"/>
              </w:rPr>
              <w:t xml:space="preserve">NOT READY → PARTIALLY READY: temporal density below threshold at most sites</w:t>
            </w:r>
          </w:p>
        </w:tc>
      </w:tr>
      <w:tr>
        <w:tc>
          <w:tcPr>
            <w:tcW w:type="dxa" w:w="12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CGM Glucose</w:t>
            </w:r>
          </w:p>
        </w:tc>
        <w:tc>
          <w:tcPr>
            <w:tcW w:type="dxa" w:w="12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Diabetes</w:t>
            </w:r>
          </w:p>
        </w:tc>
        <w:tc>
          <w:tcPr>
            <w:tcW w:type="dxa" w:w="156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Missing CGM data (device gap)</w:t>
            </w:r>
          </w:p>
        </w:tc>
        <w:tc>
          <w:tcPr>
            <w:tcW w:type="dxa" w:w="168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Absence of expected device feed</w:t>
            </w:r>
          </w:p>
        </w:tc>
        <w:tc>
          <w:tcPr>
            <w:tcW w:type="dxa" w:w="192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Patient outreach or device troubleshooting</w:t>
            </w:r>
          </w:p>
        </w:tc>
        <w:tc>
          <w:tcPr>
            <w:tcW w:type="dxa" w:w="1800"/>
            <w:tcBorders>
              <w:top w:val="single" w:color="BBCCDD" w:sz="2"/>
              <w:left w:val="single" w:color="BBCCDD" w:sz="2"/>
              <w:bottom w:val="single" w:color="BBCCDD" w:sz="2"/>
              <w:right w:val="single" w:color="BBCCDD" w:sz="2"/>
            </w:tcBorders>
            <w:shd w:fill="FEEBEE" w:val="clear"/>
            <w:tcMar>
              <w:top w:type="dxa" w:w="80"/>
              <w:left w:type="dxa" w:w="120"/>
              <w:bottom w:type="dxa" w:w="80"/>
              <w:right w:type="dxa" w:w="120"/>
            </w:tcMar>
          </w:tcPr>
          <w:p>
            <w:r>
              <w:rPr>
                <w:b/>
                <w:bCs/>
                <w:color w:val="B71C1C"/>
                <w:sz w:val="19"/>
                <w:szCs w:val="19"/>
              </w:rPr>
              <w:t xml:space="preserve">NOT READY: patient-device linkage failures common in early pilot</w:t>
            </w:r>
          </w:p>
        </w:tc>
      </w:tr>
      <w:tr>
        <w:tc>
          <w:tcPr>
            <w:tcW w:type="dxa" w:w="12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BP + Demographics + Medications</w:t>
            </w:r>
          </w:p>
        </w:tc>
        <w:tc>
          <w:tcPr>
            <w:tcW w:type="dxa" w:w="12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Hypertension Risk Stratification</w:t>
            </w:r>
          </w:p>
        </w:tc>
        <w:tc>
          <w:tcPr>
            <w:tcW w:type="dxa" w:w="156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Patient meets criteria for undiagnosed hypertension</w:t>
            </w:r>
          </w:p>
        </w:tc>
        <w:tc>
          <w:tcPr>
            <w:tcW w:type="dxa" w:w="168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EHR + BP monitor</w:t>
            </w:r>
          </w:p>
        </w:tc>
        <w:tc>
          <w:tcPr>
            <w:tcW w:type="dxa" w:w="192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Flag for clinical review and outreach</w:t>
            </w:r>
          </w:p>
        </w:tc>
        <w:tc>
          <w:tcPr>
            <w:tcW w:type="dxa" w:w="1800"/>
            <w:tcBorders>
              <w:top w:val="single" w:color="BBCCDD" w:sz="2"/>
              <w:left w:val="single" w:color="BBCCDD" w:sz="2"/>
              <w:bottom w:val="single" w:color="BBCCDD" w:sz="2"/>
              <w:right w:val="single" w:color="BBCCDD" w:sz="2"/>
            </w:tcBorders>
            <w:shd w:fill="FFF8E1" w:val="clear"/>
            <w:tcMar>
              <w:top w:type="dxa" w:w="80"/>
              <w:left w:type="dxa" w:w="120"/>
              <w:bottom w:type="dxa" w:w="80"/>
              <w:right w:type="dxa" w:w="120"/>
            </w:tcMar>
          </w:tcPr>
          <w:p>
            <w:r>
              <w:rPr>
                <w:b/>
                <w:bCs/>
                <w:color w:val="B71C1C"/>
                <w:sz w:val="19"/>
                <w:szCs w:val="19"/>
              </w:rPr>
              <w:t xml:space="preserve">NOT READY → PARTIALLY READY: smoking status missing for many patients</w:t>
            </w:r>
          </w:p>
        </w:tc>
      </w:tr>
      <w:tr>
        <w:tc>
          <w:tcPr>
            <w:tcW w:type="dxa" w:w="12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CGM + Demographics + Medications</w:t>
            </w:r>
          </w:p>
        </w:tc>
        <w:tc>
          <w:tcPr>
            <w:tcW w:type="dxa" w:w="12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Diabetes Risk Stratification</w:t>
            </w:r>
          </w:p>
        </w:tc>
        <w:tc>
          <w:tcPr>
            <w:tcW w:type="dxa" w:w="156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Patient shows deteriorating glycemic control longitudinally</w:t>
            </w:r>
          </w:p>
        </w:tc>
        <w:tc>
          <w:tcPr>
            <w:tcW w:type="dxa" w:w="168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CGM + EHR</w:t>
            </w:r>
          </w:p>
        </w:tc>
        <w:tc>
          <w:tcPr>
            <w:tcW w:type="dxa" w:w="192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b w:val="false"/>
                <w:bCs w:val="false"/>
                <w:color w:val="1A2E4A"/>
                <w:sz w:val="19"/>
                <w:szCs w:val="19"/>
              </w:rPr>
              <w:t xml:space="preserve">Flag for care coordination and endocrinology escalation</w:t>
            </w:r>
          </w:p>
        </w:tc>
        <w:tc>
          <w:tcPr>
            <w:tcW w:type="dxa" w:w="1800"/>
            <w:tcBorders>
              <w:top w:val="single" w:color="BBCCDD" w:sz="2"/>
              <w:left w:val="single" w:color="BBCCDD" w:sz="2"/>
              <w:bottom w:val="single" w:color="BBCCDD" w:sz="2"/>
              <w:right w:val="single" w:color="BBCCDD" w:sz="2"/>
            </w:tcBorders>
            <w:shd w:fill="FEEBEE" w:val="clear"/>
            <w:tcMar>
              <w:top w:type="dxa" w:w="80"/>
              <w:left w:type="dxa" w:w="120"/>
              <w:bottom w:type="dxa" w:w="80"/>
              <w:right w:type="dxa" w:w="120"/>
            </w:tcMar>
          </w:tcPr>
          <w:p>
            <w:r>
              <w:rPr>
                <w:b/>
                <w:bCs/>
                <w:color w:val="B71C1C"/>
                <w:sz w:val="19"/>
                <w:szCs w:val="19"/>
              </w:rPr>
              <w:t xml:space="preserve">NOT READY: CGM temporal density insufficient at baseline</w:t>
            </w:r>
          </w:p>
        </w:tc>
      </w:tr>
    </w:tbl>
    <w:p>
      <w:pPr>
        <w:spacing w:after="80"/>
      </w:pPr>
      <w:r>
        <w:t xml:space="preserve"/>
      </w:r>
    </w:p>
    <w:p>
      <w:pPr>
        <w:pStyle w:val="Heading2"/>
      </w:pPr>
      <w:r>
        <w:t xml:space="preserve">Variable Readiness and Remediation</w:t>
      </w:r>
    </w:p>
    <w:p>
      <w:pPr>
        <w:spacing w:after="100"/>
      </w:pPr>
      <w:r>
        <w:t xml:space="preserve">When a signal is blocked, the methodology identifies which variable is the cause, what is wrong with it, and what remediation would unlock the capability. The table below summarizes the primary blockers and remediation paths for each variable in the pilot.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960"/>
        <w:gridCol w:w="3000"/>
      </w:tblGrid>
      <w:tr>
        <w:trPr>
          <w:tblHeader/>
        </w:trPr>
        <w:tc>
          <w:tcPr>
            <w:tcW w:type="dxa" w:w="1400"/>
            <w:tcBorders>
              <w:top w:val="single" w:color="2C5282" w:sz="4"/>
              <w:left w:val="single" w:color="2C5282" w:sz="4"/>
              <w:bottom w:val="single" w:color="2C5282" w:sz="4"/>
              <w:right w:val="single" w:color="2C5282" w:sz="4"/>
            </w:tcBorders>
            <w:shd w:fill="2A7A6F" w:val="clear"/>
            <w:tcMar>
              <w:top w:type="dxa" w:w="80"/>
              <w:left w:type="dxa" w:w="120"/>
              <w:bottom w:type="dxa" w:w="80"/>
              <w:right w:type="dxa" w:w="120"/>
            </w:tcMar>
          </w:tcPr>
          <w:p>
            <w:r>
              <w:rPr>
                <w:b/>
                <w:bCs/>
                <w:color w:val="FFFFFF"/>
                <w:sz w:val="19"/>
                <w:szCs w:val="19"/>
              </w:rPr>
              <w:t xml:space="preserve">Variable</w:t>
            </w:r>
          </w:p>
        </w:tc>
        <w:tc>
          <w:tcPr>
            <w:tcW w:type="dxa" w:w="2000"/>
            <w:tcBorders>
              <w:top w:val="single" w:color="2C5282" w:sz="4"/>
              <w:left w:val="single" w:color="2C5282" w:sz="4"/>
              <w:bottom w:val="single" w:color="2C5282" w:sz="4"/>
              <w:right w:val="single" w:color="2C5282" w:sz="4"/>
            </w:tcBorders>
            <w:shd w:fill="2A7A6F" w:val="clear"/>
            <w:tcMar>
              <w:top w:type="dxa" w:w="80"/>
              <w:left w:type="dxa" w:w="120"/>
              <w:bottom w:type="dxa" w:w="80"/>
              <w:right w:type="dxa" w:w="120"/>
            </w:tcMar>
          </w:tcPr>
          <w:p>
            <w:r>
              <w:rPr>
                <w:b/>
                <w:bCs/>
                <w:color w:val="FFFFFF"/>
                <w:sz w:val="19"/>
                <w:szCs w:val="19"/>
              </w:rPr>
              <w:t xml:space="preserve">Blocker</w:t>
            </w:r>
          </w:p>
        </w:tc>
        <w:tc>
          <w:tcPr>
            <w:tcW w:type="dxa" w:w="2960"/>
            <w:tcBorders>
              <w:top w:val="single" w:color="2C5282" w:sz="4"/>
              <w:left w:val="single" w:color="2C5282" w:sz="4"/>
              <w:bottom w:val="single" w:color="2C5282" w:sz="4"/>
              <w:right w:val="single" w:color="2C5282" w:sz="4"/>
            </w:tcBorders>
            <w:shd w:fill="2A7A6F" w:val="clear"/>
            <w:tcMar>
              <w:top w:type="dxa" w:w="80"/>
              <w:left w:type="dxa" w:w="120"/>
              <w:bottom w:type="dxa" w:w="80"/>
              <w:right w:type="dxa" w:w="120"/>
            </w:tcMar>
          </w:tcPr>
          <w:p>
            <w:r>
              <w:rPr>
                <w:b/>
                <w:bCs/>
                <w:color w:val="FFFFFF"/>
                <w:sz w:val="19"/>
                <w:szCs w:val="19"/>
              </w:rPr>
              <w:t xml:space="preserve">Remediation</w:t>
            </w:r>
          </w:p>
        </w:tc>
        <w:tc>
          <w:tcPr>
            <w:tcW w:type="dxa" w:w="3000"/>
            <w:tcBorders>
              <w:top w:val="single" w:color="2C5282" w:sz="4"/>
              <w:left w:val="single" w:color="2C5282" w:sz="4"/>
              <w:bottom w:val="single" w:color="2C5282" w:sz="4"/>
              <w:right w:val="single" w:color="2C5282" w:sz="4"/>
            </w:tcBorders>
            <w:shd w:fill="2A7A6F" w:val="clear"/>
            <w:tcMar>
              <w:top w:type="dxa" w:w="80"/>
              <w:left w:type="dxa" w:w="120"/>
              <w:bottom w:type="dxa" w:w="80"/>
              <w:right w:type="dxa" w:w="120"/>
            </w:tcMar>
          </w:tcPr>
          <w:p>
            <w:r>
              <w:rPr>
                <w:b/>
                <w:bCs/>
                <w:color w:val="FFFFFF"/>
                <w:sz w:val="19"/>
                <w:szCs w:val="19"/>
              </w:rPr>
              <w:t xml:space="preserve">Capability Unlocked</w:t>
            </w:r>
          </w:p>
        </w:tc>
      </w:tr>
      <w:tr>
        <w:tc>
          <w:tcPr>
            <w:tcW w:type="dxa" w:w="14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Weight</w:t>
            </w:r>
          </w:p>
        </w:tc>
        <w:tc>
          <w:tcPr>
            <w:tcW w:type="dxa" w:w="20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Patient-device linkage failures</w:t>
            </w:r>
          </w:p>
        </w:tc>
        <w:tc>
          <w:tcPr>
            <w:tcW w:type="dxa" w:w="296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Standardize patient ID handling in weight scale ingestion pipeline</w:t>
            </w:r>
          </w:p>
        </w:tc>
        <w:tc>
          <w:tcPr>
            <w:tcW w:type="dxa" w:w="30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Heart failure weight monitoring and gap detection signals</w:t>
            </w:r>
          </w:p>
        </w:tc>
      </w:tr>
      <w:tr>
        <w:tc>
          <w:tcPr>
            <w:tcW w:type="dxa" w:w="14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Blood Pressure</w:t>
            </w:r>
          </w:p>
        </w:tc>
        <w:tc>
          <w:tcPr>
            <w:tcW w:type="dxa" w:w="20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Temporal coverage gaps</w:t>
            </w:r>
          </w:p>
        </w:tc>
        <w:tc>
          <w:tcPr>
            <w:tcW w:type="dxa" w:w="296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Incorporate additional BP device feeds; supplement with EHR encounter BP values</w:t>
            </w:r>
          </w:p>
        </w:tc>
        <w:tc>
          <w:tcPr>
            <w:tcW w:type="dxa" w:w="30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Hypertension risk stratification and persistent elevated BP detection</w:t>
            </w:r>
          </w:p>
        </w:tc>
      </w:tr>
      <w:tr>
        <w:tc>
          <w:tcPr>
            <w:tcW w:type="dxa" w:w="14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Blood Pressure</w:t>
            </w:r>
          </w:p>
        </w:tc>
        <w:tc>
          <w:tcPr>
            <w:tcW w:type="dxa" w:w="20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Identity linkage issues</w:t>
            </w:r>
          </w:p>
        </w:tc>
        <w:tc>
          <w:tcPr>
            <w:tcW w:type="dxa" w:w="296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Audit patient ID linkage rules across EHR and device sources</w:t>
            </w:r>
          </w:p>
        </w:tc>
        <w:tc>
          <w:tcPr>
            <w:tcW w:type="dxa" w:w="30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Full BP variable profile enabling hypertension use case</w:t>
            </w:r>
          </w:p>
        </w:tc>
      </w:tr>
      <w:tr>
        <w:tc>
          <w:tcPr>
            <w:tcW w:type="dxa" w:w="14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CGM Glucose</w:t>
            </w:r>
          </w:p>
        </w:tc>
        <w:tc>
          <w:tcPr>
            <w:tcW w:type="dxa" w:w="20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Temporal density below threshold (&lt;70% over 14d)</w:t>
            </w:r>
          </w:p>
        </w:tc>
        <w:tc>
          <w:tcPr>
            <w:tcW w:type="dxa" w:w="296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Assess device adherence; flag low-coverage patients for outreach</w:t>
            </w:r>
          </w:p>
        </w:tc>
        <w:tc>
          <w:tcPr>
            <w:tcW w:type="dxa" w:w="30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CGM-based diabetes risk stratification (TIR computation becomes valid)</w:t>
            </w:r>
          </w:p>
        </w:tc>
      </w:tr>
      <w:tr>
        <w:tc>
          <w:tcPr>
            <w:tcW w:type="dxa" w:w="14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CGM Glucose</w:t>
            </w:r>
          </w:p>
        </w:tc>
        <w:tc>
          <w:tcPr>
            <w:tcW w:type="dxa" w:w="20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Cross-manufacturer inconsistency in derived metrics</w:t>
            </w:r>
          </w:p>
        </w:tc>
        <w:tc>
          <w:tcPr>
            <w:tcW w:type="dxa" w:w="296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Recompute TIR, GMI from raw glucose time series</w:t>
            </w:r>
          </w:p>
        </w:tc>
        <w:tc>
          <w:tcPr>
            <w:tcW w:type="dxa" w:w="30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Reliable derived metrics for diabetes monitoring across device types</w:t>
            </w:r>
          </w:p>
        </w:tc>
      </w:tr>
      <w:tr>
        <w:tc>
          <w:tcPr>
            <w:tcW w:type="dxa" w:w="14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Smoking status</w:t>
            </w:r>
          </w:p>
        </w:tc>
        <w:tc>
          <w:tcPr>
            <w:tcW w:type="dxa" w:w="20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Missing for portion of patients</w:t>
            </w:r>
          </w:p>
        </w:tc>
        <w:tc>
          <w:tcPr>
            <w:tcW w:type="dxa" w:w="296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Supplement from available EHR sources or patient-reported data</w:t>
            </w:r>
          </w:p>
        </w:tc>
        <w:tc>
          <w:tcPr>
            <w:tcW w:type="dxa" w:w="3000"/>
            <w:tcBorders>
              <w:top w:val="single" w:color="BBCCDD" w:sz="2"/>
              <w:left w:val="single" w:color="BBCCDD" w:sz="2"/>
              <w:bottom w:val="single" w:color="BBCCDD" w:sz="2"/>
              <w:right w:val="single" w:color="BBCCDD" w:sz="2"/>
            </w:tcBorders>
            <w:shd w:fill="F5F8FC" w:val="clear"/>
            <w:tcMar>
              <w:top w:type="dxa" w:w="80"/>
              <w:left w:type="dxa" w:w="120"/>
              <w:bottom w:type="dxa" w:w="80"/>
              <w:right w:type="dxa" w:w="120"/>
            </w:tcMar>
          </w:tcPr>
          <w:p>
            <w:r>
              <w:rPr>
                <w:color w:val="1A2E4A"/>
                <w:sz w:val="19"/>
                <w:szCs w:val="19"/>
              </w:rPr>
              <w:t xml:space="preserve">Hypertension risk stratification use case moves from PARTIAL to READY</w:t>
            </w:r>
          </w:p>
        </w:tc>
      </w:tr>
    </w:tbl>
    <w:p>
      <w:pPr>
        <w:spacing w:after="80"/>
      </w:pPr>
      <w:r>
        <w:t xml:space="preserve"/>
      </w:r>
    </w:p>
    <w:p>
      <w:pPr>
        <w:pStyle w:val="Heading2"/>
      </w:pPr>
      <w:r>
        <w:t xml:space="preserve">Device-Mediated Signals — Early Operational Path</w:t>
      </w:r>
    </w:p>
    <w:p>
      <w:pPr>
        <w:spacing w:after="100"/>
      </w:pPr>
      <w:r>
        <w:t xml:space="preserve">In rural settings where EHR data is incomplete or delayed, device-mediated signals provide an early operational path for risk identification and care coordination. Device signals can support initial use cases while broader EHR data readiness improves over time.</w:t>
      </w:r>
    </w:p>
    <w:p>
      <w:pPr>
        <w:spacing w:after="80"/>
      </w:pPr>
      <w:r>
        <w:t xml:space="preserve"/>
      </w:r>
    </w:p>
    <w:p>
      <w:pPr>
        <w:spacing w:after="100"/>
      </w:pPr>
      <w:r>
        <w:t xml:space="preserve">Device variables evaluated in the pilot:</w:t>
      </w:r>
    </w:p>
    <w:p>
      <w:pPr>
        <w:pStyle w:val="ListParagraph"/>
        <w:numPr>
          <w:ilvl w:val="0"/>
          <w:numId w:val="2"/>
        </w:numPr>
      </w:pPr>
      <w:r>
        <w:t xml:space="preserve">Connected weight scales — primary signal source for heart failure monitoring</w:t>
      </w:r>
    </w:p>
    <w:p>
      <w:pPr>
        <w:pStyle w:val="ListParagraph"/>
        <w:numPr>
          <w:ilvl w:val="0"/>
          <w:numId w:val="2"/>
        </w:numPr>
      </w:pPr>
      <w:r>
        <w:t xml:space="preserve">Home blood pressure monitors — primary signal source for hypertension detection and management</w:t>
      </w:r>
    </w:p>
    <w:p>
      <w:pPr>
        <w:pStyle w:val="ListParagraph"/>
        <w:numPr>
          <w:ilvl w:val="0"/>
          <w:numId w:val="2"/>
        </w:numPr>
      </w:pPr>
      <w:r>
        <w:t xml:space="preserve">Continuous glucose monitors (CGM) — primary signal source for diabetes risk stratification</w:t>
      </w:r>
    </w:p>
    <w:p>
      <w:pPr>
        <w:spacing w:after="80"/>
      </w:pPr>
      <w:r>
        <w:t xml:space="preserve"/>
      </w:r>
    </w:p>
    <w:p>
      <w:pPr>
        <w:spacing w:after="100"/>
      </w:pPr>
      <w:r>
        <w:t xml:space="preserve">Device data introduces specific readiness requirements including temporal density, patient-device linkage, and reproducibility of derived metrics (such as TIR and GMI) from raw data. These are evaluated within the same variable-level readiness framework as EHR data. Full device-specific check definitions are in the companion Device Data Model &amp; Readiness Extension document.</w:t>
      </w:r>
    </w:p>
    <w:p>
      <w:pPr>
        <w:spacing w:after="80"/>
      </w:pPr>
      <w:r>
        <w:t xml:space="preserve"/>
      </w:r>
    </w:p>
    <w:p>
      <w:pPr>
        <w:pStyle w:val="Heading2"/>
      </w:pPr>
      <w:r>
        <w:t xml:space="preserve">Expansion Over Time</w:t>
      </w:r>
    </w:p>
    <w:p>
      <w:pPr>
        <w:spacing w:after="100"/>
      </w:pPr>
      <w:r>
        <w:t xml:space="preserve">As data readiness improves, signals can incorporate additional clinical context from EHR systems and additional variables can be added to use-case evaluations. Examples of expanded signals:</w:t>
      </w:r>
    </w:p>
    <w:p>
      <w:pPr>
        <w:pStyle w:val="ListParagraph"/>
        <w:numPr>
          <w:ilvl w:val="0"/>
          <w:numId w:val="3"/>
        </w:numPr>
      </w:pPr>
      <w:r>
        <w:t xml:space="preserve">Hospitalization events combined with weight trends for advanced heart failure monitoring</w:t>
      </w:r>
    </w:p>
    <w:p>
      <w:pPr>
        <w:pStyle w:val="ListParagraph"/>
        <w:numPr>
          <w:ilvl w:val="0"/>
          <w:numId w:val="3"/>
        </w:numPr>
      </w:pPr>
      <w:r>
        <w:t xml:space="preserve">Laboratory values (HbA1c, cholesterol) added to CGM signals for more comprehensive diabetes risk stratification</w:t>
      </w:r>
    </w:p>
    <w:p>
      <w:pPr>
        <w:pStyle w:val="ListParagraph"/>
        <w:numPr>
          <w:ilvl w:val="0"/>
          <w:numId w:val="3"/>
        </w:numPr>
      </w:pPr>
      <w:r>
        <w:t xml:space="preserve">Medication data incorporated into hypertension risk algorithms</w:t>
      </w:r>
    </w:p>
    <w:p>
      <w:pPr>
        <w:pStyle w:val="ListParagraph"/>
        <w:numPr>
          <w:ilvl w:val="0"/>
          <w:numId w:val="3"/>
        </w:numPr>
      </w:pPr>
      <w:r>
        <w:t xml:space="preserve">Encounter documentation supporting care coordination workflows and VBC reporting</w:t>
      </w:r>
    </w:p>
    <w:p>
      <w:pPr>
        <w:spacing w:after="80"/>
      </w:pPr>
      <w:r>
        <w:t xml:space="preserve"/>
      </w:r>
    </w:p>
    <w:p>
      <w:pPr>
        <w:spacing w:after="100"/>
      </w:pPr>
      <w:r>
        <w:t xml:space="preserve">This layered approach enables institutions to begin with device-based signals and gradually expand toward more advanced care coordination and reporting capabilities as variable readiness improves.</w:t>
      </w:r>
    </w:p>
    <w:p>
      <w:pPr>
        <w:spacing w:after="80"/>
      </w:pPr>
      <w:r>
        <w:t xml:space="preserve"/>
      </w:r>
    </w:p>
    <w:p>
      <w:pPr>
        <w:pStyle w:val="Heading2"/>
      </w:pPr>
      <w:r>
        <w:t xml:space="preserve">Relationship to Condition Plug-ins</w:t>
      </w:r>
    </w:p>
    <w:p>
      <w:pPr>
        <w:spacing w:after="100"/>
      </w:pPr>
      <w:r>
        <w:t xml:space="preserve">Signal definitions are implemented through condition-specific plug-ins within the readiness infrastructure. Each plug-in defines:</w:t>
      </w:r>
    </w:p>
    <w:p>
      <w:pPr>
        <w:pStyle w:val="ListParagraph"/>
        <w:numPr>
          <w:ilvl w:val="0"/>
          <w:numId w:val="4"/>
        </w:numPr>
      </w:pPr>
      <w:r>
        <w:t xml:space="preserve">The variables required to generate the signals for that condition</w:t>
      </w:r>
    </w:p>
    <w:p>
      <w:pPr>
        <w:pStyle w:val="ListParagraph"/>
        <w:numPr>
          <w:ilvl w:val="0"/>
          <w:numId w:val="4"/>
        </w:numPr>
      </w:pPr>
      <w:r>
        <w:t xml:space="preserve">The minimum readiness thresholds for each variable</w:t>
      </w:r>
    </w:p>
    <w:p>
      <w:pPr>
        <w:pStyle w:val="ListParagraph"/>
        <w:numPr>
          <w:ilvl w:val="0"/>
          <w:numId w:val="4"/>
        </w:numPr>
      </w:pPr>
      <w:r>
        <w:t xml:space="preserve">The signals and clinical actions associated with each variable state</w:t>
      </w:r>
    </w:p>
    <w:p>
      <w:pPr>
        <w:pStyle w:val="ListParagraph"/>
        <w:numPr>
          <w:ilvl w:val="0"/>
          <w:numId w:val="4"/>
        </w:numPr>
      </w:pPr>
      <w:r>
        <w:t xml:space="preserve">The escalation pathways activated when signals are detected</w:t>
      </w:r>
    </w:p>
    <w:p>
      <w:pPr>
        <w:spacing w:after="80"/>
      </w:pPr>
      <w:r>
        <w:t xml:space="preserve"/>
      </w:r>
    </w:p>
    <w:p>
      <w:pPr>
        <w:spacing w:after="100"/>
      </w:pPr>
      <w:r>
        <w:t xml:space="preserve">This modular design allows the infrastructure to support multiple CKM conditions while maintaining a common underlying readiness architecture.</w:t>
      </w:r>
    </w:p>
    <w:sectPr>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600" w:hanging="300"/>
      </w:pPr>
    </w:lvl>
  </w:abstractNum>
  <w:abstractNum w:abstractNumId="3" w15:restartNumberingAfterBreak="0">
    <w:multiLevelType w:val="hybridMultilevel"/>
    <w:lvl w:ilvl="0" w15:tentative="1">
      <w:start w:val="1"/>
      <w:numFmt w:val="bullet"/>
      <w:lvlText w:val="•"/>
      <w:lvlJc w:val="left"/>
      <w:pPr>
        <w:spacing w:after="60"/>
        <w:ind w:left="600" w:hanging="300"/>
      </w:pPr>
    </w:lvl>
  </w:abstractNum>
  <w:abstractNum w:abstractNumId="4" w15:restartNumberingAfterBreak="0">
    <w:multiLevelType w:val="hybridMultilevel"/>
    <w:lvl w:ilvl="0" w15:tentative="1">
      <w:start w:val="1"/>
      <w:numFmt w:val="bullet"/>
      <w:lvlText w:val="•"/>
      <w:lvlJc w:val="left"/>
      <w:pPr>
        <w:spacing w:after="60"/>
        <w:ind w:left="600" w:hanging="300"/>
      </w:pPr>
    </w:lvl>
  </w:abstractNum>
  <w:abstractNum w:abstractNumId="5" w15:restartNumberingAfterBreak="0">
    <w:multiLevelType w:val="hybridMultilevel"/>
    <w:lvl w:ilvl="0" w15:tentative="1">
      <w:start w:val="1"/>
      <w:numFmt w:val="bullet"/>
      <w:lvlText w:val="•"/>
      <w:lvlJc w:val="left"/>
      <w:pPr>
        <w:spacing w:after="60"/>
        <w:ind w:left="600" w:hanging="300"/>
      </w:pPr>
    </w:lvl>
  </w:abstractNum>
  <w:abstractNum w:abstractNumId="6" w15:restartNumberingAfterBreak="0">
    <w:multiLevelType w:val="hybridMultilevel"/>
    <w:lvl w:ilvl="0" w15:tentative="1">
      <w:start w:val="1"/>
      <w:numFmt w:val="decimal"/>
      <w:lvlText w:val="%1."/>
      <w:lvlJc w:val="left"/>
      <w:pPr>
        <w:spacing w:after="60"/>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F9E"/>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2026-03-30T14:46:52.437Z</dcterms:created>
  <dcterms:modified xsi:type="dcterms:W3CDTF">2026-03-30T14:46:52.437Z</dcterms:modified>
</cp:coreProperties>
</file>

<file path=docProps/custom.xml><?xml version="1.0" encoding="utf-8"?>
<Properties xmlns="http://schemas.openxmlformats.org/officeDocument/2006/custom-properties" xmlns:vt="http://schemas.openxmlformats.org/officeDocument/2006/docPropsVTypes"/>
</file>