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52"/>
          <w:szCs w:val="52"/>
        </w:rPr>
        <w:t xml:space="preserve">Oros CKM Data Readiness</w:t>
      </w:r>
    </w:p>
    <w:p>
      <w:pPr>
        <w:spacing w:after="120"/>
      </w:pPr>
      <w:r>
        <w:rPr>
          <w:rFonts w:ascii="Arial" w:cs="Arial" w:eastAsia="Arial" w:hAnsi="Arial"/>
          <w:b/>
          <w:bCs/>
          <w:color w:val="2E75B6"/>
          <w:sz w:val="40"/>
          <w:szCs w:val="40"/>
        </w:rPr>
        <w:t xml:space="preserve">Technical Specification</w:t>
      </w:r>
    </w:p>
    <w:p>
      <w:pPr>
        <w:spacing w:after="120"/>
      </w:pPr>
      <w:r>
        <w:rPr>
          <w:rFonts w:ascii="Arial" w:cs="Arial" w:eastAsia="Arial" w:hAnsi="Arial"/>
          <w:i/>
          <w:iCs/>
          <w:color w:val="404040"/>
          <w:sz w:val="24"/>
          <w:szCs w:val="24"/>
        </w:rPr>
        <w:t xml:space="preserve">Check Framework, Scoring Model, and Remediation Logic</w:t>
      </w:r>
    </w:p>
    <w:p>
      <w:pPr>
        <w:spacing w:after="360"/>
      </w:pPr>
      <w:r>
        <w:rPr>
          <w:rFonts w:ascii="Arial" w:cs="Arial" w:eastAsia="Arial" w:hAnsi="Arial"/>
          <w:i/>
          <w:iCs/>
          <w:color w:val="404040"/>
          <w:sz w:val="22"/>
          <w:szCs w:val="22"/>
        </w:rPr>
        <w:t xml:space="preserve">April 2026</w:t>
      </w:r>
    </w:p>
    <w:p>
      <w:pPr>
        <w:pBdr>
          <w:bottom w:val="single" w:color="2E75B6" w:sz="6" w:space="1"/>
        </w:pBdr>
        <w:spacing w:after="200"/>
      </w:pPr>
      <w:r>
        <w:t xml:space="preserve"/>
      </w:r>
    </w:p>
    <w:tbl>
      <w:tblPr>
        <w:tblW w:type="dxa" w:w="9360"/>
        <w:tblBorders>
          <w:top w:val="single" w:color="2E75B6" w:sz="4"/>
          <w:left w:val="single" w:color="2E75B6" w:sz="16"/>
          <w:bottom w:val="single" w:color="2E75B6" w:sz="4"/>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20"/>
            </w:tcMar>
          </w:tcPr>
          <w:p>
            <w:pPr>
              <w:spacing w:after="80"/>
            </w:pPr>
            <w:r>
              <w:rPr>
                <w:rFonts w:ascii="Arial" w:cs="Arial" w:eastAsia="Arial" w:hAnsi="Arial"/>
                <w:b/>
                <w:bCs/>
                <w:color w:val="1F4E79"/>
                <w:sz w:val="22"/>
                <w:szCs w:val="22"/>
              </w:rPr>
              <w:t xml:space="preserve">Status</w:t>
            </w:r>
          </w:p>
          <w:p>
            <w:pPr>
              <w:spacing w:after="60"/>
            </w:pPr>
            <w:r>
              <w:rPr>
                <w:rFonts w:ascii="Arial" w:cs="Arial" w:eastAsia="Arial" w:hAnsi="Arial"/>
                <w:color w:val="404040"/>
                <w:sz w:val="21"/>
                <w:szCs w:val="21"/>
              </w:rPr>
              <w:t xml:space="preserve">•  This document is a companion to the Methodology Architecture document and the Architecture Specification (v1.2, April 2026). The Architecture Specification is the canonical object model reference; this document is the authoritative technical implementation reference.</w:t>
            </w:r>
          </w:p>
          <w:p>
            <w:pPr>
              <w:spacing w:after="60"/>
            </w:pPr>
            <w:r>
              <w:rPr>
                <w:rFonts w:ascii="Arial" w:cs="Arial" w:eastAsia="Arial" w:hAnsi="Arial"/>
                <w:color w:val="404040"/>
                <w:sz w:val="21"/>
                <w:szCs w:val="21"/>
              </w:rPr>
              <w:t xml:space="preserve">•  Variable tagging and device-specific checks have been added to support device data evaluation.</w:t>
            </w:r>
          </w:p>
          <w:p>
            <w:pPr>
              <w:spacing w:after="60"/>
            </w:pPr>
            <w:r>
              <w:rPr>
                <w:rFonts w:ascii="Arial" w:cs="Arial" w:eastAsia="Arial" w:hAnsi="Arial"/>
                <w:color w:val="404040"/>
                <w:sz w:val="21"/>
                <w:szCs w:val="21"/>
              </w:rPr>
              <w:t xml:space="preserve">•  Fit-for-purpose scoring is defined at the use-case level, not the variable level.</w:t>
            </w:r>
          </w:p>
          <w:p>
            <w:pPr>
              <w:spacing w:after="60"/>
            </w:pPr>
            <w:r>
              <w:rPr>
                <w:rFonts w:ascii="Arial" w:cs="Arial" w:eastAsia="Arial" w:hAnsi="Arial"/>
                <w:color w:val="404040"/>
                <w:sz w:val="21"/>
                <w:szCs w:val="21"/>
              </w:rPr>
              <w:t xml:space="preserve">•  The check framework is therapeutic area-agnostic by design. Condition-specific logic is externalized into condition modules. See Section 1.1.</w:t>
            </w:r>
          </w:p>
          <w:p>
            <w:pPr>
              <w:spacing w:after="0"/>
            </w:pPr>
            <w:r>
              <w:rPr>
                <w:rFonts w:ascii="Arial" w:cs="Arial" w:eastAsia="Arial" w:hAnsi="Arial"/>
                <w:color w:val="404040"/>
                <w:sz w:val="21"/>
                <w:szCs w:val="21"/>
              </w:rPr>
              <w:t xml:space="preserve">•  Final scoring thresholds and use-case variable requirements are defined per condition plug-in and subject to ongoing clinical alignment. See Section 8.1.</w:t>
            </w:r>
          </w:p>
        </w:tc>
      </w:tr>
    </w:tbl>
    <w:p>
      <w:pPr>
        <w:spacing w:after="100"/>
      </w:pPr>
      <w:r>
        <w:t xml:space="preserve"/>
      </w:r>
    </w:p>
    <w:p>
      <w:pPr>
        <w:pStyle w:val="Heading1"/>
      </w:pPr>
      <w:r>
        <w:rPr>
          <w:rFonts w:ascii="Arial" w:cs="Arial" w:eastAsia="Arial" w:hAnsi="Arial"/>
          <w:b/>
          <w:bCs/>
          <w:color w:val="1F4E79"/>
          <w:sz w:val="36"/>
          <w:szCs w:val="36"/>
        </w:rPr>
        <w:t xml:space="preserve">1. Check Framework Overview</w:t>
      </w:r>
    </w:p>
    <w:p>
      <w:pPr>
        <w:spacing w:after="160"/>
      </w:pPr>
      <w:r>
        <w:rPr>
          <w:rFonts w:ascii="Arial" w:cs="Arial" w:eastAsia="Arial" w:hAnsi="Arial"/>
          <w:b w:val="false"/>
          <w:bCs w:val="false"/>
          <w:i w:val="false"/>
          <w:iCs w:val="false"/>
          <w:color w:val="404040"/>
          <w:sz w:val="22"/>
          <w:szCs w:val="22"/>
        </w:rPr>
        <w:t xml:space="preserve">The readiness methodology is operationalized through a registry of checks. Each check evaluates a specific property of a variable — technical, semantic, or fitness-related — and contributes to variable-level readiness scoring and use-case-level fitness evaluation. Checks are the atomic unit of readiness evaluation: they produce a scored result that is weighted by priority and rolled up into variable profiles and ultimately use-case fitness decisions.</w:t>
      </w:r>
    </w:p>
    <w:p>
      <w:pPr>
        <w:spacing w:after="160"/>
      </w:pPr>
      <w:r>
        <w:rPr>
          <w:rFonts w:ascii="Arial" w:cs="Arial" w:eastAsia="Arial" w:hAnsi="Arial"/>
          <w:b w:val="false"/>
          <w:bCs w:val="false"/>
          <w:i w:val="false"/>
          <w:iCs w:val="false"/>
          <w:color w:val="404040"/>
          <w:sz w:val="22"/>
          <w:szCs w:val="22"/>
        </w:rPr>
        <w:t xml:space="preserve">Checks are characterized along five dimensions:</w:t>
      </w:r>
    </w:p>
    <w:p>
      <w:pPr>
        <w:pStyle w:val="ListParagraph"/>
        <w:numPr>
          <w:ilvl w:val="0"/>
          <w:numId w:val="2"/>
        </w:numPr>
        <w:spacing w:after="80"/>
      </w:pPr>
      <w:r>
        <w:rPr>
          <w:rFonts w:ascii="Arial" w:cs="Arial" w:eastAsia="Arial" w:hAnsi="Arial"/>
          <w:color w:val="404040"/>
          <w:sz w:val="22"/>
          <w:szCs w:val="22"/>
        </w:rPr>
        <w:t xml:space="preserve">Variable — the clinical variable the check applies to (e.g., Blood Pressure, CGM, Weight)</w:t>
      </w:r>
    </w:p>
    <w:p>
      <w:pPr>
        <w:pStyle w:val="ListParagraph"/>
        <w:numPr>
          <w:ilvl w:val="0"/>
          <w:numId w:val="2"/>
        </w:numPr>
        <w:spacing w:after="80"/>
      </w:pPr>
      <w:r>
        <w:rPr>
          <w:rFonts w:ascii="Arial" w:cs="Arial" w:eastAsia="Arial" w:hAnsi="Arial"/>
          <w:color w:val="404040"/>
          <w:sz w:val="22"/>
          <w:szCs w:val="22"/>
        </w:rPr>
        <w:t xml:space="preserve">Property type — whether the check evaluates a technical, semantic, or use-case fitness property of that variable</w:t>
      </w:r>
    </w:p>
    <w:p>
      <w:pPr>
        <w:pStyle w:val="ListParagraph"/>
        <w:numPr>
          <w:ilvl w:val="0"/>
          <w:numId w:val="2"/>
        </w:numPr>
        <w:spacing w:after="80"/>
      </w:pPr>
      <w:r>
        <w:rPr>
          <w:rFonts w:ascii="Arial" w:cs="Arial" w:eastAsia="Arial" w:hAnsi="Arial"/>
          <w:color w:val="404040"/>
          <w:sz w:val="22"/>
          <w:szCs w:val="22"/>
        </w:rPr>
        <w:t xml:space="preserve">Dimension — single data snapshot or across multiple refreshes over time</w:t>
      </w:r>
    </w:p>
    <w:p>
      <w:pPr>
        <w:pStyle w:val="ListParagraph"/>
        <w:numPr>
          <w:ilvl w:val="0"/>
          <w:numId w:val="2"/>
        </w:numPr>
        <w:spacing w:after="80"/>
      </w:pPr>
      <w:r>
        <w:rPr>
          <w:rFonts w:ascii="Arial" w:cs="Arial" w:eastAsia="Arial" w:hAnsi="Arial"/>
          <w:color w:val="404040"/>
          <w:sz w:val="22"/>
          <w:szCs w:val="22"/>
        </w:rPr>
        <w:t xml:space="preserve">Check category — conformance, completeness, interoperability, plausibility, concordance, or persistence</w:t>
      </w:r>
    </w:p>
    <w:p>
      <w:pPr>
        <w:pStyle w:val="ListParagraph"/>
        <w:numPr>
          <w:ilvl w:val="0"/>
          <w:numId w:val="2"/>
        </w:numPr>
        <w:spacing w:after="80"/>
      </w:pPr>
      <w:r>
        <w:rPr>
          <w:rFonts w:ascii="Arial" w:cs="Arial" w:eastAsia="Arial" w:hAnsi="Arial"/>
          <w:color w:val="404040"/>
          <w:sz w:val="22"/>
          <w:szCs w:val="22"/>
        </w:rPr>
        <w:t xml:space="preserve">Check purpose — structural, semantic, or data fitness (fit-for-use)</w:t>
      </w:r>
    </w:p>
    <w:p>
      <w:pPr>
        <w:spacing w:after="100"/>
      </w:pPr>
      <w:r>
        <w:t xml:space="preserve"/>
      </w:r>
    </w:p>
    <w:p>
      <w:pPr>
        <w:spacing w:after="160"/>
      </w:pPr>
      <w:r>
        <w:rPr>
          <w:rFonts w:ascii="Arial" w:cs="Arial" w:eastAsia="Arial" w:hAnsi="Arial"/>
          <w:b w:val="false"/>
          <w:bCs w:val="false"/>
          <w:i w:val="false"/>
          <w:iCs w:val="false"/>
          <w:color w:val="404040"/>
          <w:sz w:val="22"/>
          <w:szCs w:val="22"/>
        </w:rPr>
        <w:t xml:space="preserve">Variable tagging is the key organizing mechanism. By tagging each check to a variable, the system produces a per-variable readiness profile (Technical score + Readiness score) that feeds directly into use-case fitness evaluation.</w:t>
      </w:r>
    </w:p>
    <w:p>
      <w:pPr>
        <w:spacing w:after="160"/>
      </w:pPr>
      <w:r>
        <w:rPr>
          <w:rFonts w:ascii="Arial" w:cs="Arial" w:eastAsia="Arial" w:hAnsi="Arial"/>
          <w:b w:val="false"/>
          <w:bCs w:val="false"/>
          <w:i w:val="false"/>
          <w:iCs w:val="false"/>
          <w:color w:val="404040"/>
          <w:sz w:val="22"/>
          <w:szCs w:val="22"/>
        </w:rPr>
        <w:t xml:space="preserve">Temporal checks (e.g., density, persistence, derived metric validity) are evaluated within defined analysis windows that are specified per use case and may vary based on clinical context or care team preference — for example, a 14-day rolling window for CGM-based risk stratification as a common default. Windows are implementation parameters, not fixed values, and should be configurable by the care team operating the system.</w:t>
      </w:r>
    </w:p>
    <w:p>
      <w:pPr>
        <w:spacing w:after="100"/>
      </w:pPr>
      <w:r>
        <w:t xml:space="preserve"/>
      </w:r>
    </w:p>
    <w:p>
      <w:pPr>
        <w:pStyle w:val="Heading2"/>
      </w:pPr>
      <w:r>
        <w:rPr>
          <w:rFonts w:ascii="Arial" w:cs="Arial" w:eastAsia="Arial" w:hAnsi="Arial"/>
          <w:b/>
          <w:bCs/>
          <w:color w:val="2E75B6"/>
          <w:sz w:val="28"/>
          <w:szCs w:val="28"/>
        </w:rPr>
        <w:t xml:space="preserve">1.1 Therapeutic Area-Agnostic Design (R1)</w:t>
      </w:r>
    </w:p>
    <w:p>
      <w:pPr>
        <w:spacing w:after="160"/>
      </w:pPr>
      <w:r>
        <w:rPr>
          <w:rFonts w:ascii="Arial" w:cs="Arial" w:eastAsia="Arial" w:hAnsi="Arial"/>
          <w:b w:val="false"/>
          <w:bCs w:val="false"/>
          <w:i w:val="false"/>
          <w:iCs w:val="false"/>
          <w:color w:val="404040"/>
          <w:sz w:val="22"/>
          <w:szCs w:val="22"/>
        </w:rPr>
        <w:t xml:space="preserve">The check engine is therapeutic area-agnostic by design. The engine contains no condition-specific logic. It evaluates checks against variables and produces scored results without any knowledge of which clinical condition a check belongs to. All condition-specific logic — which variables are required, what thresholds apply, how variables combine, what constitutes a ready population — is externalized into condition modules.</w:t>
      </w:r>
    </w:p>
    <w:p>
      <w:pPr>
        <w:spacing w:after="160"/>
      </w:pPr>
      <w:r>
        <w:rPr>
          <w:rFonts w:ascii="Arial" w:cs="Arial" w:eastAsia="Arial" w:hAnsi="Arial"/>
          <w:b w:val="false"/>
          <w:bCs w:val="false"/>
          <w:i w:val="false"/>
          <w:iCs w:val="false"/>
          <w:color w:val="404040"/>
          <w:sz w:val="22"/>
          <w:szCs w:val="22"/>
        </w:rPr>
        <w:t xml:space="preserve">This design principle has three practical consequences:</w:t>
      </w:r>
    </w:p>
    <w:p>
      <w:pPr>
        <w:pStyle w:val="ListParagraph"/>
        <w:numPr>
          <w:ilvl w:val="0"/>
          <w:numId w:val="2"/>
        </w:numPr>
        <w:spacing w:after="80"/>
      </w:pPr>
      <w:r>
        <w:rPr>
          <w:rFonts w:ascii="Arial" w:cs="Arial" w:eastAsia="Arial" w:hAnsi="Arial"/>
          <w:color w:val="404040"/>
          <w:sz w:val="22"/>
          <w:szCs w:val="22"/>
        </w:rPr>
        <w:t xml:space="preserve">Adding a new condition (e.g., heart failure, hypertension) does not require modifying the check engine. A new condition module config file is added to the conditions/ directory, loaded into the database at startup, and the engine processes it without code changes.</w:t>
      </w:r>
    </w:p>
    <w:p>
      <w:pPr>
        <w:pStyle w:val="ListParagraph"/>
        <w:numPr>
          <w:ilvl w:val="0"/>
          <w:numId w:val="2"/>
        </w:numPr>
        <w:spacing w:after="80"/>
      </w:pPr>
      <w:r>
        <w:rPr>
          <w:rFonts w:ascii="Arial" w:cs="Arial" w:eastAsia="Arial" w:hAnsi="Arial"/>
          <w:color w:val="404040"/>
          <w:sz w:val="22"/>
          <w:szCs w:val="22"/>
        </w:rPr>
        <w:t xml:space="preserve">The same check can apply to multiple conditions with different thresholds. For example, layer1_notnull_fields applies to any variable across any condition. The threshold and priority weight for that check within a specific use case are defined in the condition module, not in the check definition.</w:t>
      </w:r>
    </w:p>
    <w:p>
      <w:pPr>
        <w:pStyle w:val="ListParagraph"/>
        <w:numPr>
          <w:ilvl w:val="0"/>
          <w:numId w:val="2"/>
        </w:numPr>
        <w:spacing w:after="80"/>
      </w:pPr>
      <w:r>
        <w:rPr>
          <w:rFonts w:ascii="Arial" w:cs="Arial" w:eastAsia="Arial" w:hAnsi="Arial"/>
          <w:color w:val="404040"/>
          <w:sz w:val="22"/>
          <w:szCs w:val="22"/>
        </w:rPr>
        <w:t xml:space="preserve">The check registry is a shared infrastructure asset. Condition modules reference checks from the registry; they do not define new check types. New check types require a registry update and engine change; new condition configurations do not.</w:t>
      </w:r>
    </w:p>
    <w:p>
      <w:pPr>
        <w:spacing w:after="100"/>
      </w:pPr>
      <w:r>
        <w:t xml:space="preserve"/>
      </w:r>
    </w:p>
    <w:tbl>
      <w:tblPr>
        <w:tblW w:type="dxa" w:w="9360"/>
        <w:tblBorders>
          <w:top w:val="single" w:color="CCCCCC" w:sz="1"/>
          <w:left w:val="single" w:color="2E75B6" w:sz="12"/>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20"/>
            </w:tcMar>
          </w:tcPr>
          <w:p>
            <w:pPr>
              <w:spacing w:after="0"/>
            </w:pPr>
            <w:r>
              <w:rPr>
                <w:rFonts w:ascii="Arial" w:cs="Arial" w:eastAsia="Arial" w:hAnsi="Arial"/>
                <w:i/>
                <w:iCs/>
                <w:color w:val="404040"/>
                <w:sz w:val="22"/>
                <w:szCs w:val="22"/>
              </w:rPr>
              <w:t xml:space="preserve">Pipeline layers (layer1–layer5) are implementation references indicating where in the technical pipeline a check is applied. They do not define the primary structure of evaluation, which remains variable-level and use-case-level. The check_scope field (Section 2, Table 1) is the explicit mapping that bridges the check registry to the Data Model.</w:t>
            </w:r>
          </w:p>
        </w:tc>
      </w:tr>
    </w:tbl>
    <w:p>
      <w:pPr>
        <w:spacing w:after="100"/>
      </w:pPr>
      <w:r>
        <w:t xml:space="preserve"/>
      </w:r>
    </w:p>
    <w:p>
      <w:pPr>
        <w:pStyle w:val="Heading1"/>
      </w:pPr>
      <w:r>
        <w:rPr>
          <w:rFonts w:ascii="Arial" w:cs="Arial" w:eastAsia="Arial" w:hAnsi="Arial"/>
          <w:b/>
          <w:bCs/>
          <w:color w:val="1F4E79"/>
          <w:sz w:val="36"/>
          <w:szCs w:val="36"/>
        </w:rPr>
        <w:t xml:space="preserve">2. Check Registry — EHR and Clinical Data</w:t>
      </w:r>
    </w:p>
    <w:p>
      <w:pPr>
        <w:pStyle w:val="Heading2"/>
      </w:pPr>
      <w:r>
        <w:rPr>
          <w:rFonts w:ascii="Arial" w:cs="Arial" w:eastAsia="Arial" w:hAnsi="Arial"/>
          <w:b/>
          <w:bCs/>
          <w:color w:val="2E75B6"/>
          <w:sz w:val="28"/>
          <w:szCs w:val="28"/>
        </w:rPr>
        <w:t xml:space="preserve">Table 1 — Check Type Reference</w:t>
      </w:r>
    </w:p>
    <w:p>
      <w:pPr>
        <w:spacing w:after="160"/>
      </w:pPr>
      <w:r>
        <w:rPr>
          <w:rFonts w:ascii="Arial" w:cs="Arial" w:eastAsia="Arial" w:hAnsi="Arial"/>
          <w:b w:val="false"/>
          <w:bCs w:val="false"/>
          <w:i w:val="false"/>
          <w:iCs w:val="false"/>
          <w:color w:val="404040"/>
          <w:sz w:val="22"/>
          <w:szCs w:val="22"/>
        </w:rPr>
        <w:t xml:space="preserve">Defines all EHR and clinical data checks by variable scope, property type, dimension, category, and purpose. The check_scope column maps directly to the check_results.check_scope field in the Data Model (‘ehr’, ‘device’, ‘use_case’). Use-case level evaluation metrics are grouped separately. Pipeline layers are implementation references and do not define the primary structure of evaluation.</w:t>
      </w:r>
    </w:p>
    <w:p>
      <w:pPr>
        <w:spacing w:after="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600"/>
        <w:gridCol w:w="1300"/>
        <w:gridCol w:w="900"/>
        <w:gridCol w:w="900"/>
        <w:gridCol w:w="1360"/>
        <w:gridCol w:w="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Type</w:t>
            </w:r>
          </w:p>
        </w:tc>
        <w:tc>
          <w:tcPr>
            <w:tcW w:type="dxa" w:w="7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check_scope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Pipeline Layer</w:t>
            </w:r>
          </w:p>
        </w:tc>
        <w:tc>
          <w:tcPr>
            <w:tcW w:type="dxa" w:w="13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Applies To (Variable)</w:t>
            </w:r>
          </w:p>
        </w:tc>
        <w:tc>
          <w:tcPr>
            <w:tcW w:type="dxa" w:w="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Dimension</w:t>
            </w:r>
          </w:p>
        </w:tc>
        <w:tc>
          <w:tcPr>
            <w:tcW w:type="dxa" w:w="9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Category</w:t>
            </w:r>
          </w:p>
        </w:tc>
        <w:tc>
          <w:tcPr>
            <w:tcW w:type="dxa" w:w="1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Name (Short)</w:t>
            </w:r>
          </w:p>
        </w:tc>
        <w:tc>
          <w:tcPr>
            <w:tcW w:type="dxa" w:w="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Purpose</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Not-null constraints</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1: Data Ingestion</w:t>
            </w:r>
          </w:p>
        </w:tc>
        <w:tc>
          <w:tcPr>
            <w:tcW w:type="dxa" w:w="13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Any variable</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Conformance</w:t>
            </w:r>
          </w:p>
        </w:tc>
        <w:tc>
          <w:tcPr>
            <w:tcW w:type="dxa" w:w="1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w:t>
            </w:r>
          </w:p>
        </w:tc>
        <w:tc>
          <w:tcPr>
            <w:tcW w:type="dxa" w:w="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Stability across refreshes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1: Data Ingestion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Any variable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Multiple Snapshots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Persistence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layer1_stability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Expected standards</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2: Data Source Representation</w:t>
            </w:r>
          </w:p>
        </w:tc>
        <w:tc>
          <w:tcPr>
            <w:tcW w:type="dxa" w:w="13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Any variable</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Conformance</w:t>
            </w:r>
          </w:p>
        </w:tc>
        <w:tc>
          <w:tcPr>
            <w:tcW w:type="dxa" w:w="1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layer2_value_standards</w:t>
            </w:r>
          </w:p>
        </w:tc>
        <w:tc>
          <w:tcPr>
            <w:tcW w:type="dxa" w:w="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Numeric values in range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2: Data Source Representation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Numeric variables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Conformance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layer2_ranges_numeric</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Mapped values</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3: Terminology Harmonization</w:t>
            </w:r>
          </w:p>
        </w:tc>
        <w:tc>
          <w:tcPr>
            <w:tcW w:type="dxa" w:w="13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Coded variables</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Interoperability</w:t>
            </w:r>
          </w:p>
        </w:tc>
        <w:tc>
          <w:tcPr>
            <w:tcW w:type="dxa" w:w="1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layer3_mapped_values</w:t>
            </w:r>
          </w:p>
        </w:tc>
        <w:tc>
          <w:tcPr>
            <w:tcW w:type="dxa" w:w="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Source values represented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3: Terminology Harmonization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Coded variables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Interoperability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layer3_src_values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Patient identities linked</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4: Identity Resolution</w:t>
            </w:r>
          </w:p>
        </w:tc>
        <w:tc>
          <w:tcPr>
            <w:tcW w:type="dxa" w:w="13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All variables</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Multiple Snapshots</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Interoperability</w:t>
            </w:r>
          </w:p>
        </w:tc>
        <w:tc>
          <w:tcPr>
            <w:tcW w:type="dxa" w:w="1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layer4_patient_ids</w:t>
            </w:r>
          </w:p>
        </w:tc>
        <w:tc>
          <w:tcPr>
            <w:tcW w:type="dxa" w:w="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Deduplication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4: Identity Resolution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All variables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Multiple Snapshots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Completeness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layer4_deduplication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Date concordance</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5: Semantic Harmonization</w:t>
            </w:r>
          </w:p>
        </w:tc>
        <w:tc>
          <w:tcPr>
            <w:tcW w:type="dxa" w:w="13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Encounter-linked vars</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Concordance</w:t>
            </w:r>
          </w:p>
        </w:tc>
        <w:tc>
          <w:tcPr>
            <w:tcW w:type="dxa" w:w="1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layer5_date_concordance</w:t>
            </w:r>
          </w:p>
        </w:tc>
        <w:tc>
          <w:tcPr>
            <w:tcW w:type="dxa" w:w="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Semantic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Value plausibility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ehr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 5: Semantic Harmonization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Numeric variables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Over 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Plausibility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layer5_value_plausibility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Semantic</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Denominator readiness</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use_case</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Use-Case Level Evaluation</w:t>
            </w:r>
          </w:p>
        </w:tc>
        <w:tc>
          <w:tcPr>
            <w:tcW w:type="dxa" w:w="13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Use-case specific</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Completeness</w:t>
            </w:r>
          </w:p>
        </w:tc>
        <w:tc>
          <w:tcPr>
            <w:tcW w:type="dxa" w:w="1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layer6_denom_riskstrat</w:t>
            </w:r>
          </w:p>
        </w:tc>
        <w:tc>
          <w:tcPr>
            <w:tcW w:type="dxa" w:w="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Data Fitness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Stability across refreshes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use_case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Use-Case Level Evaluation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Use-case specific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Multiple Snapshots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Persistence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layer6_stability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Data Fitness</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Value plausibility</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use_case</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Use-Case Level Evaluation</w:t>
            </w:r>
          </w:p>
        </w:tc>
        <w:tc>
          <w:tcPr>
            <w:tcW w:type="dxa" w:w="13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Use-case specific</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9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Plausibility</w:t>
            </w:r>
          </w:p>
        </w:tc>
        <w:tc>
          <w:tcPr>
            <w:tcW w:type="dxa" w:w="1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layer6_value_plausibility</w:t>
            </w:r>
          </w:p>
        </w:tc>
        <w:tc>
          <w:tcPr>
            <w:tcW w:type="dxa" w:w="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Data Fitness</w:t>
            </w:r>
          </w:p>
        </w:tc>
      </w:tr>
    </w:tbl>
    <w:p>
      <w:pPr>
        <w:spacing w:after="100"/>
      </w:pPr>
      <w:r>
        <w:t xml:space="preserve"/>
      </w:r>
    </w:p>
    <w:tbl>
      <w:tblPr>
        <w:tblW w:type="dxa" w:w="9360"/>
        <w:tblBorders>
          <w:top w:val="single" w:color="CCCCCC" w:sz="1"/>
          <w:left w:val="single" w:color="2E75B6" w:sz="12"/>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20"/>
            </w:tcMar>
          </w:tcPr>
          <w:p>
            <w:pPr>
              <w:spacing w:after="0"/>
            </w:pPr>
            <w:r>
              <w:rPr>
                <w:rFonts w:ascii="Arial" w:cs="Arial" w:eastAsia="Arial" w:hAnsi="Arial"/>
                <w:i/>
                <w:iCs/>
                <w:color w:val="404040"/>
                <w:sz w:val="22"/>
                <w:szCs w:val="22"/>
              </w:rPr>
              <w:t xml:space="preserve">check_scope maps directly to check_results.check_scope in the Data Model. ‘ehr’ = layer1–5 pipeline checks on EHR data. ‘device’ = device-specific checks (Section 9). ‘use_case’ = layer6 aggregation checks that determine overall use-case readiness. check_layer is NULL for device and use_case checks (they do not use the layer1–5 taxonomy).</w:t>
            </w:r>
          </w:p>
        </w:tc>
      </w:tr>
    </w:tbl>
    <w:p>
      <w:pPr>
        <w:spacing w:after="100"/>
      </w:pPr>
      <w:r>
        <w:t xml:space="preserve"/>
      </w:r>
    </w:p>
    <w:p>
      <w:pPr>
        <w:pStyle w:val="Heading2"/>
      </w:pPr>
      <w:r>
        <w:rPr>
          <w:rFonts w:ascii="Arial" w:cs="Arial" w:eastAsia="Arial" w:hAnsi="Arial"/>
          <w:b/>
          <w:bCs/>
          <w:color w:val="2E75B6"/>
          <w:sz w:val="28"/>
          <w:szCs w:val="28"/>
        </w:rPr>
        <w:t xml:space="preserve">Table 2 — Check Descriptions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Name (Short)</w:t>
            </w:r>
          </w:p>
        </w:tc>
        <w:tc>
          <w:tcPr>
            <w:tcW w:type="dxa" w:w="67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Description</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w:t>
            </w:r>
          </w:p>
        </w:tc>
        <w:tc>
          <w:tcPr>
            <w:tcW w:type="dxa" w:w="67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Fields during ingestion meet requirements for not-null constraints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layer1_stability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Current data are comparable to previous to ensure consistency between submissions</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layer2_value_standards</w:t>
            </w:r>
          </w:p>
        </w:tc>
        <w:tc>
          <w:tcPr>
            <w:tcW w:type="dxa" w:w="67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Field values are conformant to source standards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layer2_ranges_numeric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Numeric ranges are within acceptable range from source data</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layer3_mapped_values</w:t>
            </w:r>
          </w:p>
        </w:tc>
        <w:tc>
          <w:tcPr>
            <w:tcW w:type="dxa" w:w="67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Mapped values from source are non-null values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layer3_src_values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Source values are carried forward with mapped values to enable debugging</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layer4_patient_ids</w:t>
            </w:r>
          </w:p>
        </w:tc>
        <w:tc>
          <w:tcPr>
            <w:tcW w:type="dxa" w:w="67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Patients can be linked across multiple data sources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layer4_deduplication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Patient records are deduplicated</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layer5_date_concordance</w:t>
            </w:r>
          </w:p>
        </w:tc>
        <w:tc>
          <w:tcPr>
            <w:tcW w:type="dxa" w:w="67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Dates of clinical facts are concordant with visit dates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layer5_value_plausibility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Values are consistent for patients over time (no sudden drops or additions)</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layer6_denom_riskstrat</w:t>
            </w:r>
          </w:p>
        </w:tc>
        <w:tc>
          <w:tcPr>
            <w:tcW w:type="dxa" w:w="67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Proportion of patients at a site that meet utilization criteria for denominator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layer6_stability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Patient data are persistent across refreshes or new data streams</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layer6_value_plausibility</w:t>
            </w:r>
          </w:p>
        </w:tc>
        <w:tc>
          <w:tcPr>
            <w:tcW w:type="dxa" w:w="67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Patient data contain plausible numeric values for analysis of interest</w:t>
            </w:r>
          </w:p>
        </w:tc>
      </w:tr>
    </w:tbl>
    <w:p>
      <w:pPr>
        <w:spacing w:after="100"/>
      </w:pPr>
      <w:r>
        <w:t xml:space="preserve"/>
      </w:r>
    </w:p>
    <w:p>
      <w:pPr>
        <w:pStyle w:val="Heading1"/>
      </w:pPr>
      <w:r>
        <w:rPr>
          <w:rFonts w:ascii="Arial" w:cs="Arial" w:eastAsia="Arial" w:hAnsi="Arial"/>
          <w:b/>
          <w:bCs/>
          <w:color w:val="1F4E79"/>
          <w:sz w:val="36"/>
          <w:szCs w:val="36"/>
        </w:rPr>
        <w:t xml:space="preserve">3. Variable-Level Application (Table 3)</w:t>
      </w:r>
    </w:p>
    <w:p>
      <w:pPr>
        <w:spacing w:after="160"/>
      </w:pPr>
      <w:r>
        <w:rPr>
          <w:rFonts w:ascii="Arial" w:cs="Arial" w:eastAsia="Arial" w:hAnsi="Arial"/>
          <w:b w:val="false"/>
          <w:bCs w:val="false"/>
          <w:i w:val="false"/>
          <w:iCs w:val="false"/>
          <w:color w:val="404040"/>
          <w:sz w:val="22"/>
          <w:szCs w:val="22"/>
        </w:rPr>
        <w:t xml:space="preserve">When checks are applied, each is tagged to a specific variable and data element. Check Name (Full) combines the short check name with the variable and specific field being evaluated. This enables the system to produce a per-variable readiness profile. Examples include both EHR variables (Blood Pressure) and device variables (CGM Glucose, Weight).</w:t>
      </w:r>
    </w:p>
    <w:p>
      <w:pPr>
        <w:spacing w:after="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500"/>
        <w:gridCol w:w="2400"/>
        <w:gridCol w:w="1100"/>
        <w:gridCol w:w="10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Variable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Application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Name (Short)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Name (Full)</w:t>
            </w:r>
          </w:p>
        </w:tc>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Result</w:t>
            </w:r>
          </w:p>
        </w:tc>
        <w:tc>
          <w:tcPr>
            <w:tcW w:type="dxa" w:w="10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Threshold</w:t>
            </w:r>
          </w:p>
        </w:tc>
      </w:tr>
      <w:tr>
        <w:tc>
          <w:tcPr>
            <w:tcW w:type="dxa" w:w="1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Blood Pressure</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Condition table: dates</w:t>
            </w:r>
          </w:p>
        </w:tc>
        <w:tc>
          <w:tcPr>
            <w:tcW w:type="dxa" w:w="1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layer1_notnull_fields_bp_dates</w:t>
            </w:r>
          </w:p>
        </w:tc>
        <w:tc>
          <w:tcPr>
            <w:tcW w:type="dxa" w:w="1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25/30</w:t>
            </w:r>
          </w:p>
        </w:tc>
        <w:tc>
          <w:tcPr>
            <w:tcW w:type="dxa" w:w="1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30/30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Blood Pressure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Identity linking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layer4_patient_ids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layer4_patient_ids_bp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18/25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25/25</w:t>
            </w:r>
          </w:p>
        </w:tc>
      </w:tr>
      <w:tr>
        <w:tc>
          <w:tcPr>
            <w:tcW w:type="dxa" w:w="1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Blood Pressure</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Temporal coverage</w:t>
            </w:r>
          </w:p>
        </w:tc>
        <w:tc>
          <w:tcPr>
            <w:tcW w:type="dxa" w:w="1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layer5_value_plausibility</w:t>
            </w:r>
          </w:p>
        </w:tc>
        <w:tc>
          <w:tcPr>
            <w:tcW w:type="dxa" w:w="2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layer5_value_plausibility_bp</w:t>
            </w:r>
          </w:p>
        </w:tc>
        <w:tc>
          <w:tcPr>
            <w:tcW w:type="dxa" w:w="1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0.71</w:t>
            </w:r>
          </w:p>
        </w:tc>
        <w:tc>
          <w:tcPr>
            <w:tcW w:type="dxa" w:w="1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0.85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Glucose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Ingestion: not-null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layer1_notnull_fields_cgm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28/30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30/30</w:t>
            </w:r>
          </w:p>
        </w:tc>
      </w:tr>
      <w:tr>
        <w:tc>
          <w:tcPr>
            <w:tcW w:type="dxa" w:w="1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Glucose</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Patient-device linkage</w:t>
            </w:r>
          </w:p>
        </w:tc>
        <w:tc>
          <w:tcPr>
            <w:tcW w:type="dxa" w:w="1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layer4_patient_ids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layer4_patient_ids_cgm</w:t>
            </w:r>
          </w:p>
        </w:tc>
        <w:tc>
          <w:tcPr>
            <w:tcW w:type="dxa" w:w="1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20/28</w:t>
            </w:r>
          </w:p>
        </w:tc>
        <w:tc>
          <w:tcPr>
            <w:tcW w:type="dxa" w:w="1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28/28</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Glucose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Temporal density (14d)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device_temporal_density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device_temporal_density_cgm_14d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0.64</w:t>
            </w:r>
          </w:p>
        </w:tc>
        <w:tc>
          <w:tcPr>
            <w:tcW w:type="dxa" w:w="1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0.70</w:t>
            </w:r>
          </w:p>
        </w:tc>
      </w:tr>
      <w:tr>
        <w:tc>
          <w:tcPr>
            <w:tcW w:type="dxa" w:w="1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Weight</w:t>
            </w:r>
          </w:p>
        </w:tc>
        <w:tc>
          <w:tcPr>
            <w:tcW w:type="dxa" w:w="16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Ingestion: not-null</w:t>
            </w:r>
          </w:p>
        </w:tc>
        <w:tc>
          <w:tcPr>
            <w:tcW w:type="dxa" w:w="1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layer1_notnull_fields_weight</w:t>
            </w:r>
          </w:p>
        </w:tc>
        <w:tc>
          <w:tcPr>
            <w:tcW w:type="dxa" w:w="1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30/30</w:t>
            </w:r>
          </w:p>
        </w:tc>
        <w:tc>
          <w:tcPr>
            <w:tcW w:type="dxa" w:w="10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30/30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Weight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Rate-of-change plausibility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layer5_value_plausibility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layer5_value_plausibility_wt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0.88</w:t>
            </w:r>
          </w:p>
        </w:tc>
        <w:tc>
          <w:tcPr>
            <w:tcW w:type="dxa" w:w="1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0.85</w:t>
            </w:r>
          </w:p>
        </w:tc>
      </w:tr>
    </w:tbl>
    <w:p>
      <w:pPr>
        <w:spacing w:after="100"/>
      </w:pPr>
      <w:r>
        <w:t xml:space="preserve"/>
      </w:r>
    </w:p>
    <w:p>
      <w:pPr>
        <w:pStyle w:val="Heading1"/>
      </w:pPr>
      <w:r>
        <w:rPr>
          <w:rFonts w:ascii="Arial" w:cs="Arial" w:eastAsia="Arial" w:hAnsi="Arial"/>
          <w:b/>
          <w:bCs/>
          <w:color w:val="1F4E79"/>
          <w:sz w:val="36"/>
          <w:szCs w:val="36"/>
        </w:rPr>
        <w:t xml:space="preserve">4. Scoring and Remediation Output (Table 4)</w:t>
      </w:r>
    </w:p>
    <w:p>
      <w:pPr>
        <w:spacing w:after="160"/>
      </w:pPr>
      <w:r>
        <w:rPr>
          <w:rFonts w:ascii="Arial" w:cs="Arial" w:eastAsia="Arial" w:hAnsi="Arial"/>
          <w:b w:val="false"/>
          <w:bCs w:val="false"/>
          <w:i w:val="false"/>
          <w:iCs w:val="false"/>
          <w:color w:val="404040"/>
          <w:sz w:val="22"/>
          <w:szCs w:val="22"/>
        </w:rPr>
        <w:t xml:space="preserve">Each check result is scored between 0 and 1, assigned a priority, and linked to remediation guidance. Priority reflects impact on use-case fitness.</w:t>
      </w:r>
    </w:p>
    <w:p>
      <w:pPr>
        <w:spacing w:after="10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100"/>
        <w:gridCol w:w="700"/>
        <w:gridCol w:w="700"/>
        <w:gridCol w:w="700"/>
        <w:gridCol w:w="2360"/>
        <w:gridCol w:w="2000"/>
      </w:tblGrid>
      <w:tr>
        <w:tc>
          <w:tcPr>
            <w:tcW w:type="dxa" w:w="2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Name (Full)</w:t>
            </w:r>
          </w:p>
        </w:tc>
        <w:tc>
          <w:tcPr>
            <w:tcW w:type="dxa" w:w="7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Result</w:t>
            </w:r>
          </w:p>
        </w:tc>
        <w:tc>
          <w:tcPr>
            <w:tcW w:type="dxa" w:w="7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Score</w:t>
            </w:r>
          </w:p>
        </w:tc>
        <w:tc>
          <w:tcPr>
            <w:tcW w:type="dxa" w:w="7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Priority</w:t>
            </w:r>
          </w:p>
        </w:tc>
        <w:tc>
          <w:tcPr>
            <w:tcW w:type="dxa" w:w="2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Suggested Remediation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Suggested Next Steps</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layer1_notnull_fields_bp_dates</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25/30</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0.83</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High</w:t>
            </w:r>
          </w:p>
        </w:tc>
        <w:tc>
          <w:tcPr>
            <w:tcW w:type="dxa" w:w="2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Identify transmission or source system error</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Review date fields over time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layer4_patient_ids_bp</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18/25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0.72</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Improve identity matching across EHR and 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Audit patient ID linkage rules</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layer5_value_plausibility_bp</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0.71</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0.71</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Medium</w:t>
            </w:r>
          </w:p>
        </w:tc>
        <w:tc>
          <w:tcPr>
            <w:tcW w:type="dxa" w:w="2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Increase temporal BP measurement frequency</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Incorporate device feed to supplement EHR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layer4_patient_ids_cgm</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20/28</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0.71</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Standardize patient ID handling in device ingestion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Audit device-to-patient mapping logic</w:t>
            </w:r>
          </w:p>
        </w:tc>
      </w:tr>
      <w:tr>
        <w:tc>
          <w:tcPr>
            <w:tcW w:type="dxa" w:w="21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device_temporal_density_cgm_14d</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0.64</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0.64</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High</w:t>
            </w:r>
          </w:p>
        </w:tc>
        <w:tc>
          <w:tcPr>
            <w:tcW w:type="dxa" w:w="23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Below temporal density threshold for risk use case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Assess device adherence; flag low-coverage patients</w:t>
            </w:r>
          </w:p>
        </w:tc>
      </w:tr>
    </w:tbl>
    <w:p>
      <w:pPr>
        <w:spacing w:after="100"/>
      </w:pPr>
      <w:r>
        <w:t xml:space="preserve"/>
      </w:r>
    </w:p>
    <w:p>
      <w:pPr>
        <w:pStyle w:val="Heading1"/>
      </w:pPr>
      <w:r>
        <w:rPr>
          <w:rFonts w:ascii="Arial" w:cs="Arial" w:eastAsia="Arial" w:hAnsi="Arial"/>
          <w:b/>
          <w:bCs/>
          <w:color w:val="1F4E79"/>
          <w:sz w:val="36"/>
          <w:szCs w:val="36"/>
        </w:rPr>
        <w:t xml:space="preserve">5. Priority Weights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Priority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Weight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High</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1.0</w:t>
            </w:r>
          </w:p>
        </w:tc>
        <w:tc>
          <w:tcPr>
            <w:tcW w:type="dxa" w:w="69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Check failure directly blocks one or more use cases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Check failure degrades quality but does not fully block use</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Low</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0.3</w:t>
            </w:r>
          </w:p>
        </w:tc>
        <w:tc>
          <w:tcPr>
            <w:tcW w:type="dxa" w:w="69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Minor gap with limited operational impact</w:t>
            </w:r>
          </w:p>
        </w:tc>
      </w:tr>
    </w:tbl>
    <w:p>
      <w:pPr>
        <w:spacing w:after="100"/>
      </w:pPr>
      <w:r>
        <w:t xml:space="preserve"/>
      </w:r>
    </w:p>
    <w:p>
      <w:pPr>
        <w:pStyle w:val="Heading1"/>
      </w:pPr>
      <w:r>
        <w:rPr>
          <w:rFonts w:ascii="Arial" w:cs="Arial" w:eastAsia="Arial" w:hAnsi="Arial"/>
          <w:b/>
          <w:bCs/>
          <w:color w:val="1F4E79"/>
          <w:sz w:val="36"/>
          <w:szCs w:val="36"/>
        </w:rPr>
        <w:t xml:space="preserve">6. Scoring Domains</w:t>
      </w:r>
    </w:p>
    <w:p>
      <w:pPr>
        <w:spacing w:after="160"/>
      </w:pPr>
      <w:r>
        <w:rPr>
          <w:rFonts w:ascii="Arial" w:cs="Arial" w:eastAsia="Arial" w:hAnsi="Arial"/>
          <w:b w:val="false"/>
          <w:bCs w:val="false"/>
          <w:i w:val="false"/>
          <w:iCs w:val="false"/>
          <w:color w:val="404040"/>
          <w:sz w:val="22"/>
          <w:szCs w:val="22"/>
        </w:rPr>
        <w:t xml:space="preserve">Checks are grouped into three scoring domains. Domain scores aggregate the weighted results of their constituent checks. Scores roll up from check → domain → variable profile → use-case fitness.</w:t>
      </w:r>
    </w:p>
    <w:p>
      <w:pPr>
        <w:spacing w:after="160"/>
      </w:pPr>
      <w:r>
        <w:rPr>
          <w:rFonts w:ascii="Arial" w:cs="Arial" w:eastAsia="Arial" w:hAnsi="Arial"/>
          <w:b w:val="false"/>
          <w:bCs w:val="false"/>
          <w:i w:val="false"/>
          <w:iCs w:val="false"/>
          <w:color w:val="404040"/>
          <w:sz w:val="22"/>
          <w:szCs w:val="22"/>
        </w:rPr>
        <w:t xml:space="preserve">Scoring domains are implementation-level constructs and do not define the primary organizing structure of the methodology, which remains variable-level evaluation and use-case-level fitness.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00"/>
        <w:gridCol w:w="24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Scoring Domain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Purpose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Category</w:t>
            </w:r>
          </w:p>
        </w:tc>
        <w:tc>
          <w:tcPr>
            <w:tcW w:type="dxa" w:w="24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Dimension</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 Readiness</w:t>
            </w:r>
          </w:p>
        </w:tc>
        <w:tc>
          <w:tcPr>
            <w:tcW w:type="dxa" w:w="1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Structural</w:t>
            </w:r>
          </w:p>
        </w:tc>
        <w:tc>
          <w:tcPr>
            <w:tcW w:type="dxa" w:w="32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Conformance, Completeness, Interoperability</w:t>
            </w:r>
          </w:p>
        </w:tc>
        <w:tc>
          <w:tcPr>
            <w:tcW w:type="dxa" w:w="24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 and multiple snapshots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Semantic Harmonization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Semantic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Concordance, Plausibility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 and over time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Data Fitness</w:t>
            </w:r>
          </w:p>
        </w:tc>
        <w:tc>
          <w:tcPr>
            <w:tcW w:type="dxa" w:w="15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Data Fitness</w:t>
            </w:r>
          </w:p>
        </w:tc>
        <w:tc>
          <w:tcPr>
            <w:tcW w:type="dxa" w:w="32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Completeness, Persistence, Plausibility</w:t>
            </w:r>
          </w:p>
        </w:tc>
        <w:tc>
          <w:tcPr>
            <w:tcW w:type="dxa" w:w="24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 and multiple snapshots</w:t>
            </w:r>
          </w:p>
        </w:tc>
      </w:tr>
    </w:tbl>
    <w:p>
      <w:pPr>
        <w:spacing w:after="100"/>
      </w:pPr>
      <w:r>
        <w:t xml:space="preserve"/>
      </w:r>
    </w:p>
    <w:p>
      <w:pPr>
        <w:pStyle w:val="Heading1"/>
      </w:pPr>
      <w:r>
        <w:rPr>
          <w:rFonts w:ascii="Arial" w:cs="Arial" w:eastAsia="Arial" w:hAnsi="Arial"/>
          <w:b/>
          <w:bCs/>
          <w:color w:val="1F4E79"/>
          <w:sz w:val="36"/>
          <w:szCs w:val="36"/>
        </w:rPr>
        <w:t xml:space="preserve">7. Scoring Formulas</w:t>
      </w:r>
    </w:p>
    <w:p>
      <w:pPr>
        <w:pStyle w:val="Heading2"/>
      </w:pPr>
      <w:r>
        <w:rPr>
          <w:rFonts w:ascii="Arial" w:cs="Arial" w:eastAsia="Arial" w:hAnsi="Arial"/>
          <w:b/>
          <w:bCs/>
          <w:color w:val="2E75B6"/>
          <w:sz w:val="28"/>
          <w:szCs w:val="28"/>
        </w:rPr>
        <w:t xml:space="preserve">Domain Score</w:t>
      </w:r>
    </w:p>
    <w:p>
      <w:pPr>
        <w:spacing w:after="160"/>
      </w:pPr>
      <w:r>
        <w:rPr>
          <w:rFonts w:ascii="Courier New" w:cs="Courier New" w:eastAsia="Courier New" w:hAnsi="Courier New"/>
          <w:b/>
          <w:bCs/>
          <w:color w:val="2E75B6"/>
          <w:sz w:val="24"/>
          <w:szCs w:val="24"/>
        </w:rPr>
        <w:t xml:space="preserve">DQ₀ = Σ [ (wtₖ × Scoreₖ) / MaxScoreₖ ]</w:t>
      </w:r>
    </w:p>
    <w:p>
      <w:pPr>
        <w:pStyle w:val="ListParagraph"/>
        <w:numPr>
          <w:ilvl w:val="0"/>
          <w:numId w:val="2"/>
        </w:numPr>
        <w:spacing w:after="80"/>
      </w:pPr>
      <w:r>
        <w:rPr>
          <w:rFonts w:ascii="Arial" w:cs="Arial" w:eastAsia="Arial" w:hAnsi="Arial"/>
          <w:color w:val="404040"/>
          <w:sz w:val="22"/>
          <w:szCs w:val="22"/>
        </w:rPr>
        <w:t xml:space="preserve">DQ₀ = data quality score for the domain</w:t>
      </w:r>
    </w:p>
    <w:p>
      <w:pPr>
        <w:pStyle w:val="ListParagraph"/>
        <w:numPr>
          <w:ilvl w:val="0"/>
          <w:numId w:val="2"/>
        </w:numPr>
        <w:spacing w:after="80"/>
      </w:pPr>
      <w:r>
        <w:rPr>
          <w:rFonts w:ascii="Arial" w:cs="Arial" w:eastAsia="Arial" w:hAnsi="Arial"/>
          <w:color w:val="404040"/>
          <w:sz w:val="22"/>
          <w:szCs w:val="22"/>
        </w:rPr>
        <w:t xml:space="preserve">wtₖ = priority weight of check k (1.0, 0.7, or 0.3)</w:t>
      </w:r>
    </w:p>
    <w:p>
      <w:pPr>
        <w:pStyle w:val="ListParagraph"/>
        <w:numPr>
          <w:ilvl w:val="0"/>
          <w:numId w:val="2"/>
        </w:numPr>
        <w:spacing w:after="80"/>
      </w:pPr>
      <w:r>
        <w:rPr>
          <w:rFonts w:ascii="Arial" w:cs="Arial" w:eastAsia="Arial" w:hAnsi="Arial"/>
          <w:color w:val="404040"/>
          <w:sz w:val="22"/>
          <w:szCs w:val="22"/>
        </w:rPr>
        <w:t xml:space="preserve">Scoreₖ = result of check k</w:t>
      </w:r>
    </w:p>
    <w:p>
      <w:pPr>
        <w:pStyle w:val="ListParagraph"/>
        <w:numPr>
          <w:ilvl w:val="0"/>
          <w:numId w:val="2"/>
        </w:numPr>
        <w:spacing w:after="80"/>
      </w:pPr>
      <w:r>
        <w:rPr>
          <w:rFonts w:ascii="Arial" w:cs="Arial" w:eastAsia="Arial" w:hAnsi="Arial"/>
          <w:color w:val="404040"/>
          <w:sz w:val="22"/>
          <w:szCs w:val="22"/>
        </w:rPr>
        <w:t xml:space="preserve">MaxScoreₖ = maximum possible score for check k</w:t>
      </w:r>
    </w:p>
    <w:p>
      <w:pPr>
        <w:spacing w:after="100"/>
      </w:pPr>
      <w:r>
        <w:t xml:space="preserve"/>
      </w:r>
    </w:p>
    <w:p>
      <w:pPr>
        <w:pStyle w:val="Heading2"/>
      </w:pPr>
      <w:r>
        <w:rPr>
          <w:rFonts w:ascii="Arial" w:cs="Arial" w:eastAsia="Arial" w:hAnsi="Arial"/>
          <w:b/>
          <w:bCs/>
          <w:color w:val="2E75B6"/>
          <w:sz w:val="28"/>
          <w:szCs w:val="28"/>
        </w:rPr>
        <w:t xml:space="preserve">Overall Readiness Score</w:t>
      </w:r>
    </w:p>
    <w:p>
      <w:pPr>
        <w:spacing w:after="160"/>
      </w:pPr>
      <w:r>
        <w:rPr>
          <w:rFonts w:ascii="Courier New" w:cs="Courier New" w:eastAsia="Courier New" w:hAnsi="Courier New"/>
          <w:b/>
          <w:bCs/>
          <w:color w:val="2E75B6"/>
          <w:sz w:val="24"/>
          <w:szCs w:val="24"/>
        </w:rPr>
        <w:t xml:space="preserve">DQₜₒₜ = Σ [ prᴰ × DQᴰ ]</w:t>
      </w:r>
    </w:p>
    <w:p>
      <w:pPr>
        <w:pStyle w:val="ListParagraph"/>
        <w:numPr>
          <w:ilvl w:val="0"/>
          <w:numId w:val="2"/>
        </w:numPr>
        <w:spacing w:after="80"/>
      </w:pPr>
      <w:r>
        <w:rPr>
          <w:rFonts w:ascii="Arial" w:cs="Arial" w:eastAsia="Arial" w:hAnsi="Arial"/>
          <w:color w:val="404040"/>
          <w:sz w:val="22"/>
          <w:szCs w:val="22"/>
        </w:rPr>
        <w:t xml:space="preserve">prᴰ = priority weight assigned to domain D</w:t>
      </w:r>
    </w:p>
    <w:p>
      <w:pPr>
        <w:pStyle w:val="ListParagraph"/>
        <w:numPr>
          <w:ilvl w:val="0"/>
          <w:numId w:val="2"/>
        </w:numPr>
        <w:spacing w:after="80"/>
      </w:pPr>
      <w:r>
        <w:rPr>
          <w:rFonts w:ascii="Arial" w:cs="Arial" w:eastAsia="Arial" w:hAnsi="Arial"/>
          <w:color w:val="404040"/>
          <w:sz w:val="22"/>
          <w:szCs w:val="22"/>
        </w:rPr>
        <w:t xml:space="preserve">Domain weights may be varied by use case context</w:t>
      </w:r>
    </w:p>
    <w:p>
      <w:pPr>
        <w:spacing w:after="100"/>
      </w:pPr>
      <w:r>
        <w:t xml:space="preserve"/>
      </w:r>
    </w:p>
    <w:p>
      <w:pPr>
        <w:pStyle w:val="Heading1"/>
      </w:pPr>
      <w:r>
        <w:rPr>
          <w:rFonts w:ascii="Arial" w:cs="Arial" w:eastAsia="Arial" w:hAnsi="Arial"/>
          <w:b/>
          <w:bCs/>
          <w:color w:val="1F4E79"/>
          <w:sz w:val="36"/>
          <w:szCs w:val="36"/>
        </w:rPr>
        <w:t xml:space="preserve">8. Fit-for-Purpose Evaluation (Use-Case Level)</w:t>
      </w:r>
    </w:p>
    <w:p>
      <w:pPr>
        <w:spacing w:after="160"/>
      </w:pPr>
      <w:r>
        <w:rPr>
          <w:rFonts w:ascii="Arial" w:cs="Arial" w:eastAsia="Arial" w:hAnsi="Arial"/>
          <w:b w:val="false"/>
          <w:bCs w:val="false"/>
          <w:i w:val="false"/>
          <w:iCs w:val="false"/>
          <w:color w:val="404040"/>
          <w:sz w:val="22"/>
          <w:szCs w:val="22"/>
        </w:rPr>
        <w:t xml:space="preserve">Fit-for-purpose is computed at the use-case level by aggregating the variable profiles of all required variables for that use case. A use case is blocked if one or more critical variables fall below their minimum thresholds.</w:t>
      </w:r>
    </w:p>
    <w:p>
      <w:pPr>
        <w:spacing w:after="160"/>
      </w:pPr>
      <w:r>
        <w:rPr>
          <w:rFonts w:ascii="Arial" w:cs="Arial" w:eastAsia="Arial" w:hAnsi="Arial"/>
          <w:b w:val="false"/>
          <w:bCs w:val="false"/>
          <w:i w:val="false"/>
          <w:iCs w:val="false"/>
          <w:color w:val="404040"/>
          <w:sz w:val="22"/>
          <w:szCs w:val="22"/>
        </w:rPr>
        <w:t xml:space="preserve">The use-case level evaluation metrics (layer6_* checks in the registry) are distinct from variable-level pipeline checks. They are not another pipeline layer — they are aggregation metrics that operate across the full variable set required by a use case and determine whether that use case is operationally viable.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Use Case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Status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Key Variable Blockers (Example)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Hypertension Risk Stratification</w:t>
            </w:r>
          </w:p>
        </w:tc>
        <w:tc>
          <w:tcPr>
            <w:tcW w:type="dxa" w:w="1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NOT READY → PARTIALLY READY</w:t>
            </w:r>
          </w:p>
        </w:tc>
        <w:tc>
          <w:tcPr>
            <w:tcW w:type="dxa" w:w="51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BP identity linkage, temporal coverage gaps, missing smoking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Diabetes Risk Stratification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NOT READY → PARTIALLY READY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temporal density below threshold, patient-device linkage gaps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Heart Failure Monitoring</w:t>
            </w:r>
          </w:p>
        </w:tc>
        <w:tc>
          <w:tcPr>
            <w:tcW w:type="dxa" w:w="1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PARTIALLY READY</w:t>
            </w:r>
          </w:p>
        </w:tc>
        <w:tc>
          <w:tcPr>
            <w:tcW w:type="dxa" w:w="51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Weight device feed integration, identity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Care Coordination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PARTIALLY READY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Multi-variable identity resolution, device feed integration</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VBC Reporting</w:t>
            </w:r>
          </w:p>
        </w:tc>
        <w:tc>
          <w:tcPr>
            <w:tcW w:type="dxa" w:w="1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NOT READY</w:t>
            </w:r>
          </w:p>
        </w:tc>
        <w:tc>
          <w:tcPr>
            <w:tcW w:type="dxa" w:w="51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Data completeness, denominator readiness, encounter data gaps</w:t>
            </w:r>
          </w:p>
        </w:tc>
      </w:tr>
    </w:tbl>
    <w:p>
      <w:pPr>
        <w:spacing w:after="100"/>
      </w:pPr>
      <w:r>
        <w:t xml:space="preserve"/>
      </w:r>
    </w:p>
    <w:p>
      <w:pPr>
        <w:pStyle w:val="Heading2"/>
      </w:pPr>
      <w:r>
        <w:rPr>
          <w:rFonts w:ascii="Arial" w:cs="Arial" w:eastAsia="Arial" w:hAnsi="Arial"/>
          <w:b/>
          <w:bCs/>
          <w:color w:val="2E75B6"/>
          <w:sz w:val="28"/>
          <w:szCs w:val="28"/>
        </w:rPr>
        <w:t xml:space="preserve">8.1 Condition Plug-in Architecture (R4)</w:t>
      </w:r>
    </w:p>
    <w:p>
      <w:pPr>
        <w:spacing w:after="160"/>
      </w:pPr>
      <w:r>
        <w:rPr>
          <w:rFonts w:ascii="Arial" w:cs="Arial" w:eastAsia="Arial" w:hAnsi="Arial"/>
          <w:b w:val="false"/>
          <w:bCs w:val="false"/>
          <w:i w:val="false"/>
          <w:iCs w:val="false"/>
          <w:color w:val="404040"/>
          <w:sz w:val="22"/>
          <w:szCs w:val="22"/>
        </w:rPr>
        <w:t xml:space="preserve">A condition plug-in is the mechanism by which the platform extends to a new clinical domain without modifying the check engine. Each condition plug-in is a Condition Module config file that conforms to the object model defined in the Architecture Specification (v1.2, April 2026).</w:t>
      </w:r>
    </w:p>
    <w:p>
      <w:pPr>
        <w:spacing w:after="100"/>
      </w:pPr>
      <w:r>
        <w:t xml:space="preserve"/>
      </w:r>
    </w:p>
    <w:p>
      <w:pPr>
        <w:spacing w:after="160"/>
      </w:pPr>
      <w:r>
        <w:rPr>
          <w:rFonts w:ascii="Arial" w:cs="Arial" w:eastAsia="Arial" w:hAnsi="Arial"/>
          <w:b w:val="false"/>
          <w:bCs w:val="false"/>
          <w:i w:val="false"/>
          <w:iCs w:val="false"/>
          <w:color w:val="404040"/>
          <w:sz w:val="22"/>
          <w:szCs w:val="22"/>
        </w:rPr>
        <w:t xml:space="preserve">A condition plug-in contains:</w:t>
      </w:r>
    </w:p>
    <w:p>
      <w:pPr>
        <w:pStyle w:val="ListParagraph"/>
        <w:numPr>
          <w:ilvl w:val="0"/>
          <w:numId w:val="2"/>
        </w:numPr>
        <w:spacing w:after="80"/>
      </w:pPr>
      <w:r>
        <w:rPr>
          <w:rFonts w:ascii="Arial" w:cs="Arial" w:eastAsia="Arial" w:hAnsi="Arial"/>
          <w:color w:val="404040"/>
          <w:sz w:val="22"/>
          <w:szCs w:val="22"/>
        </w:rPr>
        <w:t xml:space="preserve">One or more Use Case Specifications, each defining the population eligibility rules, required and optional variables, variable application rules (thresholds, recency, completeness), use-case computation logic, and output definition for that use case</w:t>
      </w:r>
    </w:p>
    <w:p>
      <w:pPr>
        <w:pStyle w:val="ListParagraph"/>
        <w:numPr>
          <w:ilvl w:val="0"/>
          <w:numId w:val="2"/>
        </w:numPr>
        <w:spacing w:after="80"/>
      </w:pPr>
      <w:r>
        <w:rPr>
          <w:rFonts w:ascii="Arial" w:cs="Arial" w:eastAsia="Arial" w:hAnsi="Arial"/>
          <w:color w:val="404040"/>
          <w:sz w:val="22"/>
          <w:szCs w:val="22"/>
        </w:rPr>
        <w:t xml:space="preserve">References to variables from the shared Variable Library — the plug-in does not redefine variables, it references them and specifies how they are applied within its use cases</w:t>
      </w:r>
    </w:p>
    <w:p>
      <w:pPr>
        <w:pStyle w:val="ListParagraph"/>
        <w:numPr>
          <w:ilvl w:val="0"/>
          <w:numId w:val="2"/>
        </w:numPr>
        <w:spacing w:after="80"/>
      </w:pPr>
      <w:r>
        <w:rPr>
          <w:rFonts w:ascii="Arial" w:cs="Arial" w:eastAsia="Arial" w:hAnsi="Arial"/>
          <w:color w:val="404040"/>
          <w:sz w:val="22"/>
          <w:szCs w:val="22"/>
        </w:rPr>
        <w:t xml:space="preserve">Condition-level metadata: condition name, description, relevant ICD-10 / SNOMED codes, clinical guidelines referenced, and value sets governing clinical interpretation</w:t>
      </w:r>
    </w:p>
    <w:p>
      <w:pPr>
        <w:pStyle w:val="ListParagraph"/>
        <w:numPr>
          <w:ilvl w:val="0"/>
          <w:numId w:val="2"/>
        </w:numPr>
        <w:spacing w:after="80"/>
      </w:pPr>
      <w:r>
        <w:rPr>
          <w:rFonts w:ascii="Arial" w:cs="Arial" w:eastAsia="Arial" w:hAnsi="Arial"/>
          <w:color w:val="404040"/>
          <w:sz w:val="22"/>
          <w:szCs w:val="22"/>
        </w:rPr>
        <w:t xml:space="preserve">Priority weights for each variable check within the condition context — the same check can have different weights in different conditions</w:t>
      </w:r>
    </w:p>
    <w:p>
      <w:pPr>
        <w:spacing w:after="100"/>
      </w:pPr>
      <w:r>
        <w:t xml:space="preserve"/>
      </w:r>
    </w:p>
    <w:p>
      <w:pPr>
        <w:spacing w:after="160"/>
      </w:pPr>
      <w:r>
        <w:rPr>
          <w:rFonts w:ascii="Arial" w:cs="Arial" w:eastAsia="Arial" w:hAnsi="Arial"/>
          <w:b w:val="false"/>
          <w:bCs w:val="false"/>
          <w:i w:val="false"/>
          <w:iCs w:val="false"/>
          <w:color w:val="404040"/>
          <w:sz w:val="22"/>
          <w:szCs w:val="22"/>
        </w:rPr>
        <w:t xml:space="preserve">A condition plug-in is valid when:</w:t>
      </w:r>
    </w:p>
    <w:p>
      <w:pPr>
        <w:pStyle w:val="ListParagraph"/>
        <w:numPr>
          <w:ilvl w:val="0"/>
          <w:numId w:val="2"/>
        </w:numPr>
        <w:spacing w:after="80"/>
      </w:pPr>
      <w:r>
        <w:rPr>
          <w:rFonts w:ascii="Arial" w:cs="Arial" w:eastAsia="Arial" w:hAnsi="Arial"/>
          <w:color w:val="404040"/>
          <w:sz w:val="22"/>
          <w:szCs w:val="22"/>
        </w:rPr>
        <w:t xml:space="preserve">It conforms to the condition module JSON schema (the machine-readable contract derived from the Architecture Specification)</w:t>
      </w:r>
    </w:p>
    <w:p>
      <w:pPr>
        <w:pStyle w:val="ListParagraph"/>
        <w:numPr>
          <w:ilvl w:val="0"/>
          <w:numId w:val="2"/>
        </w:numPr>
        <w:spacing w:after="80"/>
      </w:pPr>
      <w:r>
        <w:rPr>
          <w:rFonts w:ascii="Arial" w:cs="Arial" w:eastAsia="Arial" w:hAnsi="Arial"/>
          <w:color w:val="404040"/>
          <w:sz w:val="22"/>
          <w:szCs w:val="22"/>
        </w:rPr>
        <w:t xml:space="preserve">All referenced variables exist in the Variable Library</w:t>
      </w:r>
    </w:p>
    <w:p>
      <w:pPr>
        <w:pStyle w:val="ListParagraph"/>
        <w:numPr>
          <w:ilvl w:val="0"/>
          <w:numId w:val="2"/>
        </w:numPr>
        <w:spacing w:after="80"/>
      </w:pPr>
      <w:r>
        <w:rPr>
          <w:rFonts w:ascii="Arial" w:cs="Arial" w:eastAsia="Arial" w:hAnsi="Arial"/>
          <w:color w:val="404040"/>
          <w:sz w:val="22"/>
          <w:szCs w:val="22"/>
        </w:rPr>
        <w:t xml:space="preserve">All referenced check names exist in the check registry</w:t>
      </w:r>
    </w:p>
    <w:p>
      <w:pPr>
        <w:pStyle w:val="ListParagraph"/>
        <w:numPr>
          <w:ilvl w:val="0"/>
          <w:numId w:val="2"/>
        </w:numPr>
        <w:spacing w:after="80"/>
      </w:pPr>
      <w:r>
        <w:rPr>
          <w:rFonts w:ascii="Arial" w:cs="Arial" w:eastAsia="Arial" w:hAnsi="Arial"/>
          <w:color w:val="404040"/>
          <w:sz w:val="22"/>
          <w:szCs w:val="22"/>
        </w:rPr>
        <w:t xml:space="preserve">All Use Case Specifications contain required subsections: population_definition, variables, variable_application_rules, computation_logic, output_definition</w:t>
      </w:r>
    </w:p>
    <w:p>
      <w:pPr>
        <w:pStyle w:val="ListParagraph"/>
        <w:numPr>
          <w:ilvl w:val="0"/>
          <w:numId w:val="2"/>
        </w:numPr>
        <w:spacing w:after="80"/>
      </w:pPr>
      <w:r>
        <w:rPr>
          <w:rFonts w:ascii="Arial" w:cs="Arial" w:eastAsia="Arial" w:hAnsi="Arial"/>
          <w:color w:val="404040"/>
          <w:sz w:val="22"/>
          <w:szCs w:val="22"/>
        </w:rPr>
        <w:t xml:space="preserve">It has been reviewed and approved through the governance process defined in the Operational Governance Framework</w:t>
      </w:r>
    </w:p>
    <w:p>
      <w:pPr>
        <w:spacing w:after="100"/>
      </w:pPr>
      <w:r>
        <w:t xml:space="preserve"/>
      </w:r>
    </w:p>
    <w:p>
      <w:pPr>
        <w:spacing w:after="160"/>
      </w:pPr>
      <w:r>
        <w:rPr>
          <w:rFonts w:ascii="Arial" w:cs="Arial" w:eastAsia="Arial" w:hAnsi="Arial"/>
          <w:b w:val="false"/>
          <w:bCs w:val="false"/>
          <w:i w:val="false"/>
          <w:iCs w:val="false"/>
          <w:color w:val="404040"/>
          <w:sz w:val="22"/>
          <w:szCs w:val="22"/>
        </w:rPr>
        <w:t xml:space="preserve">At runtime, the engine loads condition plug-ins from the database (populated from config files at startup) and processes them without condition-specific code. Adding a new condition plug-in requires no engine changes.</w:t>
      </w:r>
    </w:p>
    <w:p>
      <w:pPr>
        <w:spacing w:after="100"/>
      </w:pPr>
      <w:r>
        <w:t xml:space="preserve"/>
      </w:r>
    </w:p>
    <w:tbl>
      <w:tblPr>
        <w:tblW w:type="dxa" w:w="9360"/>
        <w:tblBorders>
          <w:top w:val="single" w:color="CCCCCC" w:sz="1"/>
          <w:left w:val="single" w:color="2E75B6" w:sz="12"/>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20"/>
            </w:tcMar>
          </w:tcPr>
          <w:p>
            <w:pPr>
              <w:spacing w:after="0"/>
            </w:pPr>
            <w:r>
              <w:rPr>
                <w:rFonts w:ascii="Arial" w:cs="Arial" w:eastAsia="Arial" w:hAnsi="Arial"/>
                <w:i/>
                <w:iCs/>
                <w:color w:val="404040"/>
                <w:sz w:val="22"/>
                <w:szCs w:val="22"/>
              </w:rPr>
              <w:t xml:space="preserve">The diabetes condition plug-in is the first. Hypertension and heart failure are scoped as subsequent plug-ins. The condition module JSON schema — the formal schema that plug-in config files must validate against — is an immediate prerequisite before the conditions/ directory is populated. See Build Plan (April 2026), Step 7.</w:t>
            </w:r>
          </w:p>
        </w:tc>
      </w:tr>
    </w:tbl>
    <w:p>
      <w:pPr>
        <w:spacing w:after="100"/>
      </w:pPr>
      <w:r>
        <w:t xml:space="preserve"/>
      </w:r>
    </w:p>
    <w:p>
      <w:pPr>
        <w:pStyle w:val="Heading1"/>
      </w:pPr>
      <w:r>
        <w:rPr>
          <w:rFonts w:ascii="Arial" w:cs="Arial" w:eastAsia="Arial" w:hAnsi="Arial"/>
          <w:b/>
          <w:bCs/>
          <w:color w:val="1F4E79"/>
          <w:sz w:val="36"/>
          <w:szCs w:val="36"/>
        </w:rPr>
        <w:t xml:space="preserve">9. Device-Specific Check Registry</w:t>
      </w:r>
    </w:p>
    <w:p>
      <w:pPr>
        <w:spacing w:after="160"/>
      </w:pPr>
      <w:r>
        <w:rPr>
          <w:rFonts w:ascii="Arial" w:cs="Arial" w:eastAsia="Arial" w:hAnsi="Arial"/>
          <w:b w:val="false"/>
          <w:bCs w:val="false"/>
          <w:i w:val="false"/>
          <w:iCs w:val="false"/>
          <w:color w:val="404040"/>
          <w:sz w:val="22"/>
          <w:szCs w:val="22"/>
        </w:rPr>
        <w:t xml:space="preserve">Device variables (CGM glucose, connected weight scale, home BP cuff) use the same variable-level evaluation framework as EHR data but require additional checks specific to time series data. These checks are defined in full in the companion Device Data Model &amp; Readiness Extension document. The table below summarizes the device check registry for reference.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000"/>
        <w:gridCol w:w="1000"/>
        <w:gridCol w:w="1000"/>
        <w:gridCol w:w="36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 Name (Short)</w:t>
            </w:r>
          </w:p>
        </w:tc>
        <w:tc>
          <w:tcPr>
            <w:tcW w:type="dxa" w:w="7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check_scope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Applies To</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Dimension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Category</w:t>
            </w:r>
          </w:p>
        </w:tc>
        <w:tc>
          <w:tcPr>
            <w:tcW w:type="dxa" w:w="36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device_ingestion_completeness</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Scale, BP cuff</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Conformance</w:t>
            </w:r>
          </w:p>
        </w:tc>
        <w:tc>
          <w:tcPr>
            <w:tcW w:type="dxa" w:w="36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 data records meet not-null requirements for all required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device_timestamp_normalization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Scale, BP cuff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Conformance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UTC and local timestamps are present and correctly parsed; timezone normalization is applied</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device_unit_normalization</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Scale, BP cuff</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Conformance</w:t>
            </w:r>
          </w:p>
        </w:tc>
        <w:tc>
          <w:tcPr>
            <w:tcW w:type="dxa" w:w="36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Measurement values are normalized to standard units (mmol/L or mg/dL, kg or lbs, mmHg)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device_patient_linkage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Scale, BP cuff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Multiple Snapshots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Interoperability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 records are reliably linked to the correct patient across sources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device_duplicate_detection</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Scale, BP cuff</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Multiple Snapshots</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Completeness</w:t>
            </w:r>
          </w:p>
        </w:tc>
        <w:tc>
          <w:tcPr>
            <w:tcW w:type="dxa" w:w="36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Duplicate records from overlapping device feeds are detected and removed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device_plausibility_range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Scale, BP cuff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Plausibility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Values fall within expected physiologic ranges for the measurement type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device_temporal_density</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 Scale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Over Time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Persistence</w:t>
            </w:r>
          </w:p>
        </w:tc>
        <w:tc>
          <w:tcPr>
            <w:tcW w:type="dxa" w:w="36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 of expected readings present over a defined window meets minimum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device_timestamp_monotonic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Over 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Concordance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Timestamps are monotonically increasing within a patient session (no out-of-order readings)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device_timezone_alignment</w:t>
            </w:r>
          </w:p>
        </w:tc>
        <w:tc>
          <w:tcPr>
            <w:tcW w:type="dxa" w:w="7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Over Time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Concordance</w:t>
            </w:r>
          </w:p>
        </w:tc>
        <w:tc>
          <w:tcPr>
            <w:tcW w:type="dxa" w:w="36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UTC and local timestamps are consistent; timezone offsets are applied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device_derived_metric_consistency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CGM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Single Snapshot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Concordance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Derived metrics (TIR, GMI, variability) are recomputed from raw data and consistent across manufacturers</w:t>
            </w:r>
          </w:p>
        </w:tc>
      </w:tr>
    </w:tbl>
    <w:p>
      <w:pPr>
        <w:spacing w:after="100"/>
      </w:pPr>
      <w:r>
        <w:t xml:space="preserve"/>
      </w:r>
    </w:p>
    <w:p>
      <w:pPr>
        <w:spacing w:after="160"/>
      </w:pPr>
      <w:r>
        <w:rPr>
          <w:rFonts w:ascii="Arial" w:cs="Arial" w:eastAsia="Arial" w:hAnsi="Arial"/>
          <w:b w:val="false"/>
          <w:bCs w:val="false"/>
          <w:i w:val="false"/>
          <w:iCs w:val="false"/>
          <w:color w:val="404040"/>
          <w:sz w:val="22"/>
          <w:szCs w:val="22"/>
        </w:rPr>
        <w:t xml:space="preserve">Device checks integrate seamlessly with EHR checks and are evaluated within the same variable-level scoring model. Device check results feed into variable profiles alongside EHR checks, and those profiles feed into use-case fitness evaluation in the same way.</w:t>
      </w:r>
    </w:p>
    <w:p>
      <w:pPr>
        <w:spacing w:after="160"/>
      </w:pPr>
      <w:r>
        <w:rPr>
          <w:rFonts w:ascii="Arial" w:cs="Arial" w:eastAsia="Arial" w:hAnsi="Arial"/>
          <w:b w:val="false"/>
          <w:bCs w:val="false"/>
          <w:i w:val="false"/>
          <w:iCs w:val="false"/>
          <w:color w:val="404040"/>
          <w:sz w:val="22"/>
          <w:szCs w:val="22"/>
        </w:rPr>
        <w:t xml:space="preserve">Derived metrics such as TIR and GMI are computed outputs of the raw device data — they are not used as input variables for readiness evaluation. Their validity depends on the underlying variable passing temporal density, plausibility, and concordance checks first.</w:t>
      </w:r>
    </w:p>
    <w:p>
      <w:pPr>
        <w:spacing w:after="100"/>
      </w:pPr>
      <w:r>
        <w:t xml:space="preserve"/>
      </w:r>
    </w:p>
    <w:p>
      <w:pPr>
        <w:pStyle w:val="Heading1"/>
      </w:pPr>
      <w:r>
        <w:rPr>
          <w:rFonts w:ascii="Arial" w:cs="Arial" w:eastAsia="Arial" w:hAnsi="Arial"/>
          <w:b/>
          <w:bCs/>
          <w:color w:val="1F4E79"/>
          <w:sz w:val="36"/>
          <w:szCs w:val="36"/>
        </w:rPr>
        <w:t xml:space="preserve">10. Progressive Disclosure Model</w:t>
      </w:r>
    </w:p>
    <w:p>
      <w:pPr>
        <w:spacing w:after="160"/>
      </w:pPr>
      <w:r>
        <w:rPr>
          <w:rFonts w:ascii="Arial" w:cs="Arial" w:eastAsia="Arial" w:hAnsi="Arial"/>
          <w:b w:val="false"/>
          <w:bCs w:val="false"/>
          <w:i w:val="false"/>
          <w:iCs w:val="false"/>
          <w:color w:val="404040"/>
          <w:sz w:val="22"/>
          <w:szCs w:val="22"/>
        </w:rPr>
        <w:t xml:space="preserve">The scoring architecture supports three levels of output detail:</w:t>
      </w:r>
    </w:p>
    <w:p>
      <w:pPr>
        <w:pStyle w:val="ListParagraph"/>
        <w:numPr>
          <w:ilvl w:val="0"/>
          <w:numId w:val="2"/>
        </w:numPr>
        <w:spacing w:after="80"/>
      </w:pPr>
      <w:r>
        <w:rPr>
          <w:rFonts w:ascii="Arial" w:cs="Arial" w:eastAsia="Arial" w:hAnsi="Arial"/>
          <w:color w:val="404040"/>
          <w:sz w:val="22"/>
          <w:szCs w:val="22"/>
        </w:rPr>
        <w:t xml:space="preserve">Use-case readiness status (Ready / Partially Ready / Not Ready) — for clinical and operational audiences</w:t>
      </w:r>
    </w:p>
    <w:p>
      <w:pPr>
        <w:pStyle w:val="ListParagraph"/>
        <w:numPr>
          <w:ilvl w:val="0"/>
          <w:numId w:val="2"/>
        </w:numPr>
        <w:spacing w:after="80"/>
      </w:pPr>
      <w:r>
        <w:rPr>
          <w:rFonts w:ascii="Arial" w:cs="Arial" w:eastAsia="Arial" w:hAnsi="Arial"/>
          <w:color w:val="404040"/>
          <w:sz w:val="22"/>
          <w:szCs w:val="22"/>
        </w:rPr>
        <w:t xml:space="preserve">Variable scores and domain breakdown — for program managers</w:t>
      </w:r>
    </w:p>
    <w:p>
      <w:pPr>
        <w:pStyle w:val="ListParagraph"/>
        <w:numPr>
          <w:ilvl w:val="0"/>
          <w:numId w:val="2"/>
        </w:numPr>
        <w:spacing w:after="80"/>
      </w:pPr>
      <w:r>
        <w:rPr>
          <w:rFonts w:ascii="Arial" w:cs="Arial" w:eastAsia="Arial" w:hAnsi="Arial"/>
          <w:color w:val="404040"/>
          <w:sz w:val="22"/>
          <w:szCs w:val="22"/>
        </w:rPr>
        <w:t xml:space="preserve">Individual check results and remediation steps — for data infrastructure teams</w:t>
      </w:r>
    </w:p>
    <w:p>
      <w:pPr>
        <w:spacing w:after="100"/>
      </w:pPr>
      <w:r>
        <w:t xml:space="preserve"/>
      </w:r>
    </w:p>
    <w:p>
      <w:pPr>
        <w:spacing w:after="160"/>
      </w:pPr>
      <w:r>
        <w:rPr>
          <w:rFonts w:ascii="Arial" w:cs="Arial" w:eastAsia="Arial" w:hAnsi="Arial"/>
          <w:b w:val="false"/>
          <w:bCs w:val="false"/>
          <w:i w:val="false"/>
          <w:iCs w:val="false"/>
          <w:color w:val="404040"/>
          <w:sz w:val="22"/>
          <w:szCs w:val="22"/>
        </w:rPr>
        <w:t xml:space="preserve">Agentic AI capabilities may support automated remediation summary generation from failed check patterns. This is a planned future capability. See Agentic Layer Architecture document for the full agentic backend specification.</w:t>
      </w:r>
    </w:p>
    <w:p>
      <w:pPr>
        <w:spacing w:after="100"/>
      </w:pPr>
      <w:r>
        <w:t xml:space="preserve"/>
      </w:r>
    </w:p>
    <w:p>
      <w:pPr>
        <w:pStyle w:val="Heading1"/>
      </w:pPr>
      <w:r>
        <w:rPr>
          <w:rFonts w:ascii="Arial" w:cs="Arial" w:eastAsia="Arial" w:hAnsi="Arial"/>
          <w:b/>
          <w:bCs/>
          <w:color w:val="1F4E79"/>
          <w:sz w:val="36"/>
          <w:szCs w:val="36"/>
        </w:rPr>
        <w:t xml:space="preserve">11. Open Questions and Deferred Items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Item</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Status</w:t>
            </w:r>
          </w:p>
        </w:tc>
        <w:tc>
          <w:tcPr>
            <w:tcW w:type="dxa" w:w="5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80"/>
            </w:tcMar>
          </w:tcPr>
          <w:p>
            <w:pPr>
              <w:spacing w:after="0"/>
            </w:pPr>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Final variable requirements per use case (critical vs. supplementary)</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Deferred</w:t>
            </w:r>
          </w:p>
        </w:tc>
        <w:tc>
          <w:tcPr>
            <w:tcW w:type="dxa" w:w="55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Defined per condition plug-in by clinical collaborators. Diabetes module: alignment with Hanieh Razzaghi (CHOP) in 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Minimum readiness thresholds per variable per use case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Deferred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Defined in Use Case Specification variable_application_rules within each condition plug-in.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Domain priority weights by operational context</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Deferred</w:t>
            </w:r>
          </w:p>
        </w:tc>
        <w:tc>
          <w:tcPr>
            <w:tcW w:type="dxa" w:w="55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Configurable per condition module. Default weights defined here in Section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Scope of use-case level evaluation metrics beyond risk stratification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Deferred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layer6_* checks to be expanded as each condition plug-in is authored.</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Temporal density thresholds for device variables by use case</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Deferred</w:t>
            </w:r>
          </w:p>
        </w:tc>
        <w:tc>
          <w:tcPr>
            <w:tcW w:type="dxa" w:w="55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14-day / 70% is the default for CGM-based diabetes risk stratification. Other use cases defined per plug-in.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Condition module JSON schema (machine-readable)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Immediate — Step 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Must be defined before conditions/ directory is populated. Governs all condition plug-in config files. Derived from Architecture Specification v1.2 object model.</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Technical Specification R1 / R4 additions</w:t>
            </w:r>
          </w:p>
        </w:tc>
        <w:tc>
          <w:tcPr>
            <w:tcW w:type="dxa" w:w="100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Resolved</w:t>
            </w:r>
          </w:p>
        </w:tc>
        <w:tc>
          <w:tcPr>
            <w:tcW w:type="dxa" w:w="5560"/>
            <w:tcBorders>
              <w:top w:val="single" w:color="CCCCCC" w:sz="1"/>
              <w:left w:val="single" w:color="CCCCCC" w:sz="1"/>
              <w:bottom w:val="single" w:color="CCCCCC" w:sz="1"/>
              <w:right w:val="single" w:color="CCCCCC" w:sz="1"/>
            </w:tcBorders>
            <w:shd w:fill="F7FAFD" w:val="clear"/>
            <w:tcMar>
              <w:top w:type="dxa" w:w="80"/>
              <w:left w:type="dxa" w:w="100"/>
              <w:bottom w:type="dxa" w:w="80"/>
              <w:right w:type="dxa" w:w="80"/>
            </w:tcMar>
          </w:tcPr>
          <w:p>
            <w:pPr>
              <w:spacing w:after="0"/>
            </w:pPr>
            <w:r>
              <w:rPr>
                <w:rFonts w:ascii="Arial" w:cs="Arial" w:eastAsia="Arial" w:hAnsi="Arial"/>
                <w:b w:val="false"/>
                <w:bCs w:val="false"/>
                <w:color w:val="404040"/>
                <w:sz w:val="19"/>
                <w:szCs w:val="19"/>
              </w:rPr>
              <w:t xml:space="preserve">R1 (TA-agnostic design principles) added as Section 1.1. R4 (condition plug-in definition) added as Section 8.1.</w:t>
            </w:r>
          </w:p>
        </w:tc>
      </w:tr>
    </w:tbl>
    <w:p>
      <w:pPr>
        <w:spacing w:after="100"/>
      </w:pPr>
      <w:r>
        <w:t xml:space="preserve"/>
      </w:r>
    </w:p>
    <w:p>
      <w:pPr>
        <w:spacing w:after="100"/>
      </w:pPr>
      <w:r>
        <w:t xml:space="preserve"/>
      </w:r>
    </w:p>
    <w:p>
      <w:pPr>
        <w:pBdr>
          <w:bottom w:val="single" w:color="2E75B6" w:sz="6" w:space="1"/>
        </w:pBdr>
        <w:spacing w:after="200"/>
      </w:pPr>
      <w:r>
        <w:t xml:space="preserve"/>
      </w:r>
    </w:p>
    <w:p>
      <w:pPr>
        <w:spacing w:before="240"/>
        <w:jc w:val="center"/>
      </w:pPr>
      <w:r>
        <w:rPr>
          <w:rFonts w:ascii="Arial" w:cs="Arial" w:eastAsia="Arial" w:hAnsi="Arial"/>
          <w:i/>
          <w:iCs/>
          <w:color w:val="2E75B6"/>
          <w:sz w:val="18"/>
          <w:szCs w:val="18"/>
        </w:rPr>
        <w:t xml:space="preserve">Oros — Shared infrastructure for data-driven care  —  oros.ai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2E75B6"/>
        <w:sz w:val="18"/>
        <w:szCs w:val="18"/>
      </w:rPr>
      <w:t xml:space="preserve">Oros — Confidential</w:t>
    </w:r>
    <w:r>
      <w:rPr>
        <w:rFonts w:ascii="Arial" w:cs="Arial" w:eastAsia="Arial" w:hAnsi="Arial"/>
        <w:sz w:val="18"/>
        <w:szCs w:val="18"/>
      </w:rPr>
      <w:t xml:space="preserv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i/>
        <w:iCs/>
        <w:color w:val="2E75B6"/>
        <w:sz w:val="18"/>
        <w:szCs w:val="18"/>
      </w:rPr>
      <w:t xml:space="preserve">Oros CKM Data Readiness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2026-04-18T15:36:40.296Z</dcterms:created>
  <dcterms:modified xsi:type="dcterms:W3CDTF">2026-04-18T15:36:40.297Z</dcterms:modified>
</cp:coreProperties>
</file>

<file path=docProps/custom.xml><?xml version="1.0" encoding="utf-8"?>
<Properties xmlns="http://schemas.openxmlformats.org/officeDocument/2006/custom-properties" xmlns:vt="http://schemas.openxmlformats.org/officeDocument/2006/docPropsVTypes"/>
</file>