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CKM Data Readiness — Baseline Methodology</w:t>
      </w:r>
    </w:p>
    <w:p>
      <w:pPr>
        <w:spacing w:after="160"/>
      </w:pPr>
      <w:r>
        <w:rPr>
          <w:color w:val="555555"/>
          <w:sz w:val="24"/>
          <w:szCs w:val="24"/>
        </w:rPr>
        <w:t xml:space="preserve">Internal Conceptual Reference</w:t>
      </w:r>
    </w:p>
    <w:p>
      <w:pPr>
        <w:spacing w:after="80"/>
      </w:pPr>
      <w:r>
        <w:t xml:space="preserve"/>
      </w:r>
    </w:p>
    <w:p>
      <w:pPr>
        <w:spacing w:after="100"/>
      </w:pPr>
      <w:r>
        <w:t xml:space="preserve">This document defines the conceptual anchor for the CKM Data Readiness methodology. It is the source of truth for how the methodology is structured and should be used to evaluate consistency across all other documents and the POC demo.</w:t>
      </w:r>
    </w:p>
    <w:p>
      <w:pPr>
        <w:spacing w:after="80"/>
      </w:pPr>
      <w:r>
        <w:t xml:space="preserve"/>
      </w:r>
    </w:p>
    <w:p>
      <w:pPr>
        <w:pStyle w:val="Heading2"/>
      </w:pPr>
      <w:r>
        <w:t xml:space="preserve">Core Model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2E5F9E" w:sz="4"/>
              <w:left w:val="single" w:color="2E5F9E" w:sz="4"/>
              <w:bottom w:val="none" w:color="2E5F9E" w:sz="0"/>
              <w:right w:val="single" w:color="2E5F9E" w:sz="4"/>
            </w:tcBorders>
            <w:shd w:fill="2E5F9E" w:val="clear"/>
            <w:tcMar>
              <w:top w:type="dxa" w:w="100"/>
              <w:left w:type="dxa" w:w="140"/>
              <w:bottom w:type="dxa" w:w="80"/>
              <w:right w:type="dxa" w:w="140"/>
            </w:tcMar>
          </w:tcPr>
          <w:p>
            <w:r>
              <w:rPr>
                <w:b/>
                <w:bCs/>
                <w:color w:val="FFFFFF"/>
                <w:sz w:val="20"/>
                <w:szCs w:val="20"/>
              </w:rPr>
              <w:t xml:space="preserve">1. Variable-Level Evaluation</w:t>
            </w:r>
          </w:p>
        </w:tc>
        <w:tc>
          <w:tcPr>
            <w:tcW w:type="dxa" w:w="3000"/>
            <w:tcBorders>
              <w:top w:val="single" w:color="2A7A6F" w:sz="4"/>
              <w:left w:val="single" w:color="2A7A6F" w:sz="4"/>
              <w:bottom w:val="none" w:color="2A7A6F" w:sz="0"/>
              <w:right w:val="single" w:color="2A7A6F" w:sz="4"/>
            </w:tcBorders>
            <w:shd w:fill="2A7A6F" w:val="clear"/>
            <w:tcMar>
              <w:top w:type="dxa" w:w="100"/>
              <w:left w:type="dxa" w:w="140"/>
              <w:bottom w:type="dxa" w:w="80"/>
              <w:right w:type="dxa" w:w="140"/>
            </w:tcMar>
          </w:tcPr>
          <w:p>
            <w:r>
              <w:rPr>
                <w:b/>
                <w:bCs/>
                <w:color w:val="FFFFFF"/>
                <w:sz w:val="20"/>
                <w:szCs w:val="20"/>
              </w:rPr>
              <w:t xml:space="preserve">2. Use-Case Evaluation</w:t>
            </w:r>
          </w:p>
        </w:tc>
        <w:tc>
          <w:tcPr>
            <w:tcW w:type="dxa" w:w="3360"/>
            <w:tcBorders>
              <w:top w:val="single" w:color="6A4CA0" w:sz="4"/>
              <w:left w:val="single" w:color="6A4CA0" w:sz="4"/>
              <w:bottom w:val="none" w:color="6A4CA0" w:sz="0"/>
              <w:right w:val="single" w:color="6A4CA0" w:sz="4"/>
            </w:tcBorders>
            <w:shd w:fill="6A4CA0" w:val="clear"/>
            <w:tcMar>
              <w:top w:type="dxa" w:w="100"/>
              <w:left w:type="dxa" w:w="140"/>
              <w:bottom w:type="dxa" w:w="80"/>
              <w:right w:type="dxa" w:w="140"/>
            </w:tcMar>
          </w:tcPr>
          <w:p>
            <w:r>
              <w:rPr>
                <w:b/>
                <w:bCs/>
                <w:color w:val="FFFFFF"/>
                <w:sz w:val="20"/>
                <w:szCs w:val="20"/>
              </w:rPr>
              <w:t xml:space="preserve">3. Remediation and Iteration</w:t>
            </w:r>
          </w:p>
        </w:tc>
      </w:tr>
      <w:tr>
        <w:tc>
          <w:tcPr>
            <w:tcW w:type="dxa" w:w="3000"/>
            <w:tcBorders>
              <w:top w:val="none" w:color="2E5F9E" w:sz="0"/>
              <w:left w:val="single" w:color="2E5F9E" w:sz="4"/>
              <w:bottom w:val="single" w:color="2E5F9E" w:sz="4"/>
              <w:right w:val="single" w:color="2E5F9E" w:sz="4"/>
            </w:tcBorders>
            <w:shd w:fill="EEF4FB" w:val="clear"/>
            <w:tcMar>
              <w:top w:type="dxa" w:w="80"/>
              <w:left w:type="dxa" w:w="140"/>
              <w:bottom w:type="dxa" w:w="100"/>
              <w:right w:type="dxa" w:w="140"/>
            </w:tcMar>
          </w:tcPr>
          <w:p>
            <w:pPr>
              <w:spacing w:after="50"/>
              <w:ind w:left="160" w:hanging="160"/>
            </w:pPr>
            <w:r>
              <w:rPr>
                <w:color w:val="333333"/>
                <w:sz w:val="19"/>
                <w:szCs w:val="19"/>
              </w:rPr>
              <w:t xml:space="preserve">•  Technical: ingestion, mapping, identity resolution</w:t>
            </w:r>
          </w:p>
          <w:p>
            <w:pPr>
              <w:spacing w:after="50"/>
              <w:ind w:left="160" w:hanging="160"/>
            </w:pPr>
            <w:r>
              <w:rPr>
                <w:color w:val="333333"/>
                <w:sz w:val="19"/>
                <w:szCs w:val="19"/>
              </w:rPr>
              <w:t xml:space="preserve">•  Readiness (plausibility, temporal consistency, concordance)</w:t>
            </w:r>
          </w:p>
        </w:tc>
        <w:tc>
          <w:tcPr>
            <w:tcW w:type="dxa" w:w="3000"/>
            <w:tcBorders>
              <w:top w:val="none" w:color="2A7A6F" w:sz="0"/>
              <w:left w:val="single" w:color="2A7A6F" w:sz="4"/>
              <w:bottom w:val="single" w:color="2A7A6F" w:sz="4"/>
              <w:right w:val="single" w:color="2A7A6F" w:sz="4"/>
            </w:tcBorders>
            <w:shd w:fill="EAF4F1" w:val="clear"/>
            <w:tcMar>
              <w:top w:type="dxa" w:w="80"/>
              <w:left w:type="dxa" w:w="140"/>
              <w:bottom w:type="dxa" w:w="100"/>
              <w:right w:type="dxa" w:w="140"/>
            </w:tcMar>
          </w:tcPr>
          <w:p>
            <w:pPr>
              <w:spacing w:after="50"/>
              <w:ind w:left="160" w:hanging="160"/>
            </w:pPr>
            <w:r>
              <w:rPr>
                <w:color w:val="333333"/>
                <w:sz w:val="19"/>
                <w:szCs w:val="19"/>
              </w:rPr>
              <w:t xml:space="preserve">•  Fit-for-purpose computed across required variables</w:t>
            </w:r>
          </w:p>
          <w:p>
            <w:pPr>
              <w:spacing w:after="50"/>
              <w:ind w:left="160" w:hanging="160"/>
            </w:pPr>
            <w:r>
              <w:rPr>
                <w:color w:val="333333"/>
                <w:sz w:val="19"/>
                <w:szCs w:val="19"/>
              </w:rPr>
              <w:t xml:space="preserve">•  Use case blocked if one or more critical variables are not ready</w:t>
            </w:r>
          </w:p>
        </w:tc>
        <w:tc>
          <w:tcPr>
            <w:tcW w:type="dxa" w:w="3360"/>
            <w:tcBorders>
              <w:top w:val="none" w:color="6A4CA0" w:sz="0"/>
              <w:left w:val="single" w:color="6A4CA0" w:sz="4"/>
              <w:bottom w:val="single" w:color="6A4CA0" w:sz="4"/>
              <w:right w:val="single" w:color="6A4CA0" w:sz="4"/>
            </w:tcBorders>
            <w:shd w:fill="F3EEF8" w:val="clear"/>
            <w:tcMar>
              <w:top w:type="dxa" w:w="80"/>
              <w:left w:type="dxa" w:w="140"/>
              <w:bottom w:type="dxa" w:w="100"/>
              <w:right w:type="dxa" w:w="140"/>
            </w:tcMar>
          </w:tcPr>
          <w:p>
            <w:pPr>
              <w:spacing w:after="50"/>
              <w:ind w:left="160" w:hanging="160"/>
            </w:pPr>
            <w:r>
              <w:rPr>
                <w:color w:val="333333"/>
                <w:sz w:val="19"/>
                <w:szCs w:val="19"/>
              </w:rPr>
              <w:t xml:space="preserve">•  Scoring identifies specific blockers</w:t>
            </w:r>
          </w:p>
          <w:p>
            <w:pPr>
              <w:spacing w:after="50"/>
              <w:ind w:left="160" w:hanging="160"/>
            </w:pPr>
            <w:r>
              <w:rPr>
                <w:color w:val="333333"/>
                <w:sz w:val="19"/>
                <w:szCs w:val="19"/>
              </w:rPr>
              <w:t xml:space="preserve">•  Remediation targets variables or pipeline steps</w:t>
            </w:r>
          </w:p>
          <w:p>
            <w:pPr>
              <w:spacing w:after="50"/>
              <w:ind w:left="160" w:hanging="160"/>
            </w:pPr>
            <w:r>
              <w:rPr>
                <w:color w:val="333333"/>
                <w:sz w:val="19"/>
                <w:szCs w:val="19"/>
              </w:rPr>
              <w:t xml:space="preserve">•  Capability unlocked after re-scoring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9E" w:sz="4"/>
              <w:left w:val="single" w:color="2E5F9E" w:sz="12"/>
              <w:bottom w:val="single" w:color="2E5F9E" w:sz="4"/>
              <w:right w:val="single" w:color="2E5F9E" w:sz="4"/>
            </w:tcBorders>
            <w:shd w:fill="EEF4FB" w:val="clear"/>
            <w:tcMar>
              <w:top w:type="dxa" w:w="120"/>
              <w:left w:type="dxa" w:w="200"/>
              <w:bottom w:type="dxa" w:w="120"/>
              <w:right w:type="dxa" w:w="200"/>
            </w:tcMar>
          </w:tcPr>
          <w:p>
            <w:r>
              <w:rPr>
                <w:b/>
                <w:bCs/>
                <w:color w:val="1F3864"/>
                <w:sz w:val="22"/>
                <w:szCs w:val="22"/>
              </w:rPr>
              <w:t xml:space="preserve">Data quality is always conditional on use. A variable is not simply ‘good’ or ‘bad’ — it is ready or not ready for a specific operational program.</w:t>
            </w:r>
          </w:p>
        </w:tc>
      </w:tr>
    </w:tbl>
    <w:p>
      <w:pPr>
        <w:spacing w:after="80"/>
      </w:pPr>
      <w:r>
        <w:t xml:space="preserve"/>
      </w:r>
    </w:p>
    <w:p>
      <w:pPr>
        <w:spacing w:after="100"/>
      </w:pPr>
      <w:r>
        <w:t xml:space="preserve">Device-derived data introduces additional evaluation requirements — temporal density, consistency, and reproducibility of derived metrics — that are assessed within the same variable-level and use-case framework.</w:t>
      </w:r>
    </w:p>
    <w:p>
      <w:pPr>
        <w:spacing w:after="80"/>
      </w:pPr>
      <w:r>
        <w:t xml:space="preserve"/>
      </w:r>
    </w:p>
    <w:p>
      <w:pPr>
        <w:pStyle w:val="Heading2"/>
      </w:pPr>
      <w:r>
        <w:t xml:space="preserve">Key Principles</w:t>
      </w:r>
    </w:p>
    <w:p>
      <w:pPr>
        <w:spacing w:after="80"/>
      </w:pPr>
      <w:r>
        <w:t xml:space="preserve"/>
      </w:r>
    </w:p>
    <w:p>
      <w:pPr>
        <w:spacing w:after="100"/>
      </w:pPr>
      <w:r>
        <w:rPr>
          <w:b/>
          <w:bCs/>
        </w:rPr>
        <w:t xml:space="preserve">Variable-level evaluation is the unit of assessment. </w:t>
      </w:r>
      <w:r>
        <w:t xml:space="preserve">Each clinical variable (e.g., blood pressure, CGM, weight) is evaluated independently across two dimensions: technical quality and clinical readiness.</w:t>
      </w:r>
    </w:p>
    <w:p>
      <w:pPr>
        <w:spacing w:after="80"/>
      </w:pPr>
      <w:r>
        <w:t xml:space="preserve"/>
      </w:r>
    </w:p>
    <w:p>
      <w:pPr>
        <w:spacing w:after="100"/>
      </w:pPr>
      <w:r>
        <w:rPr>
          <w:b/>
          <w:bCs/>
        </w:rPr>
        <w:t xml:space="preserve">Fit-for-purpose is computed at the use-case level. </w:t>
      </w:r>
      <w:r>
        <w:t xml:space="preserve">A use case depends on a set of required variables. Fitness is determined by whether the full variable set meets the threshold for the intended program — not by any single variable in isolation.</w:t>
      </w:r>
    </w:p>
    <w:p>
      <w:pPr>
        <w:spacing w:after="80"/>
      </w:pPr>
      <w:r>
        <w:t xml:space="preserve"/>
      </w:r>
    </w:p>
    <w:p>
      <w:pPr>
        <w:spacing w:after="100"/>
      </w:pPr>
      <w:r>
        <w:rPr>
          <w:b/>
          <w:bCs/>
        </w:rPr>
        <w:t xml:space="preserve">A use case can be blocked by one critical variable. </w:t>
      </w:r>
      <w:r>
        <w:t xml:space="preserve">Even if most required variables are ready, a single critical gap can prevent a use case from being operationally viable.</w:t>
      </w:r>
    </w:p>
    <w:p>
      <w:pPr>
        <w:spacing w:after="80"/>
      </w:pPr>
      <w:r>
        <w:t xml:space="preserve"/>
      </w:r>
    </w:p>
    <w:p>
      <w:pPr>
        <w:spacing w:after="100"/>
      </w:pPr>
      <w:r>
        <w:rPr>
          <w:b/>
          <w:bCs/>
        </w:rPr>
        <w:t xml:space="preserve">Remediation is specific and actionable. </w:t>
      </w:r>
      <w:r>
        <w:t xml:space="preserve">The methodology identifies which variable is causing the block, what is wrong with it technically or in terms of readiness, and what remediation step would address it.</w:t>
      </w:r>
    </w:p>
    <w:p>
      <w:pPr>
        <w:spacing w:after="80"/>
      </w:pPr>
      <w:r>
        <w:t xml:space="preserve"/>
      </w:r>
    </w:p>
    <w:p>
      <w:pPr>
        <w:spacing w:after="100"/>
      </w:pPr>
      <w:r>
        <w:rPr>
          <w:b/>
          <w:bCs/>
        </w:rPr>
        <w:t xml:space="preserve">Capability is unlocked iteratively. </w:t>
      </w:r>
      <w:r>
        <w:t xml:space="preserve">After remediation, variables are re-scored and use-case fitness is re-evaluated. The system shows explicitly what becomes possible once a gap is resolved.</w:t>
      </w:r>
    </w:p>
    <w:p>
      <w:pPr>
        <w:spacing w:after="80"/>
      </w:pPr>
      <w:r>
        <w:t xml:space="preserve"/>
      </w:r>
    </w:p>
    <w:p>
      <w:pPr>
        <w:pStyle w:val="Heading2"/>
      </w:pPr>
      <w:r>
        <w:t xml:space="preserve">Structural Constraints</w:t>
      </w:r>
    </w:p>
    <w:p>
      <w:pPr>
        <w:spacing w:after="100"/>
      </w:pPr>
      <w:r>
        <w:t xml:space="preserve">When applying this model, the following constraints must be maintained:</w:t>
      </w:r>
    </w:p>
    <w:p>
      <w:pPr>
        <w:pStyle w:val="ListParagraph"/>
        <w:numPr>
          <w:ilvl w:val="0"/>
          <w:numId w:val="2"/>
        </w:numPr>
      </w:pPr>
      <w:r>
        <w:t xml:space="preserve">Do not revert to a dual-layer model (technical pipeline vs. clinical readiness) as the primary organizing structure</w:t>
      </w:r>
    </w:p>
    <w:p>
      <w:pPr>
        <w:pStyle w:val="ListParagraph"/>
        <w:numPr>
          <w:ilvl w:val="0"/>
          <w:numId w:val="2"/>
        </w:numPr>
      </w:pPr>
      <w:r>
        <w:t xml:space="preserve">Do not lead with abstract scoring domains (e.g., Completeness, Plausibility) as the primary structure — these are implementation details, not the organizing principle</w:t>
      </w:r>
    </w:p>
    <w:p>
      <w:pPr>
        <w:pStyle w:val="ListParagraph"/>
        <w:numPr>
          <w:ilvl w:val="0"/>
          <w:numId w:val="2"/>
        </w:numPr>
      </w:pPr>
      <w:r>
        <w:t xml:space="preserve">Keep variable-level evaluation and use-case-level decision as the core structure in all documents and UI</w:t>
      </w:r>
    </w:p>
    <w:p>
      <w:pPr>
        <w:pStyle w:val="ListParagraph"/>
        <w:numPr>
          <w:ilvl w:val="0"/>
          <w:numId w:val="2"/>
        </w:numPr>
      </w:pPr>
      <w:r>
        <w:t xml:space="preserve">Prioritize operational clarity and concrete examples over methodological completeness</w:t>
      </w:r>
    </w:p>
    <w:p>
      <w:pPr>
        <w:spacing w:after="80"/>
      </w:pPr>
      <w:r>
        <w:t xml:space="preserve"/>
      </w:r>
    </w:p>
    <w:p>
      <w:pPr>
        <w:pStyle w:val="Heading2"/>
      </w:pPr>
      <w:r>
        <w:t xml:space="preserve">Relationship to Other Documents</w:t>
      </w:r>
    </w:p>
    <w:p>
      <w:pPr>
        <w:spacing w:after="100"/>
      </w:pPr>
      <w:r>
        <w:rPr>
          <w:b/>
          <w:bCs/>
        </w:rPr>
        <w:t xml:space="preserve">Methodology Architecture </w:t>
      </w:r>
      <w:r>
        <w:t xml:space="preserve">— the primary collaborator-facing document. Operationalizes this model with worked examples. 2–3 pages.</w:t>
      </w:r>
    </w:p>
    <w:p>
      <w:pPr>
        <w:spacing w:after="80"/>
      </w:pPr>
      <w:r>
        <w:t xml:space="preserve"/>
      </w:r>
    </w:p>
    <w:p>
      <w:pPr>
        <w:spacing w:after="100"/>
      </w:pPr>
      <w:r>
        <w:rPr>
          <w:b/>
          <w:bCs/>
        </w:rPr>
        <w:t xml:space="preserve">Technical Specification </w:t>
      </w:r>
      <w:r>
        <w:t xml:space="preserve">— the implementation reference. Contains the check registry, scoring formulas, priority weights, and variable tagging model. For data engineers and methodology reviewers.</w:t>
      </w:r>
    </w:p>
    <w:p>
      <w:pPr>
        <w:spacing w:after="80"/>
      </w:pPr>
      <w:r>
        <w:t xml:space="preserve"/>
      </w:r>
    </w:p>
    <w:p>
      <w:pPr>
        <w:spacing w:after="100"/>
      </w:pPr>
      <w:r>
        <w:rPr>
          <w:b/>
          <w:bCs/>
        </w:rPr>
        <w:t xml:space="preserve">Device Data Model &amp; Readiness Extension </w:t>
      </w:r>
      <w:r>
        <w:t xml:space="preserve">— defines the device-agnostic event model and device-specific readiness checks for CGM, scale, and BP cuff data.</w:t>
      </w:r>
    </w:p>
    <w:p>
      <w:pPr>
        <w:spacing w:after="80"/>
      </w:pPr>
      <w:r>
        <w:t xml:space="preserve"/>
      </w:r>
    </w:p>
    <w:p>
      <w:pPr>
        <w:spacing w:after="100"/>
      </w:pPr>
      <w:r>
        <w:rPr>
          <w:b/>
          <w:bCs/>
        </w:rPr>
        <w:t xml:space="preserve">Operational Care Model </w:t>
      </w:r>
      <w:r>
        <w:t xml:space="preserve">— describes how clinical teams act on readiness outputs. Connects variable-level signals to clinical workflows.</w:t>
      </w:r>
    </w:p>
    <w:p>
      <w:pPr>
        <w:spacing w:after="80"/>
      </w:pPr>
      <w:r>
        <w:t xml:space="preserve"/>
      </w:r>
    </w:p>
    <w:p>
      <w:pPr>
        <w:spacing w:after="100"/>
      </w:pPr>
      <w:r>
        <w:rPr>
          <w:b/>
          <w:bCs/>
        </w:rPr>
        <w:t xml:space="preserve">Governance Framework </w:t>
      </w:r>
      <w:r>
        <w:t xml:space="preserve">— defines which actors are responsible for remediation at each layer of the ecosystem.</w:t>
      </w:r>
    </w:p>
    <w:sectPr>
      <w:pgSz w:w="12240" w:h="15840" w:orient="portrait"/>
      <w:pgMar w:top="144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600" w:hanging="300"/>
      </w:pPr>
    </w:lvl>
  </w:abstractNum>
  <w:abstractNum w:abstractNumId="3" w15:restartNumberingAfterBreak="0">
    <w:multiLevelType w:val="hybridMultilevel"/>
    <w:lvl w:ilvl="0" w15:tentative="1">
      <w:start w:val="1"/>
      <w:numFmt w:val="bullet"/>
      <w:lvlText w:val="•"/>
      <w:lvlJc w:val="left"/>
      <w:pPr>
        <w:spacing w:after="60"/>
        <w:ind w:left="600" w:hanging="300"/>
      </w:pPr>
    </w:lvl>
  </w:abstractNum>
  <w:abstractNum w:abstractNumId="4" w15:restartNumberingAfterBreak="0">
    <w:multiLevelType w:val="hybridMultilevel"/>
    <w:lvl w:ilvl="0" w15:tentative="1">
      <w:start w:val="1"/>
      <w:numFmt w:val="bullet"/>
      <w:lvlText w:val="•"/>
      <w:lvlJc w:val="left"/>
      <w:pPr>
        <w:spacing w:after="60"/>
        <w:ind w:left="600" w:hanging="300"/>
      </w:pPr>
    </w:lvl>
  </w:abstractNum>
  <w:abstractNum w:abstractNumId="5" w15:restartNumberingAfterBreak="0">
    <w:multiLevelType w:val="hybridMultilevel"/>
    <w:lvl w:ilvl="0" w15:tentative="1">
      <w:start w:val="1"/>
      <w:numFmt w:val="decimal"/>
      <w:lvlText w:val="%1."/>
      <w:lvlJc w:val="left"/>
      <w:pPr>
        <w:spacing w:after="60"/>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5F9E"/>
      <w:sz w:val="26"/>
      <w:szCs w:val="26"/>
    </w:rPr>
  </w:style>
  <w:style w:type="paragraph" w:styleId="Heading3">
    <w:name w:val="Heading 3"/>
    <w:basedOn w:val="Normal"/>
    <w:next w:val="Normal"/>
    <w:qFormat/>
    <w:pPr>
      <w:spacing w:after="60" w:before="14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2026-03-30T14:09:50.163Z</dcterms:created>
  <dcterms:modified xsi:type="dcterms:W3CDTF">2026-03-30T14:09:50.163Z</dcterms:modified>
</cp:coreProperties>
</file>

<file path=docProps/custom.xml><?xml version="1.0" encoding="utf-8"?>
<Properties xmlns="http://schemas.openxmlformats.org/officeDocument/2006/custom-properties" xmlns:vt="http://schemas.openxmlformats.org/officeDocument/2006/docPropsVTypes"/>
</file>