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Methodology Architecture</w:t>
      </w:r>
    </w:p>
    <w:p>
      <w:pPr>
        <w:spacing w:after="160"/>
      </w:pPr>
      <w:r>
        <w:rPr>
          <w:color w:val="555555"/>
          <w:sz w:val="24"/>
          <w:szCs w:val="24"/>
        </w:rPr>
        <w:t xml:space="preserve">CKM Data Readiness Infrastructure Pilot</w:t>
      </w:r>
    </w:p>
    <w:p>
      <w:pPr>
        <w:spacing w:after="80"/>
      </w:pPr>
      <w:r>
        <w:t xml:space="preserve"/>
      </w:r>
    </w:p>
    <w:p>
      <w:pPr>
        <w:pStyle w:val="Heading2"/>
      </w:pPr>
      <w:r>
        <w:t xml:space="preserve">Purpose</w:t>
      </w:r>
    </w:p>
    <w:p>
      <w:pPr>
        <w:spacing w:after="100"/>
      </w:pPr>
      <w:r>
        <w:t xml:space="preserve">The CKM Data Readiness methodology evaluates whether available clinical data is fit for purpose for specific operational programs. Rather than producing abstract data quality metrics, it answers a concrete operational question: can a given site run a specific clinical program with its current data — and if not, what needs to change?</w:t>
      </w:r>
    </w:p>
    <w:p>
      <w:pPr>
        <w:spacing w:after="80"/>
      </w:pPr>
      <w:r>
        <w:t xml:space="preserve"/>
      </w:r>
    </w:p>
    <w:p>
      <w:pPr>
        <w:spacing w:after="100"/>
      </w:pPr>
      <w:r>
        <w:t xml:space="preserve">The methodology is structured around three stages: evaluating each clinical variable, assessing whether the full set of variables required by a use case is ready, and generating targeted remediation guidance when it is not.</w:t>
      </w:r>
    </w:p>
    <w:p>
      <w:pPr>
        <w:spacing w:after="80"/>
      </w:pPr>
      <w:r>
        <w:t xml:space="preserve"/>
      </w:r>
    </w:p>
    <w:p>
      <w:pPr>
        <w:pStyle w:val="Heading2"/>
      </w:pPr>
      <w:r>
        <w:t xml:space="preserve">Core Model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5F9E" w:sz="4"/>
              <w:left w:val="single" w:color="2E5F9E" w:sz="4"/>
              <w:bottom w:val="none" w:color="2E5F9E" w:sz="0"/>
              <w:right w:val="single" w:color="2E5F9E" w:sz="4"/>
            </w:tcBorders>
            <w:shd w:fill="2E5F9E" w:val="clear"/>
            <w:tcMar>
              <w:top w:type="dxa" w:w="100"/>
              <w:left w:type="dxa" w:w="140"/>
              <w:bottom w:type="dxa" w:w="80"/>
              <w:right w:type="dxa" w:w="140"/>
            </w:tcMar>
          </w:tcPr>
          <w:p>
            <w:r>
              <w:rPr>
                <w:b/>
                <w:bCs/>
                <w:color w:val="FFFFFF"/>
                <w:sz w:val="20"/>
                <w:szCs w:val="20"/>
              </w:rPr>
              <w:t xml:space="preserve">1. Variable-Level Evaluation</w:t>
            </w:r>
          </w:p>
        </w:tc>
        <w:tc>
          <w:tcPr>
            <w:tcW w:type="dxa" w:w="3000"/>
            <w:tcBorders>
              <w:top w:val="single" w:color="2A7A6F" w:sz="4"/>
              <w:left w:val="single" w:color="2A7A6F" w:sz="4"/>
              <w:bottom w:val="none" w:color="2A7A6F" w:sz="0"/>
              <w:right w:val="single" w:color="2A7A6F" w:sz="4"/>
            </w:tcBorders>
            <w:shd w:fill="2A7A6F" w:val="clear"/>
            <w:tcMar>
              <w:top w:type="dxa" w:w="100"/>
              <w:left w:type="dxa" w:w="140"/>
              <w:bottom w:type="dxa" w:w="80"/>
              <w:right w:type="dxa" w:w="140"/>
            </w:tcMar>
          </w:tcPr>
          <w:p>
            <w:r>
              <w:rPr>
                <w:b/>
                <w:bCs/>
                <w:color w:val="FFFFFF"/>
                <w:sz w:val="20"/>
                <w:szCs w:val="20"/>
              </w:rPr>
              <w:t xml:space="preserve">2. Use-Case Evaluation</w:t>
            </w:r>
          </w:p>
        </w:tc>
        <w:tc>
          <w:tcPr>
            <w:tcW w:type="dxa" w:w="3360"/>
            <w:tcBorders>
              <w:top w:val="single" w:color="6A4CA0" w:sz="4"/>
              <w:left w:val="single" w:color="6A4CA0" w:sz="4"/>
              <w:bottom w:val="none" w:color="6A4CA0" w:sz="0"/>
              <w:right w:val="single" w:color="6A4CA0" w:sz="4"/>
            </w:tcBorders>
            <w:shd w:fill="6A4CA0" w:val="clear"/>
            <w:tcMar>
              <w:top w:type="dxa" w:w="100"/>
              <w:left w:type="dxa" w:w="140"/>
              <w:bottom w:type="dxa" w:w="80"/>
              <w:right w:type="dxa" w:w="140"/>
            </w:tcMar>
          </w:tcPr>
          <w:p>
            <w:r>
              <w:rPr>
                <w:b/>
                <w:bCs/>
                <w:color w:val="FFFFFF"/>
                <w:sz w:val="20"/>
                <w:szCs w:val="20"/>
              </w:rPr>
              <w:t xml:space="preserve">3. Remediation and Iteration</w:t>
            </w:r>
          </w:p>
        </w:tc>
      </w:tr>
      <w:tr>
        <w:tc>
          <w:tcPr>
            <w:tcW w:type="dxa" w:w="3000"/>
            <w:tcBorders>
              <w:top w:val="none" w:color="2E5F9E" w:sz="0"/>
              <w:left w:val="single" w:color="2E5F9E" w:sz="4"/>
              <w:bottom w:val="single" w:color="2E5F9E" w:sz="4"/>
              <w:right w:val="single" w:color="2E5F9E" w:sz="4"/>
            </w:tcBorders>
            <w:shd w:fill="EEF4FB" w:val="clear"/>
            <w:tcMar>
              <w:top w:type="dxa" w:w="80"/>
              <w:left w:type="dxa" w:w="140"/>
              <w:bottom w:type="dxa" w:w="100"/>
              <w:right w:type="dxa" w:w="140"/>
            </w:tcMar>
          </w:tcPr>
          <w:p>
            <w:pPr>
              <w:spacing w:after="50"/>
              <w:ind w:left="160" w:hanging="160"/>
            </w:pPr>
            <w:r>
              <w:rPr>
                <w:color w:val="333333"/>
                <w:sz w:val="19"/>
                <w:szCs w:val="19"/>
              </w:rPr>
              <w:t xml:space="preserve">•  Technical: ingestion, mapping, identity resolution</w:t>
            </w:r>
          </w:p>
          <w:p>
            <w:pPr>
              <w:spacing w:after="50"/>
              <w:ind w:left="160" w:hanging="160"/>
            </w:pPr>
            <w:r>
              <w:rPr>
                <w:color w:val="333333"/>
                <w:sz w:val="19"/>
                <w:szCs w:val="19"/>
              </w:rPr>
              <w:t xml:space="preserve">•  Readiness (plausibility, temporal consistency, concordance)</w:t>
            </w:r>
          </w:p>
        </w:tc>
        <w:tc>
          <w:tcPr>
            <w:tcW w:type="dxa" w:w="3000"/>
            <w:tcBorders>
              <w:top w:val="none" w:color="2A7A6F" w:sz="0"/>
              <w:left w:val="single" w:color="2A7A6F" w:sz="4"/>
              <w:bottom w:val="single" w:color="2A7A6F" w:sz="4"/>
              <w:right w:val="single" w:color="2A7A6F" w:sz="4"/>
            </w:tcBorders>
            <w:shd w:fill="EAF4F1" w:val="clear"/>
            <w:tcMar>
              <w:top w:type="dxa" w:w="80"/>
              <w:left w:type="dxa" w:w="140"/>
              <w:bottom w:type="dxa" w:w="100"/>
              <w:right w:type="dxa" w:w="140"/>
            </w:tcMar>
          </w:tcPr>
          <w:p>
            <w:pPr>
              <w:spacing w:after="50"/>
              <w:ind w:left="160" w:hanging="160"/>
            </w:pPr>
            <w:r>
              <w:rPr>
                <w:color w:val="333333"/>
                <w:sz w:val="19"/>
                <w:szCs w:val="19"/>
              </w:rPr>
              <w:t xml:space="preserve">•  Fit-for-purpose computed across required variables</w:t>
            </w:r>
          </w:p>
          <w:p>
            <w:pPr>
              <w:spacing w:after="50"/>
              <w:ind w:left="160" w:hanging="160"/>
            </w:pPr>
            <w:r>
              <w:rPr>
                <w:color w:val="333333"/>
                <w:sz w:val="19"/>
                <w:szCs w:val="19"/>
              </w:rPr>
              <w:t xml:space="preserve">•  Use case blocked if one or more critical variables are not ready</w:t>
            </w:r>
          </w:p>
        </w:tc>
        <w:tc>
          <w:tcPr>
            <w:tcW w:type="dxa" w:w="3360"/>
            <w:tcBorders>
              <w:top w:val="none" w:color="6A4CA0" w:sz="0"/>
              <w:left w:val="single" w:color="6A4CA0" w:sz="4"/>
              <w:bottom w:val="single" w:color="6A4CA0" w:sz="4"/>
              <w:right w:val="single" w:color="6A4CA0" w:sz="4"/>
            </w:tcBorders>
            <w:shd w:fill="F3EEF8" w:val="clear"/>
            <w:tcMar>
              <w:top w:type="dxa" w:w="80"/>
              <w:left w:type="dxa" w:w="140"/>
              <w:bottom w:type="dxa" w:w="100"/>
              <w:right w:type="dxa" w:w="140"/>
            </w:tcMar>
          </w:tcPr>
          <w:p>
            <w:pPr>
              <w:spacing w:after="50"/>
              <w:ind w:left="160" w:hanging="160"/>
            </w:pPr>
            <w:r>
              <w:rPr>
                <w:color w:val="333333"/>
                <w:sz w:val="19"/>
                <w:szCs w:val="19"/>
              </w:rPr>
              <w:t xml:space="preserve">•  Scoring identifies specific blockers</w:t>
            </w:r>
          </w:p>
          <w:p>
            <w:pPr>
              <w:spacing w:after="50"/>
              <w:ind w:left="160" w:hanging="160"/>
            </w:pPr>
            <w:r>
              <w:rPr>
                <w:color w:val="333333"/>
                <w:sz w:val="19"/>
                <w:szCs w:val="19"/>
              </w:rPr>
              <w:t xml:space="preserve">•  Remediation targets variables or pipeline steps</w:t>
            </w:r>
          </w:p>
          <w:p>
            <w:pPr>
              <w:spacing w:after="50"/>
              <w:ind w:left="160" w:hanging="160"/>
            </w:pPr>
            <w:r>
              <w:rPr>
                <w:color w:val="333333"/>
                <w:sz w:val="19"/>
                <w:szCs w:val="19"/>
              </w:rPr>
              <w:t xml:space="preserve">•  Capability unlocked after re-scoring</w:t>
            </w:r>
          </w:p>
        </w:tc>
      </w:tr>
    </w:tbl>
    <w:p>
      <w:pPr>
        <w:spacing w:after="80"/>
      </w:pPr>
      <w:r>
        <w:t xml:space="preserve"/>
      </w:r>
    </w:p>
    <w:p>
      <w:pPr>
        <w:spacing w:after="100"/>
      </w:pPr>
      <w:r>
        <w:t xml:space="preserve">Note: The technical pipeline (ingestion, harmonization, identity resolution) is a precondition for variable-level evaluation. Depending on regional infrastructure maturity, some pipeline steps may already be in place at the regional aggregation node. Oros modules are deployed only where gaps exist.</w:t>
      </w:r>
    </w:p>
    <w:p>
      <w:pPr>
        <w:spacing w:after="80"/>
      </w:pPr>
      <w:r>
        <w:t xml:space="preserve"/>
      </w:r>
    </w:p>
    <w:p>
      <w:pPr>
        <w:pBdr>
          <w:bottom w:val="single" w:color="D0DCE8" w:sz="4" w:space="1"/>
        </w:pBdr>
        <w:spacing w:after="120" w:before="120"/>
      </w:pPr>
      <w:r>
        <w:t xml:space="preserve"/>
      </w:r>
    </w:p>
    <w:p>
      <w:pPr>
        <w:pStyle w:val="Heading2"/>
      </w:pPr>
      <w:r>
        <w:t xml:space="preserve">1. Variable-Level Evaluation</w:t>
      </w:r>
    </w:p>
    <w:p>
      <w:pPr>
        <w:spacing w:after="100"/>
      </w:pPr>
      <w:r>
        <w:t xml:space="preserve">Each clinical variable relevant to a use case is evaluated independently across two dimensions before use-case fitness is assessed.</w:t>
      </w:r>
    </w:p>
    <w:p>
      <w:pPr>
        <w:spacing w:after="80"/>
      </w:pPr>
      <w:r>
        <w:t xml:space="preserve"/>
      </w:r>
    </w:p>
    <w:p>
      <w:pPr>
        <w:pStyle w:val="Heading3"/>
      </w:pPr>
      <w:r>
        <w:t xml:space="preserve">Technical Evaluation</w:t>
      </w:r>
    </w:p>
    <w:p>
      <w:pPr>
        <w:spacing w:after="100"/>
      </w:pPr>
      <w:r>
        <w:t xml:space="preserve">Technical evaluation determines whether the variable's data has been correctly ingested, mapped, and linked to patients. Key checks include:</w:t>
      </w:r>
    </w:p>
    <w:p>
      <w:pPr>
        <w:pStyle w:val="ListParagraph"/>
        <w:numPr>
          <w:ilvl w:val="0"/>
          <w:numId w:val="2"/>
        </w:numPr>
      </w:pPr>
      <w:r>
        <w:t xml:space="preserve">Ingestion — is data arriving reliably from the source (EHR, device, lab)?</w:t>
      </w:r>
    </w:p>
    <w:p>
      <w:pPr>
        <w:pStyle w:val="ListParagraph"/>
        <w:numPr>
          <w:ilvl w:val="0"/>
          <w:numId w:val="2"/>
        </w:numPr>
      </w:pPr>
      <w:r>
        <w:t xml:space="preserve">Mapping — are values mapped to standard terminology (e.g., LOINC, SNOMED)?</w:t>
      </w:r>
    </w:p>
    <w:p>
      <w:pPr>
        <w:pStyle w:val="ListParagraph"/>
        <w:numPr>
          <w:ilvl w:val="0"/>
          <w:numId w:val="2"/>
        </w:numPr>
      </w:pPr>
      <w:r>
        <w:t xml:space="preserve">Identity resolution — can records be reliably linked to the correct patient across sources?</w:t>
      </w:r>
    </w:p>
    <w:p>
      <w:pPr>
        <w:pStyle w:val="ListParagraph"/>
        <w:numPr>
          <w:ilvl w:val="0"/>
          <w:numId w:val="2"/>
        </w:numPr>
      </w:pPr>
      <w:r>
        <w:t xml:space="preserve">Stability — is data consistent across repeated submissions over time?</w:t>
      </w:r>
    </w:p>
    <w:p>
      <w:pPr>
        <w:spacing w:after="80"/>
      </w:pPr>
      <w:r>
        <w:t xml:space="preserve"/>
      </w:r>
    </w:p>
    <w:p>
      <w:pPr>
        <w:pStyle w:val="Heading3"/>
      </w:pPr>
      <w:r>
        <w:t xml:space="preserve">Readiness Evaluation</w:t>
      </w:r>
    </w:p>
    <w:p>
      <w:pPr>
        <w:spacing w:after="100"/>
      </w:pPr>
      <w:r>
        <w:t xml:space="preserve">Readiness evaluation determines whether the variable's values are clinically usable. Key checks include:</w:t>
      </w:r>
    </w:p>
    <w:p>
      <w:pPr>
        <w:pStyle w:val="ListParagraph"/>
        <w:numPr>
          <w:ilvl w:val="0"/>
          <w:numId w:val="3"/>
        </w:numPr>
      </w:pPr>
      <w:r>
        <w:t xml:space="preserve">Plausibility — do values fall within expected clinical ranges?</w:t>
      </w:r>
    </w:p>
    <w:p>
      <w:pPr>
        <w:pStyle w:val="ListParagraph"/>
        <w:numPr>
          <w:ilvl w:val="0"/>
          <w:numId w:val="3"/>
        </w:numPr>
      </w:pPr>
      <w:r>
        <w:t xml:space="preserve">Temporal consistency — is coverage sufficient and are gaps acceptable for the intended use?</w:t>
      </w:r>
    </w:p>
    <w:p>
      <w:pPr>
        <w:pStyle w:val="ListParagraph"/>
        <w:numPr>
          <w:ilvl w:val="0"/>
          <w:numId w:val="3"/>
        </w:numPr>
      </w:pPr>
      <w:r>
        <w:t xml:space="preserve">Concordance — do dates and values align coherently across related records?</w:t>
      </w:r>
    </w:p>
    <w:p>
      <w:pPr>
        <w:spacing w:after="80"/>
      </w:pPr>
      <w:r>
        <w:t xml:space="preserve"/>
      </w:r>
    </w:p>
    <w:p>
      <w:pPr>
        <w:spacing w:after="100"/>
      </w:pPr>
      <w:r>
        <w:t xml:space="preserve">Each dimension produces a score (Technical score, Readiness score) and a set of flagged issues. These scores are inputs to use-case evaluation — they do not determine fitness independently.</w:t>
      </w:r>
    </w:p>
    <w:p>
      <w:pPr>
        <w:spacing w:after="80"/>
      </w:pPr>
      <w:r>
        <w:t xml:space="preserve"/>
      </w:r>
    </w:p>
    <w:p>
      <w:pPr>
        <w:pBdr>
          <w:bottom w:val="single" w:color="D0DCE8" w:sz="4" w:space="1"/>
        </w:pBdr>
        <w:spacing w:after="120" w:before="120"/>
      </w:pPr>
      <w:r>
        <w:t xml:space="preserve"/>
      </w:r>
    </w:p>
    <w:p>
      <w:pPr>
        <w:pStyle w:val="Heading2"/>
      </w:pPr>
      <w:r>
        <w:t xml:space="preserve">2. Use-Case Evaluation — Fit-for-Purpose</w:t>
      </w:r>
    </w:p>
    <w:p>
      <w:pPr>
        <w:spacing w:after="100"/>
      </w:pPr>
      <w:r>
        <w:t xml:space="preserve">Fit-for-purpose is computed at the use-case level, not the variable level. Each use case defines a required set of variables and a minimum readiness threshold for each. The use case is ready only when all critical variables meet their thresholds.</w:t>
      </w:r>
    </w:p>
    <w:p>
      <w:pPr>
        <w:spacing w:after="80"/>
      </w:pPr>
      <w:r>
        <w:t xml:space="preserve"/>
      </w:r>
    </w:p>
    <w:p>
      <w:pPr>
        <w:spacing w:after="100"/>
      </w:pPr>
      <w:r>
        <w:t xml:space="preserve">The three operational contexts evaluated in the pilot are:</w:t>
      </w:r>
    </w:p>
    <w:p>
      <w:pPr>
        <w:pStyle w:val="ListParagraph"/>
        <w:numPr>
          <w:ilvl w:val="0"/>
          <w:numId w:val="4"/>
        </w:numPr>
      </w:pPr>
      <w:r>
        <w:t xml:space="preserve">Risk Stratification — identify patients at elevated clinical risk using available data streams</w:t>
      </w:r>
    </w:p>
    <w:p>
      <w:pPr>
        <w:pStyle w:val="ListParagraph"/>
        <w:numPr>
          <w:ilvl w:val="0"/>
          <w:numId w:val="4"/>
        </w:numPr>
      </w:pPr>
      <w:r>
        <w:t xml:space="preserve">Care Coordination — support proactive outreach, medication review, and specialist escalation</w:t>
      </w:r>
    </w:p>
    <w:p>
      <w:pPr>
        <w:pStyle w:val="ListParagraph"/>
        <w:numPr>
          <w:ilvl w:val="0"/>
          <w:numId w:val="4"/>
        </w:numPr>
      </w:pPr>
      <w:r>
        <w:t xml:space="preserve">Value-Based Care Reporting — produce reliable data for CMS and other program reporting requirements</w:t>
      </w:r>
    </w:p>
    <w:p>
      <w:pPr>
        <w:spacing w:after="80"/>
      </w:pPr>
      <w:r>
        <w:t xml:space="preserve"/>
      </w:r>
    </w:p>
    <w:p>
      <w:pPr>
        <w:spacing w:after="100"/>
      </w:pPr>
      <w:r>
        <w:t xml:space="preserve">For each use case, the methodology produces: a readiness status (Ready / Partially Ready / Not Ready), the specific variables that are blocking readiness, and the remediation steps that would unlock capability.</w:t>
      </w:r>
    </w:p>
    <w:p>
      <w:pPr>
        <w:spacing w:after="80"/>
      </w:pPr>
      <w:r>
        <w:t xml:space="preserve"/>
      </w:r>
    </w:p>
    <w:p>
      <w:pPr>
        <w:pBdr>
          <w:bottom w:val="single" w:color="D0DCE8" w:sz="4" w:space="1"/>
        </w:pBdr>
        <w:spacing w:after="120" w:before="120"/>
      </w:pPr>
      <w:r>
        <w:t xml:space="preserve"/>
      </w:r>
    </w:p>
    <w:p>
      <w:pPr>
        <w:pStyle w:val="Heading2"/>
      </w:pPr>
      <w:r>
        <w:t xml:space="preserve">3. Worked Example — Blood Pressure and Hypertension Risk Stratification</w:t>
      </w:r>
    </w:p>
    <w:p>
      <w:pPr>
        <w:spacing w:after="80"/>
      </w:pPr>
      <w:r>
        <w:t xml:space="preserve"/>
      </w:r>
    </w:p>
    <w:p>
      <w:pPr>
        <w:pStyle w:val="Heading3"/>
      </w:pPr>
      <w:r>
        <w:t xml:space="preserve">Variable: Blood Pressure (Systolic / Diastolic)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2C5282" w:sz="8"/>
              <w:bottom w:val="single" w:color="2C5282" w:sz="4"/>
              <w:right w:val="single" w:color="2C5282" w:sz="4"/>
            </w:tcBorders>
            <w:shd w:fill="EEF2F8" w:val="clear"/>
            <w:tcMar>
              <w:top w:type="dxa" w:w="120"/>
              <w:left w:type="dxa" w:w="200"/>
              <w:bottom w:type="dxa" w:w="120"/>
              <w:right w:type="dxa" w:w="200"/>
            </w:tcMar>
          </w:tcPr>
          <w:p>
            <w:pPr>
              <w:spacing w:after="60"/>
            </w:pPr>
            <w:r>
              <w:rPr>
                <w:b/>
                <w:bCs/>
                <w:color w:val="1F3864"/>
                <w:sz w:val="20"/>
                <w:szCs w:val="20"/>
              </w:rPr>
              <w:t xml:space="preserve">Technical Evaluation</w:t>
            </w:r>
          </w:p>
          <w:p>
            <w:pPr>
              <w:spacing w:after="40"/>
              <w:ind w:left="160" w:hanging="160"/>
            </w:pPr>
            <w:r>
              <w:rPr>
                <w:color w:val="333333"/>
                <w:sz w:val="20"/>
                <w:szCs w:val="20"/>
              </w:rPr>
              <w:t xml:space="preserve">•  BP values are ingested from EHR and device feeds</w:t>
            </w:r>
          </w:p>
          <w:p>
            <w:pPr>
              <w:spacing w:after="40"/>
              <w:ind w:left="160" w:hanging="160"/>
            </w:pPr>
            <w:r>
              <w:rPr>
                <w:color w:val="333333"/>
                <w:sz w:val="20"/>
                <w:szCs w:val="20"/>
              </w:rPr>
              <w:t xml:space="preserve">•  Systolic and diastolic values are mapped to standard terminology (LOINC)</w:t>
            </w:r>
          </w:p>
          <w:p>
            <w:pPr>
              <w:spacing w:after="40"/>
              <w:ind w:left="160" w:hanging="160"/>
            </w:pPr>
            <w:r>
              <w:rPr>
                <w:color w:val="333333"/>
                <w:sz w:val="20"/>
                <w:szCs w:val="20"/>
              </w:rPr>
              <w:t xml:space="preserve">•  Some records fail to link to the correct patient due to inconsistent identifiers across sources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0B0" w:sz="4"/>
              <w:left w:val="single" w:color="4A80B0" w:sz="8"/>
              <w:bottom w:val="single" w:color="4A80B0" w:sz="4"/>
              <w:right w:val="single" w:color="4A80B0" w:sz="4"/>
            </w:tcBorders>
            <w:shd w:fill="EBF4FB" w:val="clear"/>
            <w:tcMar>
              <w:top w:type="dxa" w:w="120"/>
              <w:left w:type="dxa" w:w="200"/>
              <w:bottom w:type="dxa" w:w="120"/>
              <w:right w:type="dxa" w:w="200"/>
            </w:tcMar>
          </w:tcPr>
          <w:p>
            <w:pPr>
              <w:spacing w:after="60"/>
            </w:pPr>
            <w:r>
              <w:rPr>
                <w:b/>
                <w:bCs/>
                <w:color w:val="1F3864"/>
                <w:sz w:val="20"/>
                <w:szCs w:val="20"/>
              </w:rPr>
              <w:t xml:space="preserve">Readiness Evaluation</w:t>
            </w:r>
          </w:p>
          <w:p>
            <w:pPr>
              <w:spacing w:after="40"/>
              <w:ind w:left="160" w:hanging="160"/>
            </w:pPr>
            <w:r>
              <w:rPr>
                <w:color w:val="333333"/>
                <w:sz w:val="20"/>
                <w:szCs w:val="20"/>
              </w:rPr>
              <w:t xml:space="preserve">•  Most BP values fall within plausible clinical ranges</w:t>
            </w:r>
          </w:p>
          <w:p>
            <w:pPr>
              <w:spacing w:after="40"/>
              <w:ind w:left="160" w:hanging="160"/>
            </w:pPr>
            <w:r>
              <w:rPr>
                <w:color w:val="333333"/>
                <w:sz w:val="20"/>
                <w:szCs w:val="20"/>
              </w:rPr>
              <w:t xml:space="preserve">•  Temporal coverage is inconsistent — large gaps between measurements for many patients</w:t>
            </w:r>
          </w:p>
          <w:p>
            <w:pPr>
              <w:spacing w:after="40"/>
              <w:ind w:left="160" w:hanging="160"/>
            </w:pPr>
            <w:r>
              <w:rPr>
                <w:color w:val="333333"/>
                <w:sz w:val="20"/>
                <w:szCs w:val="20"/>
              </w:rPr>
              <w:t xml:space="preserve">•  Some timestamps are misaligned with encounter records</w:t>
            </w:r>
          </w:p>
          <w:p>
            <w:pPr>
              <w:spacing w:after="0" w:before="80"/>
            </w:pPr>
            <w:r>
              <w:rPr>
                <w:b/>
                <w:bCs/>
                <w:color w:val="1F3864"/>
                <w:sz w:val="20"/>
                <w:szCs w:val="20"/>
              </w:rPr>
              <w:t xml:space="preserve">Summary: </w:t>
            </w:r>
            <w:r>
              <w:rPr>
                <w:color w:val="333333"/>
                <w:sz w:val="20"/>
                <w:szCs w:val="20"/>
              </w:rPr>
              <w:t xml:space="preserve">Technical score: moderate (identity linkage issues). Readiness score: moderate (plausible values, insufficient temporal coverage).</w:t>
            </w:r>
          </w:p>
        </w:tc>
      </w:tr>
    </w:tbl>
    <w:p>
      <w:pPr>
        <w:spacing w:after="80"/>
      </w:pPr>
      <w:r>
        <w:t xml:space="preserve"/>
      </w:r>
    </w:p>
    <w:p>
      <w:pPr>
        <w:pStyle w:val="Heading3"/>
      </w:pPr>
      <w:r>
        <w:t xml:space="preserve">Use Case: Hypertension Risk Stratification</w:t>
      </w:r>
    </w:p>
    <w:p>
      <w:pPr>
        <w:spacing w:after="100"/>
      </w:pPr>
      <w:r>
        <w:t xml:space="preserve">Objective: identify patients at risk of hypertension or likely undiagnosed hypertension using longitudinal clinical data.</w:t>
      </w:r>
    </w:p>
    <w:p>
      <w:pPr>
        <w:spacing w:after="80"/>
      </w:pPr>
      <w:r>
        <w:t xml:space="preserve"/>
      </w:r>
    </w:p>
    <w:p>
      <w:pPr>
        <w:spacing w:after="100"/>
      </w:pPr>
      <w:r>
        <w:t xml:space="preserve">Required variables: Blood pressure (systolic/diastolic), Age, Sex, Smoking status, Medication data (antihypertensives), Diabetes status. Optional: cholesterol measures.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8"/>
              <w:bottom w:val="single" w:color="C0392B" w:sz="4"/>
              <w:right w:val="single" w:color="C0392B" w:sz="4"/>
            </w:tcBorders>
            <w:shd w:fill="FDE8E8" w:val="clear"/>
            <w:tcMar>
              <w:top w:type="dxa" w:w="120"/>
              <w:left w:type="dxa" w:w="200"/>
              <w:bottom w:type="dxa" w:w="120"/>
              <w:right w:type="dxa" w:w="200"/>
            </w:tcMar>
          </w:tcPr>
          <w:p>
            <w:pPr>
              <w:spacing w:after="60"/>
            </w:pPr>
            <w:r>
              <w:rPr>
                <w:b/>
                <w:bCs/>
                <w:color w:val="1F3864"/>
                <w:sz w:val="20"/>
                <w:szCs w:val="20"/>
              </w:rPr>
              <w:t xml:space="preserve">Before Remediation</w:t>
            </w:r>
          </w:p>
          <w:p>
            <w:pPr>
              <w:spacing w:after="40"/>
              <w:ind w:left="160" w:hanging="160"/>
            </w:pPr>
            <w:r>
              <w:rPr>
                <w:color w:val="333333"/>
                <w:sz w:val="20"/>
                <w:szCs w:val="20"/>
              </w:rPr>
              <w:t xml:space="preserve">•  BP data is incomplete and temporally sparse</w:t>
            </w:r>
          </w:p>
          <w:p>
            <w:pPr>
              <w:spacing w:after="40"/>
              <w:ind w:left="160" w:hanging="160"/>
            </w:pPr>
            <w:r>
              <w:rPr>
                <w:color w:val="333333"/>
                <w:sz w:val="20"/>
                <w:szCs w:val="20"/>
              </w:rPr>
              <w:t xml:space="preserve">•  Patient identity mismatches reduce longitudinal continuity</w:t>
            </w:r>
          </w:p>
          <w:p>
            <w:pPr>
              <w:spacing w:after="40"/>
              <w:ind w:left="160" w:hanging="160"/>
            </w:pPr>
            <w:r>
              <w:rPr>
                <w:color w:val="333333"/>
                <w:sz w:val="20"/>
                <w:szCs w:val="20"/>
              </w:rPr>
              <w:t xml:space="preserve">•  Smoking status missing for a portion of patients</w:t>
            </w:r>
          </w:p>
          <w:p>
            <w:pPr>
              <w:spacing w:after="40"/>
              <w:ind w:left="160" w:hanging="160"/>
            </w:pPr>
            <w:r>
              <w:rPr>
                <w:color w:val="333333"/>
                <w:sz w:val="20"/>
                <w:szCs w:val="20"/>
              </w:rPr>
              <w:t xml:space="preserve">•  Blockers: insufficient BP coverage, identity linkage issues, missing key covariates</w:t>
            </w:r>
          </w:p>
          <w:p>
            <w:pPr>
              <w:spacing w:after="0" w:before="80"/>
            </w:pPr>
            <w:r>
              <w:rPr>
                <w:b/>
                <w:bCs/>
                <w:color w:val="1F3864"/>
                <w:sz w:val="20"/>
                <w:szCs w:val="20"/>
              </w:rPr>
              <w:t xml:space="preserve">Result: </w:t>
            </w:r>
            <w:r>
              <w:rPr>
                <w:color w:val="333333"/>
                <w:sz w:val="20"/>
                <w:szCs w:val="20"/>
              </w:rPr>
              <w:t xml:space="preserve">Hypertension Risk Stratification — NOT READY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8020" w:sz="4"/>
              <w:left w:val="single" w:color="C08020" w:sz="8"/>
              <w:bottom w:val="single" w:color="C08020" w:sz="4"/>
              <w:right w:val="single" w:color="C08020" w:sz="4"/>
            </w:tcBorders>
            <w:shd w:fill="FDF6E8" w:val="clear"/>
            <w:tcMar>
              <w:top w:type="dxa" w:w="120"/>
              <w:left w:type="dxa" w:w="200"/>
              <w:bottom w:type="dxa" w:w="120"/>
              <w:right w:type="dxa" w:w="200"/>
            </w:tcMar>
          </w:tcPr>
          <w:p>
            <w:pPr>
              <w:spacing w:after="60"/>
            </w:pPr>
            <w:r>
              <w:rPr>
                <w:b/>
                <w:bCs/>
                <w:color w:val="1F3864"/>
                <w:sz w:val="20"/>
                <w:szCs w:val="20"/>
              </w:rPr>
              <w:t xml:space="preserve">Remediation Actions</w:t>
            </w:r>
          </w:p>
          <w:p>
            <w:pPr>
              <w:spacing w:after="40"/>
              <w:ind w:left="160" w:hanging="160"/>
            </w:pPr>
            <w:r>
              <w:rPr>
                <w:color w:val="333333"/>
                <w:sz w:val="20"/>
                <w:szCs w:val="20"/>
              </w:rPr>
              <w:t xml:space="preserve">•  Improve patient identity matching across EHR and device sources</w:t>
            </w:r>
          </w:p>
          <w:p>
            <w:pPr>
              <w:spacing w:after="40"/>
              <w:ind w:left="160" w:hanging="160"/>
            </w:pPr>
            <w:r>
              <w:rPr>
                <w:color w:val="333333"/>
                <w:sz w:val="20"/>
                <w:szCs w:val="20"/>
              </w:rPr>
              <w:t xml:space="preserve">•  Increase BP completeness by incorporating additional device feeds</w:t>
            </w:r>
          </w:p>
          <w:p>
            <w:pPr>
              <w:spacing w:after="40"/>
              <w:ind w:left="160" w:hanging="160"/>
            </w:pPr>
            <w:r>
              <w:rPr>
                <w:color w:val="333333"/>
                <w:sz w:val="20"/>
                <w:szCs w:val="20"/>
              </w:rPr>
              <w:t xml:space="preserve">•  Address missing smoking status through supplemental data sources where available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F" w:sz="4"/>
              <w:left w:val="single" w:color="2A7A6F" w:sz="8"/>
              <w:bottom w:val="single" w:color="2A7A6F" w:sz="4"/>
              <w:right w:val="single" w:color="2A7A6F" w:sz="4"/>
            </w:tcBorders>
            <w:shd w:fill="EAF4F1" w:val="clear"/>
            <w:tcMar>
              <w:top w:type="dxa" w:w="120"/>
              <w:left w:type="dxa" w:w="200"/>
              <w:bottom w:type="dxa" w:w="120"/>
              <w:right w:type="dxa" w:w="200"/>
            </w:tcMar>
          </w:tcPr>
          <w:p>
            <w:pPr>
              <w:spacing w:after="60"/>
            </w:pPr>
            <w:r>
              <w:rPr>
                <w:b/>
                <w:bCs/>
                <w:color w:val="1F3864"/>
                <w:sz w:val="20"/>
                <w:szCs w:val="20"/>
              </w:rPr>
              <w:t xml:space="preserve">After Remediation</w:t>
            </w:r>
          </w:p>
          <w:p>
            <w:pPr>
              <w:spacing w:after="40"/>
              <w:ind w:left="160" w:hanging="160"/>
            </w:pPr>
            <w:r>
              <w:rPr>
                <w:color w:val="333333"/>
                <w:sz w:val="20"/>
                <w:szCs w:val="20"/>
              </w:rPr>
              <w:t xml:space="preserve">•  Improved patient-level longitudinal records</w:t>
            </w:r>
          </w:p>
          <w:p>
            <w:pPr>
              <w:spacing w:after="40"/>
              <w:ind w:left="160" w:hanging="160"/>
            </w:pPr>
            <w:r>
              <w:rPr>
                <w:color w:val="333333"/>
                <w:sz w:val="20"/>
                <w:szCs w:val="20"/>
              </w:rPr>
              <w:t xml:space="preserve">•  Increased BP coverage and temporal density</w:t>
            </w:r>
          </w:p>
          <w:p>
            <w:pPr>
              <w:spacing w:after="40"/>
              <w:ind w:left="160" w:hanging="160"/>
            </w:pPr>
            <w:r>
              <w:rPr>
                <w:color w:val="333333"/>
                <w:sz w:val="20"/>
                <w:szCs w:val="20"/>
              </w:rPr>
              <w:t xml:space="preserve">•  Partial recovery of missing covariates</w:t>
            </w:r>
          </w:p>
          <w:p>
            <w:pPr>
              <w:spacing w:after="40"/>
              <w:ind w:left="160" w:hanging="160"/>
            </w:pPr>
            <w:r>
              <w:rPr>
                <w:color w:val="333333"/>
                <w:sz w:val="20"/>
                <w:szCs w:val="20"/>
              </w:rPr>
              <w:t xml:space="preserve">•  Capability unlocked: ability to run hypertension risk algorithms and identify high-risk or undiagnosed patients</w:t>
            </w:r>
          </w:p>
          <w:p>
            <w:pPr>
              <w:spacing w:after="0" w:before="80"/>
            </w:pPr>
            <w:r>
              <w:rPr>
                <w:b/>
                <w:bCs/>
                <w:color w:val="1F3864"/>
                <w:sz w:val="20"/>
                <w:szCs w:val="20"/>
              </w:rPr>
              <w:t xml:space="preserve">Result: </w:t>
            </w:r>
            <w:r>
              <w:rPr>
                <w:color w:val="333333"/>
                <w:sz w:val="20"/>
                <w:szCs w:val="20"/>
              </w:rPr>
              <w:t xml:space="preserve">Hypertension Risk Stratification — PARTIALLY READY → READY (depending on site thresholds)</w:t>
            </w:r>
          </w:p>
        </w:tc>
      </w:tr>
    </w:tbl>
    <w:p>
      <w:pPr>
        <w:spacing w:after="80"/>
      </w:pPr>
      <w:r>
        <w:t xml:space="preserve"/>
      </w:r>
    </w:p>
    <w:p>
      <w:pPr>
        <w:pBdr>
          <w:bottom w:val="single" w:color="D0DCE8" w:sz="4" w:space="1"/>
        </w:pBdr>
        <w:spacing w:after="120" w:before="120"/>
      </w:pPr>
      <w:r>
        <w:t xml:space="preserve"/>
      </w:r>
    </w:p>
    <w:p>
      <w:pPr>
        <w:pStyle w:val="Heading2"/>
      </w:pPr>
      <w:r>
        <w:t xml:space="preserve">4. Remediation and Iteration</w:t>
      </w:r>
    </w:p>
    <w:p>
      <w:pPr>
        <w:spacing w:after="100"/>
      </w:pPr>
      <w:r>
        <w:t xml:space="preserve">The methodology is designed for iterative improvement, not one-time assessment. When a use case is blocked, the system generates targeted remediation guidance for the specific variables and checks that are failing.</w:t>
      </w:r>
    </w:p>
    <w:p>
      <w:pPr>
        <w:spacing w:after="80"/>
      </w:pPr>
      <w:r>
        <w:t xml:space="preserve"/>
      </w:r>
    </w:p>
    <w:p>
      <w:pPr>
        <w:spacing w:after="100"/>
      </w:pPr>
      <w:r>
        <w:t xml:space="preserve">For each identified gap, the methodology provides:</w:t>
      </w:r>
    </w:p>
    <w:p>
      <w:pPr>
        <w:pStyle w:val="ListParagraph"/>
        <w:numPr>
          <w:ilvl w:val="0"/>
          <w:numId w:val="5"/>
        </w:numPr>
      </w:pPr>
      <w:r>
        <w:t xml:space="preserve">The variable and check that is failing</w:t>
      </w:r>
    </w:p>
    <w:p>
      <w:pPr>
        <w:pStyle w:val="ListParagraph"/>
        <w:numPr>
          <w:ilvl w:val="0"/>
          <w:numId w:val="5"/>
        </w:numPr>
      </w:pPr>
      <w:r>
        <w:t xml:space="preserve">The likely root cause (transmission failure, source system issue, terminology mapping error, workflow gap)</w:t>
      </w:r>
    </w:p>
    <w:p>
      <w:pPr>
        <w:pStyle w:val="ListParagraph"/>
        <w:numPr>
          <w:ilvl w:val="0"/>
          <w:numId w:val="5"/>
        </w:numPr>
      </w:pPr>
      <w:r>
        <w:t xml:space="preserve">The responsible actor or system layer, as defined in the governance framework</w:t>
      </w:r>
    </w:p>
    <w:p>
      <w:pPr>
        <w:pStyle w:val="ListParagraph"/>
        <w:numPr>
          <w:ilvl w:val="0"/>
          <w:numId w:val="5"/>
        </w:numPr>
      </w:pPr>
      <w:r>
        <w:t xml:space="preserve">A suggested next remediation step</w:t>
      </w:r>
    </w:p>
    <w:p>
      <w:pPr>
        <w:spacing w:after="80"/>
      </w:pPr>
      <w:r>
        <w:t xml:space="preserve"/>
      </w:r>
    </w:p>
    <w:p>
      <w:pPr>
        <w:spacing w:after="100"/>
      </w:pPr>
      <w:r>
        <w:t xml:space="preserve">After remediation, variables are re-scored and use-case fitness is re-evaluated. The system tracks progress over time, showing which capabilities have been unlocked and what remains blocked.</w:t>
      </w:r>
    </w:p>
    <w:p>
      <w:pPr>
        <w:spacing w:after="80"/>
      </w:pPr>
      <w:r>
        <w:t xml:space="preserve"/>
      </w:r>
    </w:p>
    <w:p>
      <w:pPr>
        <w:pBdr>
          <w:bottom w:val="single" w:color="D0DCE8" w:sz="4" w:space="1"/>
        </w:pBdr>
        <w:spacing w:after="120" w:before="120"/>
      </w:pPr>
      <w:r>
        <w:t xml:space="preserve"/>
      </w:r>
    </w:p>
    <w:p>
      <w:pPr>
        <w:pStyle w:val="Heading2"/>
      </w:pPr>
      <w:r>
        <w:t xml:space="preserve">5. Extension: Device and Wearable Data</w:t>
      </w:r>
    </w:p>
    <w:p>
      <w:pPr>
        <w:spacing w:after="100"/>
      </w:pPr>
      <w:r>
        <w:t xml:space="preserve">Device-derived data — CGM readings, connected weight scales, home blood pressure monitors — follows the same variable-level and use-case evaluation model as EHR data. Device variables introduce additional readiness requirements specific to time series data: temporal density, cross-manufacturer consistency, and reproducibility of derived metrics from raw data.</w:t>
      </w:r>
    </w:p>
    <w:p>
      <w:pPr>
        <w:spacing w:after="80"/>
      </w:pPr>
      <w:r>
        <w:t xml:space="preserve"/>
      </w:r>
    </w:p>
    <w:p>
      <w:pPr>
        <w:spacing w:after="100"/>
      </w:pPr>
      <w:r>
        <w:t xml:space="preserve">In rural settings where EHR data is incomplete, inconsistent, or delayed, device data provides an early operational path for risk identification. This enables staged deployment: device-based signals support initial use cases while broader data infrastructure matures.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F" w:sz="4"/>
              <w:left w:val="single" w:color="2A7A6F" w:sz="12"/>
              <w:bottom w:val="single" w:color="2A7A6F" w:sz="4"/>
              <w:right w:val="single" w:color="2A7A6F" w:sz="4"/>
            </w:tcBorders>
            <w:shd w:fill="EAF4F1" w:val="clear"/>
            <w:tcMar>
              <w:top w:type="dxa" w:w="120"/>
              <w:left w:type="dxa" w:w="200"/>
              <w:bottom w:type="dxa" w:w="120"/>
              <w:right w:type="dxa" w:w="200"/>
            </w:tcMar>
          </w:tcPr>
          <w:p>
            <w:r>
              <w:rPr>
                <w:b/>
                <w:bCs/>
                <w:color w:val="1F3864"/>
                <w:sz w:val="22"/>
                <w:szCs w:val="22"/>
              </w:rPr>
              <w:t xml:space="preserve">Device data enables early operational capability in constrained environments — supporting risk stratification and remote monitoring before full EHR integration is in place.</w:t>
            </w:r>
          </w:p>
        </w:tc>
      </w:tr>
    </w:tbl>
    <w:p>
      <w:pPr>
        <w:spacing w:after="80"/>
      </w:pPr>
      <w:r>
        <w:t xml:space="preserve"/>
      </w:r>
    </w:p>
    <w:p>
      <w:pPr>
        <w:pStyle w:val="Heading3"/>
      </w:pPr>
      <w:r>
        <w:t xml:space="preserve">Variable: CGM Glucose Time Series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2C5282" w:sz="8"/>
              <w:bottom w:val="single" w:color="2C5282" w:sz="4"/>
              <w:right w:val="single" w:color="2C5282" w:sz="4"/>
            </w:tcBorders>
            <w:shd w:fill="EEF2F8" w:val="clear"/>
            <w:tcMar>
              <w:top w:type="dxa" w:w="120"/>
              <w:left w:type="dxa" w:w="200"/>
              <w:bottom w:type="dxa" w:w="120"/>
              <w:right w:type="dxa" w:w="200"/>
            </w:tcMar>
          </w:tcPr>
          <w:p>
            <w:pPr>
              <w:spacing w:after="60"/>
            </w:pPr>
            <w:r>
              <w:rPr>
                <w:b/>
                <w:bCs/>
                <w:color w:val="1F3864"/>
                <w:sz w:val="20"/>
                <w:szCs w:val="20"/>
              </w:rPr>
              <w:t xml:space="preserve">Technical Evaluation</w:t>
            </w:r>
          </w:p>
          <w:p>
            <w:pPr>
              <w:spacing w:after="40"/>
              <w:ind w:left="160" w:hanging="160"/>
            </w:pPr>
            <w:r>
              <w:rPr>
                <w:color w:val="333333"/>
                <w:sz w:val="20"/>
                <w:szCs w:val="20"/>
              </w:rPr>
              <w:t xml:space="preserve">•  CGM readings are ingested from device API or file feed (e.g., Dexcom, Abbott)</w:t>
            </w:r>
          </w:p>
          <w:p>
            <w:pPr>
              <w:spacing w:after="40"/>
              <w:ind w:left="160" w:hanging="160"/>
            </w:pPr>
            <w:r>
              <w:rPr>
                <w:color w:val="333333"/>
                <w:sz w:val="20"/>
                <w:szCs w:val="20"/>
              </w:rPr>
              <w:t xml:space="preserve">•  Glucose values are tagged with UTC and local timestamps; timezone normalization is applied</w:t>
            </w:r>
          </w:p>
          <w:p>
            <w:pPr>
              <w:spacing w:after="40"/>
              <w:ind w:left="160" w:hanging="160"/>
            </w:pPr>
            <w:r>
              <w:rPr>
                <w:color w:val="333333"/>
                <w:sz w:val="20"/>
                <w:szCs w:val="20"/>
              </w:rPr>
              <w:t xml:space="preserve">•  Patient-device linkage is confirmed via patient_id — inconsistent identifiers can cause linkage failures</w:t>
            </w:r>
          </w:p>
          <w:p>
            <w:pPr>
              <w:spacing w:after="40"/>
              <w:ind w:left="160" w:hanging="160"/>
            </w:pPr>
            <w:r>
              <w:rPr>
                <w:color w:val="333333"/>
                <w:sz w:val="20"/>
                <w:szCs w:val="20"/>
              </w:rPr>
              <w:t xml:space="preserve">•  Duplicate detection removes redundant records from overlapping feeds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80B0" w:sz="4"/>
              <w:left w:val="single" w:color="4A80B0" w:sz="8"/>
              <w:bottom w:val="single" w:color="4A80B0" w:sz="4"/>
              <w:right w:val="single" w:color="4A80B0" w:sz="4"/>
            </w:tcBorders>
            <w:shd w:fill="EBF4FB" w:val="clear"/>
            <w:tcMar>
              <w:top w:type="dxa" w:w="120"/>
              <w:left w:type="dxa" w:w="200"/>
              <w:bottom w:type="dxa" w:w="120"/>
              <w:right w:type="dxa" w:w="200"/>
            </w:tcMar>
          </w:tcPr>
          <w:p>
            <w:pPr>
              <w:spacing w:after="60"/>
            </w:pPr>
            <w:r>
              <w:rPr>
                <w:b/>
                <w:bCs/>
                <w:color w:val="1F3864"/>
                <w:sz w:val="20"/>
                <w:szCs w:val="20"/>
              </w:rPr>
              <w:t xml:space="preserve">Readiness Evaluation</w:t>
            </w:r>
          </w:p>
          <w:p>
            <w:pPr>
              <w:spacing w:after="40"/>
              <w:ind w:left="160" w:hanging="160"/>
            </w:pPr>
            <w:r>
              <w:rPr>
                <w:color w:val="333333"/>
                <w:sz w:val="20"/>
                <w:szCs w:val="20"/>
              </w:rPr>
              <w:t xml:space="preserve">•  Glucose values are checked against physiologic plausibility ranges</w:t>
            </w:r>
          </w:p>
          <w:p>
            <w:pPr>
              <w:spacing w:after="40"/>
              <w:ind w:left="160" w:hanging="160"/>
            </w:pPr>
            <w:r>
              <w:rPr>
                <w:color w:val="333333"/>
                <w:sz w:val="20"/>
                <w:szCs w:val="20"/>
              </w:rPr>
              <w:t xml:space="preserve">•  Temporal density is assessed: expected sampling frequency (e.g., every 5 minutes) and % coverage over a defined window (e.g., 14 days)</w:t>
            </w:r>
          </w:p>
          <w:p>
            <w:pPr>
              <w:spacing w:after="40"/>
              <w:ind w:left="160" w:hanging="160"/>
            </w:pPr>
            <w:r>
              <w:rPr>
                <w:color w:val="333333"/>
                <w:sz w:val="20"/>
                <w:szCs w:val="20"/>
              </w:rPr>
              <w:t xml:space="preserve">•  Timestamps are checked for monotonic ordering and timezone consistency</w:t>
            </w:r>
          </w:p>
          <w:p>
            <w:pPr>
              <w:spacing w:after="40"/>
              <w:ind w:left="160" w:hanging="160"/>
            </w:pPr>
            <w:r>
              <w:rPr>
                <w:color w:val="333333"/>
                <w:sz w:val="20"/>
                <w:szCs w:val="20"/>
              </w:rPr>
              <w:t xml:space="preserve">•  Derived metrics (TIR, GMI, variability) are recomputed from raw data rather than trusted from device output, to ensure cross-manufacturer consistency</w:t>
            </w:r>
          </w:p>
          <w:p>
            <w:pPr>
              <w:spacing w:after="0" w:before="80"/>
            </w:pPr>
            <w:r>
              <w:rPr>
                <w:b/>
                <w:bCs/>
                <w:color w:val="1F3864"/>
                <w:sz w:val="20"/>
                <w:szCs w:val="20"/>
              </w:rPr>
              <w:t xml:space="preserve">Summary: </w:t>
            </w:r>
            <w:r>
              <w:rPr>
                <w:color w:val="333333"/>
                <w:sz w:val="20"/>
                <w:szCs w:val="20"/>
              </w:rPr>
              <w:t xml:space="preserve">Technical score: moderate (patient-device linkage gaps). Readiness score: moderate (plausible values, but temporal coverage below threshold for some patients).</w:t>
            </w:r>
          </w:p>
        </w:tc>
      </w:tr>
    </w:tbl>
    <w:p>
      <w:pPr>
        <w:spacing w:after="80"/>
      </w:pPr>
      <w:r>
        <w:t xml:space="preserve"/>
      </w:r>
    </w:p>
    <w:p>
      <w:pPr>
        <w:pStyle w:val="Heading3"/>
      </w:pPr>
      <w:r>
        <w:t xml:space="preserve">Use Case: CGM-Based Diabetes Risk Stratification</w:t>
      </w:r>
    </w:p>
    <w:p>
      <w:pPr>
        <w:spacing w:after="100"/>
      </w:pPr>
      <w:r>
        <w:t xml:space="preserve">Objective: identify patients with deteriorating glycemic control or at risk of diabetes complications using longitudinal CGM data.</w:t>
      </w:r>
    </w:p>
    <w:p>
      <w:pPr>
        <w:spacing w:after="80"/>
      </w:pPr>
      <w:r>
        <w:t xml:space="preserve"/>
      </w:r>
    </w:p>
    <w:p>
      <w:pPr>
        <w:spacing w:after="100"/>
      </w:pPr>
      <w:r>
        <w:t xml:space="preserve">Required variables: CGM glucose time series, Patient demographics (age, sex), Diabetes diagnosis status, Medication data (insulin, metformin). Optional: HbA1c from lab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8"/>
              <w:bottom w:val="single" w:color="C0392B" w:sz="4"/>
              <w:right w:val="single" w:color="C0392B" w:sz="4"/>
            </w:tcBorders>
            <w:shd w:fill="FDE8E8" w:val="clear"/>
            <w:tcMar>
              <w:top w:type="dxa" w:w="120"/>
              <w:left w:type="dxa" w:w="200"/>
              <w:bottom w:type="dxa" w:w="120"/>
              <w:right w:type="dxa" w:w="200"/>
            </w:tcMar>
          </w:tcPr>
          <w:p>
            <w:pPr>
              <w:spacing w:after="60"/>
            </w:pPr>
            <w:r>
              <w:rPr>
                <w:b/>
                <w:bCs/>
                <w:color w:val="1F3864"/>
                <w:sz w:val="20"/>
                <w:szCs w:val="20"/>
              </w:rPr>
              <w:t xml:space="preserve">Before Remediation</w:t>
            </w:r>
          </w:p>
          <w:p>
            <w:pPr>
              <w:spacing w:after="40"/>
              <w:ind w:left="160" w:hanging="160"/>
            </w:pPr>
            <w:r>
              <w:rPr>
                <w:color w:val="333333"/>
                <w:sz w:val="20"/>
                <w:szCs w:val="20"/>
              </w:rPr>
              <w:t xml:space="preserve">•  CGM temporal coverage below threshold for a significant portion of patients (≤70% over 14 days)</w:t>
            </w:r>
          </w:p>
          <w:p>
            <w:pPr>
              <w:spacing w:after="40"/>
              <w:ind w:left="160" w:hanging="160"/>
            </w:pPr>
            <w:r>
              <w:rPr>
                <w:color w:val="333333"/>
                <w:sz w:val="20"/>
                <w:szCs w:val="20"/>
              </w:rPr>
              <w:t xml:space="preserve">•  Patient-device linkage failures reduce usable population</w:t>
            </w:r>
          </w:p>
          <w:p>
            <w:pPr>
              <w:spacing w:after="40"/>
              <w:ind w:left="160" w:hanging="160"/>
            </w:pPr>
            <w:r>
              <w:rPr>
                <w:color w:val="333333"/>
                <w:sz w:val="20"/>
                <w:szCs w:val="20"/>
              </w:rPr>
              <w:t xml:space="preserve">•  Derived metrics (TIR) inconsistent across device manufacturers</w:t>
            </w:r>
          </w:p>
          <w:p>
            <w:pPr>
              <w:spacing w:after="40"/>
              <w:ind w:left="160" w:hanging="160"/>
            </w:pPr>
            <w:r>
              <w:rPr>
                <w:color w:val="333333"/>
                <w:sz w:val="20"/>
                <w:szCs w:val="20"/>
              </w:rPr>
              <w:t xml:space="preserve">•  Blockers: insufficient temporal density, identity linkage issues, cross-manufacturer inconsistency</w:t>
            </w:r>
          </w:p>
          <w:p>
            <w:pPr>
              <w:spacing w:after="0" w:before="80"/>
            </w:pPr>
            <w:r>
              <w:rPr>
                <w:b/>
                <w:bCs/>
                <w:color w:val="1F3864"/>
                <w:sz w:val="20"/>
                <w:szCs w:val="20"/>
              </w:rPr>
              <w:t xml:space="preserve">Result: </w:t>
            </w:r>
            <w:r>
              <w:rPr>
                <w:color w:val="333333"/>
                <w:sz w:val="20"/>
                <w:szCs w:val="20"/>
              </w:rPr>
              <w:t xml:space="preserve">Diabetes Risk Stratification — NOT READY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8020" w:sz="4"/>
              <w:left w:val="single" w:color="C08020" w:sz="8"/>
              <w:bottom w:val="single" w:color="C08020" w:sz="4"/>
              <w:right w:val="single" w:color="C08020" w:sz="4"/>
            </w:tcBorders>
            <w:shd w:fill="FDF6E8" w:val="clear"/>
            <w:tcMar>
              <w:top w:type="dxa" w:w="120"/>
              <w:left w:type="dxa" w:w="200"/>
              <w:bottom w:type="dxa" w:w="120"/>
              <w:right w:type="dxa" w:w="200"/>
            </w:tcMar>
          </w:tcPr>
          <w:p>
            <w:pPr>
              <w:spacing w:after="60"/>
            </w:pPr>
            <w:r>
              <w:rPr>
                <w:b/>
                <w:bCs/>
                <w:color w:val="1F3864"/>
                <w:sz w:val="20"/>
                <w:szCs w:val="20"/>
              </w:rPr>
              <w:t xml:space="preserve">Remediation Actions</w:t>
            </w:r>
          </w:p>
          <w:p>
            <w:pPr>
              <w:spacing w:after="40"/>
              <w:ind w:left="160" w:hanging="160"/>
            </w:pPr>
            <w:r>
              <w:rPr>
                <w:color w:val="333333"/>
                <w:sz w:val="20"/>
                <w:szCs w:val="20"/>
              </w:rPr>
              <w:t xml:space="preserve">•  Improve patient-device linkage by standardizing patient ID handling in device ingestion pipeline</w:t>
            </w:r>
          </w:p>
          <w:p>
            <w:pPr>
              <w:spacing w:after="40"/>
              <w:ind w:left="160" w:hanging="160"/>
            </w:pPr>
            <w:r>
              <w:rPr>
                <w:color w:val="333333"/>
                <w:sz w:val="20"/>
                <w:szCs w:val="20"/>
              </w:rPr>
              <w:t xml:space="preserve">•  Recompute all derived metrics (TIR, GMI) from raw glucose time series to normalize across manufacturers</w:t>
            </w:r>
          </w:p>
          <w:p>
            <w:pPr>
              <w:spacing w:after="40"/>
              <w:ind w:left="160" w:hanging="160"/>
            </w:pPr>
            <w:r>
              <w:rPr>
                <w:color w:val="333333"/>
                <w:sz w:val="20"/>
                <w:szCs w:val="20"/>
              </w:rPr>
              <w:t xml:space="preserve">•  Flag patients with insufficient coverage and implement outreach to improve device adherence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6F" w:sz="4"/>
              <w:left w:val="single" w:color="2A7A6F" w:sz="8"/>
              <w:bottom w:val="single" w:color="2A7A6F" w:sz="4"/>
              <w:right w:val="single" w:color="2A7A6F" w:sz="4"/>
            </w:tcBorders>
            <w:shd w:fill="EAF4F1" w:val="clear"/>
            <w:tcMar>
              <w:top w:type="dxa" w:w="120"/>
              <w:left w:type="dxa" w:w="200"/>
              <w:bottom w:type="dxa" w:w="120"/>
              <w:right w:type="dxa" w:w="200"/>
            </w:tcMar>
          </w:tcPr>
          <w:p>
            <w:pPr>
              <w:spacing w:after="60"/>
            </w:pPr>
            <w:r>
              <w:rPr>
                <w:b/>
                <w:bCs/>
                <w:color w:val="1F3864"/>
                <w:sz w:val="20"/>
                <w:szCs w:val="20"/>
              </w:rPr>
              <w:t xml:space="preserve">After Remediation</w:t>
            </w:r>
          </w:p>
          <w:p>
            <w:pPr>
              <w:spacing w:after="40"/>
              <w:ind w:left="160" w:hanging="160"/>
            </w:pPr>
            <w:r>
              <w:rPr>
                <w:color w:val="333333"/>
                <w:sz w:val="20"/>
                <w:szCs w:val="20"/>
              </w:rPr>
              <w:t xml:space="preserve">•  Improved patient-device linkage increases usable patient population</w:t>
            </w:r>
          </w:p>
          <w:p>
            <w:pPr>
              <w:spacing w:after="40"/>
              <w:ind w:left="160" w:hanging="160"/>
            </w:pPr>
            <w:r>
              <w:rPr>
                <w:color w:val="333333"/>
                <w:sz w:val="20"/>
                <w:szCs w:val="20"/>
              </w:rPr>
              <w:t xml:space="preserve">•  Temporal coverage meets threshold for majority of enrolled patients</w:t>
            </w:r>
          </w:p>
          <w:p>
            <w:pPr>
              <w:spacing w:after="40"/>
              <w:ind w:left="160" w:hanging="160"/>
            </w:pPr>
            <w:r>
              <w:rPr>
                <w:color w:val="333333"/>
                <w:sz w:val="20"/>
                <w:szCs w:val="20"/>
              </w:rPr>
              <w:t xml:space="preserve">•  Derived metrics are consistent across device types</w:t>
            </w:r>
          </w:p>
          <w:p>
            <w:pPr>
              <w:spacing w:after="40"/>
              <w:ind w:left="160" w:hanging="160"/>
            </w:pPr>
            <w:r>
              <w:rPr>
                <w:color w:val="333333"/>
                <w:sz w:val="20"/>
                <w:szCs w:val="20"/>
              </w:rPr>
              <w:t xml:space="preserve">•  Capability unlocked: ability to run glycemic control algorithms and identify high-risk patients for care coordination</w:t>
            </w:r>
          </w:p>
          <w:p>
            <w:pPr>
              <w:spacing w:after="0" w:before="80"/>
            </w:pPr>
            <w:r>
              <w:rPr>
                <w:b/>
                <w:bCs/>
                <w:color w:val="1F3864"/>
                <w:sz w:val="20"/>
                <w:szCs w:val="20"/>
              </w:rPr>
              <w:t xml:space="preserve">Result: </w:t>
            </w:r>
            <w:r>
              <w:rPr>
                <w:color w:val="333333"/>
                <w:sz w:val="20"/>
                <w:szCs w:val="20"/>
              </w:rPr>
              <w:t xml:space="preserve">Diabetes Risk Stratification — PARTIALLY READY → READY (depending on site thresholds)</w:t>
            </w:r>
          </w:p>
        </w:tc>
      </w:tr>
    </w:tbl>
    <w:p>
      <w:pPr>
        <w:spacing w:after="80"/>
      </w:pPr>
      <w:r>
        <w:t xml:space="preserve"/>
      </w:r>
    </w:p>
    <w:p>
      <w:pPr>
        <w:spacing w:after="100"/>
      </w:pPr>
      <w:r>
        <w:t xml:space="preserve">The full device event model, device-specific check registry, and concordance logic are documented in the companion Device Data Model &amp; Readiness Extension document.</w:t>
      </w:r>
    </w:p>
    <w:p>
      <w:pPr>
        <w:spacing w:after="80"/>
      </w:pPr>
      <w:r>
        <w:t xml:space="preserve"/>
      </w:r>
    </w:p>
    <w:p>
      <w:pPr>
        <w:pBdr>
          <w:bottom w:val="single" w:color="D0DCE8" w:sz="4" w:space="1"/>
        </w:pBdr>
        <w:spacing w:after="120" w:before="120"/>
      </w:pPr>
      <w:r>
        <w:t xml:space="preserve"/>
      </w:r>
    </w:p>
    <w:p>
      <w:pPr>
        <w:pStyle w:val="Heading2"/>
      </w:pPr>
      <w:r>
        <w:t xml:space="preserve">Data Sufficiency vs. Data Quality</w:t>
      </w:r>
    </w:p>
    <w:p>
      <w:pPr>
        <w:spacing w:after="100"/>
      </w:pPr>
      <w:r>
        <w:t xml:space="preserve">A variable may be technically correct and clinically plausible but still insufficient for a given use case due to lack of temporal density or population coverage. The methodology distinguishes between two related but distinct concepts:</w:t>
      </w:r>
    </w:p>
    <w:p>
      <w:pPr>
        <w:spacing w:after="80"/>
      </w:pPr>
      <w:r>
        <w:t xml:space="preserve"/>
      </w:r>
    </w:p>
    <w:p>
      <w:pPr>
        <w:spacing w:after="100"/>
      </w:pPr>
      <w:r>
        <w:rPr>
          <w:b/>
          <w:bCs/>
        </w:rPr>
        <w:t xml:space="preserve">Data quality — </w:t>
      </w:r>
      <w:r>
        <w:t xml:space="preserve">correctness of the data: values are valid, mapped, linked, and temporally coherent.</w:t>
      </w:r>
    </w:p>
    <w:p>
      <w:pPr>
        <w:spacing w:after="80"/>
      </w:pPr>
      <w:r>
        <w:t xml:space="preserve"/>
      </w:r>
    </w:p>
    <w:p>
      <w:pPr>
        <w:spacing w:after="100"/>
      </w:pPr>
      <w:r>
        <w:rPr>
          <w:b/>
          <w:bCs/>
        </w:rPr>
        <w:t xml:space="preserve">Data sufficiency — </w:t>
      </w:r>
      <w:r>
        <w:t xml:space="preserve">availability of the data for use: enough records are present, with adequate coverage and density, to support the intended analysis.</w:t>
      </w:r>
    </w:p>
    <w:p>
      <w:pPr>
        <w:spacing w:after="80"/>
      </w:pPr>
      <w:r>
        <w:t xml:space="preserve"/>
      </w:r>
    </w:p>
    <w:p>
      <w:pPr>
        <w:spacing w:after="100"/>
      </w:pPr>
      <w:r>
        <w:t xml:space="preserve">This distinction is especially important for device data, where a CGM feed may produce plausible glucose values but still fall below the temporal density threshold required for TIR computation or risk stratification. A site can have high data quality and low data sufficiency simultaneously — and both must be addressed for a use case to be viable.</w:t>
      </w:r>
    </w:p>
    <w:p>
      <w:pPr>
        <w:spacing w:after="80"/>
      </w:pPr>
      <w:r>
        <w:t xml:space="preserve"/>
      </w:r>
    </w:p>
    <w:p>
      <w:pPr>
        <w:spacing w:after="100"/>
      </w:pPr>
      <w:r>
        <w:t xml:space="preserve">Derived metrics such as TIR and GMI are treated as outputs of the data evaluation, not inputs to the readiness assessment. Their reliability depends on the underlying data quality and sufficiency of the raw time series.</w:t>
      </w:r>
    </w:p>
    <w:p>
      <w:pPr>
        <w:spacing w:after="80"/>
      </w:pPr>
      <w:r>
        <w:t xml:space="preserve"/>
      </w:r>
    </w:p>
    <w:p>
      <w:pPr>
        <w:pBdr>
          <w:bottom w:val="single" w:color="D0DCE8" w:sz="4" w:space="1"/>
        </w:pBdr>
        <w:spacing w:after="120" w:before="120"/>
      </w:pPr>
      <w:r>
        <w:t xml:space="preserve"/>
      </w:r>
    </w:p>
    <w:p>
      <w:pPr>
        <w:pStyle w:val="Heading2"/>
      </w:pPr>
      <w:r>
        <w:t xml:space="preserve">Score Interpretation and Progressive Disclosure</w:t>
      </w:r>
    </w:p>
    <w:p>
      <w:pPr>
        <w:spacing w:after="100"/>
      </w:pPr>
      <w:r>
        <w:t xml:space="preserve">Readiness outputs are designed for multiple audiences. Clinical and operational leaders see use-case readiness status and key blockers. Program managers see variable-level scores and domain detail. Data infrastructure teams see individual check results and remediation steps. The same underlying scoring system serves all three levels.</w:t>
      </w:r>
    </w:p>
    <w:p>
      <w:pPr>
        <w:spacing w:after="80"/>
      </w:pPr>
      <w:r>
        <w:t xml:space="preserve"/>
      </w:r>
    </w:p>
    <w:p>
      <w:pPr>
        <w:pStyle w:val="Heading2"/>
      </w:pPr>
      <w:r>
        <w:t xml:space="preserve">Methodology Development</w:t>
      </w:r>
    </w:p>
    <w:p>
      <w:pPr>
        <w:spacing w:after="100"/>
      </w:pPr>
      <w:r>
        <w:t xml:space="preserve">The methodology is being developed collaboratively with academic data quality partners and will be released under an open-source framework. Companion documents include the Technical Specification (check registry and scoring model) and the Device Data Model &amp; Readiness Extension (device-specific implementation).</w:t>
      </w:r>
    </w:p>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bullet"/>
      <w:lvlText w:val="•"/>
      <w:lvlJc w:val="left"/>
      <w:pPr>
        <w:spacing w:after="60"/>
        <w:ind w:left="600" w:hanging="300"/>
      </w:pPr>
    </w:lvl>
  </w:abstractNum>
  <w:abstractNum w:abstractNumId="4" w15:restartNumberingAfterBreak="0">
    <w:multiLevelType w:val="hybridMultilevel"/>
    <w:lvl w:ilvl="0" w15:tentative="1">
      <w:start w:val="1"/>
      <w:numFmt w:val="bullet"/>
      <w:lvlText w:val="•"/>
      <w:lvlJc w:val="left"/>
      <w:pPr>
        <w:spacing w:after="60"/>
        <w:ind w:left="600" w:hanging="300"/>
      </w:pPr>
    </w:lvl>
  </w:abstractNum>
  <w:abstractNum w:abstractNumId="5" w15:restartNumberingAfterBreak="0">
    <w:multiLevelType w:val="hybridMultilevel"/>
    <w:lvl w:ilvl="0" w15:tentative="1">
      <w:start w:val="1"/>
      <w:numFmt w:val="bullet"/>
      <w:lvlText w:val="•"/>
      <w:lvlJc w:val="left"/>
      <w:pPr>
        <w:spacing w:after="60"/>
        <w:ind w:left="600" w:hanging="300"/>
      </w:pPr>
    </w:lvl>
  </w:abstractNum>
  <w:abstractNum w:abstractNumId="6" w15:restartNumberingAfterBreak="0">
    <w:multiLevelType w:val="hybridMultilevel"/>
    <w:lvl w:ilvl="0" w15:tentative="1">
      <w:start w:val="1"/>
      <w:numFmt w:val="bullet"/>
      <w:lvlText w:val="•"/>
      <w:lvlJc w:val="left"/>
      <w:pPr>
        <w:spacing w:after="60"/>
        <w:ind w:left="600" w:hanging="300"/>
      </w:pPr>
    </w:lvl>
  </w:abstractNum>
  <w:abstractNum w:abstractNumId="7" w15:restartNumberingAfterBreak="0">
    <w:multiLevelType w:val="hybridMultilevel"/>
    <w:lvl w:ilvl="0" w15:tentative="1">
      <w:start w:val="1"/>
      <w:numFmt w:val="bullet"/>
      <w:lvlText w:val="•"/>
      <w:lvlJc w:val="left"/>
      <w:pPr>
        <w:spacing w:after="60"/>
        <w:ind w:left="600" w:hanging="300"/>
      </w:pPr>
    </w:lvl>
  </w:abstractNum>
  <w:abstractNum w:abstractNumId="8" w15:restartNumberingAfterBreak="0">
    <w:multiLevelType w:val="hybridMultilevel"/>
    <w:lvl w:ilvl="0" w15:tentative="1">
      <w:start w:val="1"/>
      <w:numFmt w:val="bullet"/>
      <w:lvlText w:val="•"/>
      <w:lvlJc w:val="left"/>
      <w:pPr>
        <w:spacing w:after="60"/>
        <w:ind w:left="600" w:hanging="300"/>
      </w:pPr>
    </w:lvl>
  </w:abstractNum>
  <w:abstractNum w:abstractNumId="9"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F9E"/>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2026-03-30T14:27:00.170Z</dcterms:created>
  <dcterms:modified xsi:type="dcterms:W3CDTF">2026-03-30T14:27:00.170Z</dcterms:modified>
</cp:coreProperties>
</file>

<file path=docProps/custom.xml><?xml version="1.0" encoding="utf-8"?>
<Properties xmlns="http://schemas.openxmlformats.org/officeDocument/2006/custom-properties" xmlns:vt="http://schemas.openxmlformats.org/officeDocument/2006/docPropsVTypes"/>
</file>