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Minimal Pilot Concept</w:t>
      </w:r>
    </w:p>
    <w:p>
      <w:pPr>
        <w:spacing w:after="160"/>
      </w:pPr>
      <w:r>
        <w:rPr>
          <w:color w:val="555555"/>
          <w:sz w:val="24"/>
          <w:szCs w:val="24"/>
        </w:rPr>
        <w:t xml:space="preserve">CKM Data Readiness Infrastructure Pilot</w:t>
      </w:r>
    </w:p>
    <w:p>
      <w:pPr>
        <w:spacing w:after="80"/>
      </w:pPr>
      <w:r>
        <w:t xml:space="preserve"/>
      </w:r>
    </w:p>
    <w:p>
      <w:pPr>
        <w:pStyle w:val="Heading2"/>
      </w:pPr>
      <w:r>
        <w:t xml:space="preserve">Purpose</w:t>
      </w:r>
    </w:p>
    <w:p>
      <w:pPr>
        <w:spacing w:after="100"/>
      </w:pPr>
      <w:r>
        <w:t xml:space="preserve">Rural primary care clinics face increasing expectations to deliver data-driven care for cardiometabolic (CKM) conditions, yet most lack the infrastructure required to operationalize clinical data for risk identification, care coordination, and value-based reporting. Existing data systems often contain large volumes of information but provide limited insight into whether that data is actually usable for specific clinical programs.</w:t>
      </w:r>
    </w:p>
    <w:p>
      <w:pPr>
        <w:spacing w:after="80"/>
      </w:pPr>
      <w:r>
        <w:t xml:space="preserve"/>
      </w:r>
    </w:p>
    <w:p>
      <w:pPr>
        <w:spacing w:after="100"/>
      </w:pPr>
      <w:r>
        <w:t xml:space="preserve">This pilot proposes the development and demonstration of CKM Data Readiness Infrastructure designed to evaluate whether available clinical data is operationally usable and to guide institutions in improving data readiness over time.</w:t>
      </w:r>
    </w:p>
    <w:p>
      <w:pPr>
        <w:spacing w:after="80"/>
      </w:pPr>
      <w:r>
        <w:t xml:space="preserve"/>
      </w:r>
    </w:p>
    <w:p>
      <w:pPr>
        <w:spacing w:after="100"/>
      </w:pPr>
      <w:r>
        <w:t xml:space="preserve">The goal is not to build another population health platform, but to provide the diagnostic and remediation framework necessary to enable existing clinical programs and value-based care initiatives to operate effectively.</w:t>
      </w:r>
    </w:p>
    <w:p>
      <w:pPr>
        <w:spacing w:after="80"/>
      </w:pPr>
      <w:r>
        <w:t xml:space="preserve"/>
      </w:r>
    </w:p>
    <w:p>
      <w:pPr>
        <w:pStyle w:val="Heading2"/>
      </w:pPr>
      <w:r>
        <w:t xml:space="preserve">Problem</w:t>
      </w:r>
    </w:p>
    <w:p>
      <w:pPr>
        <w:spacing w:after="100"/>
      </w:pPr>
      <w:r>
        <w:t xml:space="preserve">Cardiometabolic conditions — heart failure, diabetes, hypertension, and related metabolic disorders — drive a substantial portion of healthcare morbidity, mortality, and cost. Many emerging care models rely on clinical data to support:</w:t>
      </w:r>
    </w:p>
    <w:p>
      <w:pPr>
        <w:pStyle w:val="ListParagraph"/>
        <w:numPr>
          <w:ilvl w:val="0"/>
          <w:numId w:val="2"/>
        </w:numPr>
      </w:pPr>
      <w:r>
        <w:t xml:space="preserve">Risk stratification</w:t>
      </w:r>
    </w:p>
    <w:p>
      <w:pPr>
        <w:pStyle w:val="ListParagraph"/>
        <w:numPr>
          <w:ilvl w:val="0"/>
          <w:numId w:val="2"/>
        </w:numPr>
      </w:pPr>
      <w:r>
        <w:t xml:space="preserve">Proactive care coordination</w:t>
      </w:r>
    </w:p>
    <w:p>
      <w:pPr>
        <w:pStyle w:val="ListParagraph"/>
        <w:numPr>
          <w:ilvl w:val="0"/>
          <w:numId w:val="2"/>
        </w:numPr>
      </w:pPr>
      <w:r>
        <w:t xml:space="preserve">Value-based care reporting</w:t>
      </w:r>
    </w:p>
    <w:p>
      <w:pPr>
        <w:spacing w:after="80"/>
      </w:pPr>
      <w:r>
        <w:t xml:space="preserve"/>
      </w:r>
    </w:p>
    <w:p>
      <w:pPr>
        <w:spacing w:after="100"/>
      </w:pPr>
      <w:r>
        <w:t xml:space="preserve">However, in practice most healthcare organizations do not know whether their available data is fit for purpose for these operational contexts. Common barriers include:</w:t>
      </w:r>
    </w:p>
    <w:p>
      <w:pPr>
        <w:pStyle w:val="ListParagraph"/>
        <w:numPr>
          <w:ilvl w:val="0"/>
          <w:numId w:val="3"/>
        </w:numPr>
      </w:pPr>
      <w:r>
        <w:t xml:space="preserve">Incomplete or inconsistent clinical data</w:t>
      </w:r>
    </w:p>
    <w:p>
      <w:pPr>
        <w:pStyle w:val="ListParagraph"/>
        <w:numPr>
          <w:ilvl w:val="0"/>
          <w:numId w:val="3"/>
        </w:numPr>
      </w:pPr>
      <w:r>
        <w:t xml:space="preserve">Fragmented device and EHR data streams</w:t>
      </w:r>
    </w:p>
    <w:p>
      <w:pPr>
        <w:pStyle w:val="ListParagraph"/>
        <w:numPr>
          <w:ilvl w:val="0"/>
          <w:numId w:val="3"/>
        </w:numPr>
      </w:pPr>
      <w:r>
        <w:t xml:space="preserve">Unclear ownership of data remediation</w:t>
      </w:r>
    </w:p>
    <w:p>
      <w:pPr>
        <w:pStyle w:val="ListParagraph"/>
        <w:numPr>
          <w:ilvl w:val="0"/>
          <w:numId w:val="3"/>
        </w:numPr>
      </w:pPr>
      <w:r>
        <w:t xml:space="preserve">Lack of systematic methods to evaluate operational data readiness</w:t>
      </w:r>
    </w:p>
    <w:p>
      <w:pPr>
        <w:spacing w:after="80"/>
      </w:pPr>
      <w:r>
        <w:t xml:space="preserve"/>
      </w:r>
    </w:p>
    <w:p>
      <w:pPr>
        <w:spacing w:after="100"/>
      </w:pPr>
      <w:r>
        <w:t xml:space="preserve">These challenges are particularly acute in rural care settings, where clinical teams often lack the resources required to operationalize complex data infrastructure.</w:t>
      </w:r>
    </w:p>
    <w:p>
      <w:pPr>
        <w:spacing w:after="80"/>
      </w:pPr>
      <w:r>
        <w:t xml:space="preserve"/>
      </w:r>
    </w:p>
    <w:p>
      <w:pPr>
        <w:pStyle w:val="Heading2"/>
      </w:pPr>
      <w:r>
        <w:t xml:space="preserve">Pilot Concept</w:t>
      </w:r>
    </w:p>
    <w:p>
      <w:pPr>
        <w:spacing w:after="100"/>
      </w:pPr>
      <w:r>
        <w:t xml:space="preserve">The pilot will develop and demonstrate CKM Data Readiness Infrastructure that evaluates whether available data is usable for specific clinical programs and identifies prioritized steps for improving readiness.</w:t>
      </w:r>
    </w:p>
    <w:p>
      <w:pPr>
        <w:spacing w:after="80"/>
      </w:pPr>
      <w:r>
        <w:t xml:space="preserve"/>
      </w:r>
    </w:p>
    <w:p>
      <w:pPr>
        <w:spacing w:after="100"/>
      </w:pPr>
      <w:r>
        <w:t xml:space="preserve">The methodology evaluates data readiness at the variable level — assessing each clinical variable (such as blood pressure, CGM glucose, or weight) across two dimensions: technical quality (ingestion, mapping, identity resolution) and clinical readiness (plausibility, temporal consistency, concordance). Fit-for-purpose is then determined at the use-case level, by evaluating whether the full set of variables required for a specific program meets the threshold for operational use. This approach enables the infrastructure to identify precisely which variables are blocking a use case and what remediation would unlock capability.</w:t>
      </w:r>
    </w:p>
    <w:p>
      <w:pPr>
        <w:spacing w:after="80"/>
      </w:pPr>
      <w:r>
        <w:t xml:space="preserve"/>
      </w:r>
    </w:p>
    <w:p>
      <w:pPr>
        <w:spacing w:after="100"/>
      </w:pPr>
      <w:r>
        <w:t xml:space="preserve">The infrastructure integrates with the regional data aggregation node that already provides the most reliable clinical data access in a given ecosystem. Depending on the region, this may be:</w:t>
      </w:r>
    </w:p>
    <w:p>
      <w:pPr>
        <w:pStyle w:val="ListParagraph"/>
        <w:numPr>
          <w:ilvl w:val="0"/>
          <w:numId w:val="4"/>
        </w:numPr>
      </w:pPr>
      <w:r>
        <w:t xml:space="preserve">A Health Information Exchange (HIE)</w:t>
      </w:r>
    </w:p>
    <w:p>
      <w:pPr>
        <w:pStyle w:val="ListParagraph"/>
        <w:numPr>
          <w:ilvl w:val="0"/>
          <w:numId w:val="4"/>
        </w:numPr>
      </w:pPr>
      <w:r>
        <w:t xml:space="preserve">An Accountable Care Organization (ACO) platform</w:t>
      </w:r>
    </w:p>
    <w:p>
      <w:pPr>
        <w:pStyle w:val="ListParagraph"/>
        <w:numPr>
          <w:ilvl w:val="0"/>
          <w:numId w:val="4"/>
        </w:numPr>
      </w:pPr>
      <w:r>
        <w:t xml:space="preserve">An Integrated Delivery Network (IDN) data environment</w:t>
      </w:r>
    </w:p>
    <w:p>
      <w:pPr>
        <w:pStyle w:val="ListParagraph"/>
        <w:numPr>
          <w:ilvl w:val="0"/>
          <w:numId w:val="4"/>
        </w:numPr>
      </w:pPr>
      <w:r>
        <w:t xml:space="preserve">A state or regional health data utility</w:t>
      </w:r>
    </w:p>
    <w:p>
      <w:pPr>
        <w:spacing w:after="80"/>
      </w:pPr>
      <w:r>
        <w:t xml:space="preserve"/>
      </w:r>
    </w:p>
    <w:p>
      <w:pPr>
        <w:spacing w:after="100"/>
      </w:pPr>
      <w:r>
        <w:t xml:space="preserve">Rather than assuming data quality or completeness, the readiness infrastructure evaluates whether data is operationally usable for specific clinical functions and generates targeted remediation steps that can be addressed incrementally.</w:t>
      </w:r>
    </w:p>
    <w:p>
      <w:pPr>
        <w:spacing w:after="80"/>
      </w:pPr>
      <w:r>
        <w:t xml:space="preserve"/>
      </w:r>
    </w:p>
    <w:p>
      <w:pPr>
        <w:pStyle w:val="Heading2"/>
      </w:pPr>
      <w:r>
        <w:t xml:space="preserve">Architecture Principle</w:t>
      </w:r>
    </w:p>
    <w:p>
      <w:pPr>
        <w:spacing w:after="100"/>
      </w:pPr>
      <w:r>
        <w:t xml:space="preserve">The infrastructure is modular and adaptive. Oros components may supplement existing regional data infrastructure or provide foundational capabilities where those capabilities are missing.</w:t>
      </w:r>
    </w:p>
    <w:p>
      <w:pPr>
        <w:spacing w:after="80"/>
      </w:pPr>
      <w:r>
        <w:t xml:space="preserve"/>
      </w:r>
    </w:p>
    <w:p>
      <w:pPr>
        <w:spacing w:after="100"/>
      </w:pPr>
      <w:r>
        <w:t xml:space="preserve">In regions where ingestion, harmonization, and identity resolution already exist, the pilot may primarily deploy the readiness scoring layer. In less mature environments, additional Oros modules may be used to support those foundational functions.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9E" w:sz="4"/>
              <w:left w:val="single" w:color="2E5F9E" w:sz="12"/>
              <w:bottom w:val="single" w:color="2E5F9E" w:sz="4"/>
              <w:right w:val="single" w:color="2E5F9E" w:sz="4"/>
            </w:tcBorders>
            <w:shd w:fill="EEF4FB" w:val="clear"/>
            <w:tcMar>
              <w:top w:type="dxa" w:w="120"/>
              <w:left w:type="dxa" w:w="200"/>
              <w:bottom w:type="dxa" w:w="120"/>
              <w:right w:type="dxa" w:w="200"/>
            </w:tcMar>
          </w:tcPr>
          <w:p>
            <w:r>
              <w:rPr>
                <w:b/>
                <w:bCs/>
                <w:color w:val="1F3864"/>
                <w:sz w:val="22"/>
                <w:szCs w:val="22"/>
              </w:rPr>
              <w:t xml:space="preserve">Core Design Principle: Modular infrastructure deployed as needed based on the maturity of the regional data environment.</w:t>
            </w:r>
          </w:p>
        </w:tc>
      </w:tr>
    </w:tbl>
    <w:p>
      <w:pPr>
        <w:spacing w:after="80"/>
      </w:pPr>
      <w:r>
        <w:t xml:space="preserve"/>
      </w:r>
    </w:p>
    <w:p>
      <w:pPr>
        <w:pStyle w:val="Heading2"/>
      </w:pPr>
      <w:r>
        <w:t xml:space="preserve">Oros Infrastructure Modules</w:t>
      </w:r>
    </w:p>
    <w:p>
      <w:pPr>
        <w:spacing w:after="100"/>
      </w:pPr>
      <w:r>
        <w:t xml:space="preserve">The following modules are available to supplement regional capabilities where gaps exist:</w:t>
      </w:r>
    </w:p>
    <w:p>
      <w:pPr>
        <w:pStyle w:val="ListParagraph"/>
        <w:numPr>
          <w:ilvl w:val="0"/>
          <w:numId w:val="5"/>
        </w:numPr>
      </w:pPr>
      <w:r>
        <w:t xml:space="preserve">Data ingestion — HL7 v2, FHIR, CCD/C-CDA, device feeds</w:t>
      </w:r>
    </w:p>
    <w:p>
      <w:pPr>
        <w:pStyle w:val="ListParagraph"/>
        <w:numPr>
          <w:ilvl w:val="0"/>
          <w:numId w:val="5"/>
        </w:numPr>
      </w:pPr>
      <w:r>
        <w:t xml:space="preserve">Identity resolution — EMPI / patient matching</w:t>
      </w:r>
    </w:p>
    <w:p>
      <w:pPr>
        <w:pStyle w:val="ListParagraph"/>
        <w:numPr>
          <w:ilvl w:val="0"/>
          <w:numId w:val="5"/>
        </w:numPr>
      </w:pPr>
      <w:r>
        <w:t xml:space="preserve">Data harmonization and terminology mapping</w:t>
      </w:r>
    </w:p>
    <w:p>
      <w:pPr>
        <w:pStyle w:val="ListParagraph"/>
        <w:numPr>
          <w:ilvl w:val="0"/>
          <w:numId w:val="5"/>
        </w:numPr>
      </w:pPr>
      <w:r>
        <w:t xml:space="preserve">Common data model storage — FHIR, OMOP, or equivalent</w:t>
      </w:r>
    </w:p>
    <w:p>
      <w:pPr>
        <w:pStyle w:val="ListParagraph"/>
        <w:numPr>
          <w:ilvl w:val="0"/>
          <w:numId w:val="5"/>
        </w:numPr>
      </w:pPr>
      <w:r>
        <w:t xml:space="preserve">Data readiness scoring</w:t>
      </w:r>
    </w:p>
    <w:p>
      <w:pPr>
        <w:pStyle w:val="ListParagraph"/>
        <w:numPr>
          <w:ilvl w:val="0"/>
          <w:numId w:val="5"/>
        </w:numPr>
      </w:pPr>
      <w:r>
        <w:t xml:space="preserve">Operational signal generation</w:t>
      </w:r>
    </w:p>
    <w:p>
      <w:pPr>
        <w:spacing w:after="80"/>
      </w:pPr>
      <w:r>
        <w:t xml:space="preserve"/>
      </w:r>
    </w:p>
    <w:p>
      <w:pPr>
        <w:pStyle w:val="Heading2"/>
      </w:pPr>
      <w:r>
        <w:t xml:space="preserve">Three Operational Contexts</w:t>
      </w:r>
    </w:p>
    <w:p>
      <w:pPr>
        <w:spacing w:after="100"/>
      </w:pPr>
      <w:r>
        <w:t xml:space="preserve">The infrastructure evaluates data readiness across three operational contexts:</w:t>
      </w:r>
    </w:p>
    <w:p>
      <w:pPr>
        <w:spacing w:after="80"/>
      </w:pPr>
      <w:r>
        <w:t xml:space="preserve"/>
      </w:r>
    </w:p>
    <w:p>
      <w:pPr>
        <w:pStyle w:val="Heading3"/>
      </w:pPr>
      <w:r>
        <w:t xml:space="preserve">Risk Stratification</w:t>
      </w:r>
    </w:p>
    <w:p>
      <w:pPr>
        <w:spacing w:after="100"/>
      </w:pPr>
      <w:r>
        <w:t xml:space="preserve">Identify patients at elevated clinical risk using available data streams. Examples:</w:t>
      </w:r>
    </w:p>
    <w:p>
      <w:pPr>
        <w:pStyle w:val="ListParagraph"/>
        <w:numPr>
          <w:ilvl w:val="0"/>
          <w:numId w:val="6"/>
        </w:numPr>
      </w:pPr>
      <w:r>
        <w:t xml:space="preserve">Device signals (CGM, weight scales, BP monitors)</w:t>
      </w:r>
    </w:p>
    <w:p>
      <w:pPr>
        <w:pStyle w:val="ListParagraph"/>
        <w:numPr>
          <w:ilvl w:val="0"/>
          <w:numId w:val="6"/>
        </w:numPr>
      </w:pPr>
      <w:r>
        <w:t xml:space="preserve">EHR signals (labs, encounters, medications)</w:t>
      </w:r>
    </w:p>
    <w:p>
      <w:pPr>
        <w:spacing w:after="80"/>
      </w:pPr>
      <w:r>
        <w:t xml:space="preserve"/>
      </w:r>
    </w:p>
    <w:p>
      <w:pPr>
        <w:pStyle w:val="Heading3"/>
      </w:pPr>
      <w:r>
        <w:t xml:space="preserve">Care Coordination and Delivery</w:t>
      </w:r>
    </w:p>
    <w:p>
      <w:pPr>
        <w:spacing w:after="100"/>
      </w:pPr>
      <w:r>
        <w:t xml:space="preserve">Support proactive clinical response and collaboration between primary care teams and specialists. Examples:</w:t>
      </w:r>
    </w:p>
    <w:p>
      <w:pPr>
        <w:pStyle w:val="ListParagraph"/>
        <w:numPr>
          <w:ilvl w:val="0"/>
          <w:numId w:val="7"/>
        </w:numPr>
      </w:pPr>
      <w:r>
        <w:t xml:space="preserve">Patient outreach workflows</w:t>
      </w:r>
    </w:p>
    <w:p>
      <w:pPr>
        <w:pStyle w:val="ListParagraph"/>
        <w:numPr>
          <w:ilvl w:val="0"/>
          <w:numId w:val="7"/>
        </w:numPr>
      </w:pPr>
      <w:r>
        <w:t xml:space="preserve">Medication adjustments</w:t>
      </w:r>
    </w:p>
    <w:p>
      <w:pPr>
        <w:pStyle w:val="ListParagraph"/>
        <w:numPr>
          <w:ilvl w:val="0"/>
          <w:numId w:val="7"/>
        </w:numPr>
      </w:pPr>
      <w:r>
        <w:t xml:space="preserve">Specialist escalation pathways</w:t>
      </w:r>
    </w:p>
    <w:p>
      <w:pPr>
        <w:spacing w:after="80"/>
      </w:pPr>
      <w:r>
        <w:t xml:space="preserve"/>
      </w:r>
    </w:p>
    <w:p>
      <w:pPr>
        <w:pStyle w:val="Heading3"/>
      </w:pPr>
      <w:r>
        <w:t xml:space="preserve">Value-Based Care Reporting</w:t>
      </w:r>
    </w:p>
    <w:p>
      <w:pPr>
        <w:spacing w:after="100"/>
      </w:pPr>
      <w:r>
        <w:t xml:space="preserve">Support emerging payment models that require reliable clinical data for performance reporting. Example:</w:t>
      </w:r>
    </w:p>
    <w:p>
      <w:pPr>
        <w:pStyle w:val="ListParagraph"/>
        <w:numPr>
          <w:ilvl w:val="0"/>
          <w:numId w:val="8"/>
        </w:numPr>
      </w:pPr>
      <w:r>
        <w:t xml:space="preserve">CMS ACCESS CKM reporting track</w:t>
      </w:r>
    </w:p>
    <w:p>
      <w:pPr>
        <w:spacing w:after="80"/>
      </w:pPr>
      <w:r>
        <w:t xml:space="preserve"/>
      </w:r>
    </w:p>
    <w:p>
      <w:pPr>
        <w:pStyle w:val="Heading2"/>
      </w:pPr>
      <w:r>
        <w:t xml:space="preserve">Demonstration Condition</w:t>
      </w:r>
    </w:p>
    <w:p>
      <w:pPr>
        <w:spacing w:after="100"/>
      </w:pPr>
      <w:r>
        <w:t xml:space="preserve">The pilot will begin with a single demonstration condition selected in collaboration with participating clinical sites and data partners. The condition will not be predetermined — it will be chosen based on where clinical leadership, data availability, and operational motivation converge at the site level.</w:t>
      </w:r>
    </w:p>
    <w:p>
      <w:pPr>
        <w:spacing w:after="80"/>
      </w:pPr>
      <w:r>
        <w:t xml:space="preserve"/>
      </w:r>
    </w:p>
    <w:p>
      <w:pPr>
        <w:spacing w:after="100"/>
      </w:pPr>
      <w:r>
        <w:t xml:space="preserve">Selection will be guided by three criteria:</w:t>
      </w:r>
    </w:p>
    <w:p>
      <w:pPr>
        <w:pStyle w:val="ListParagraph"/>
        <w:numPr>
          <w:ilvl w:val="0"/>
          <w:numId w:val="9"/>
        </w:numPr>
      </w:pPr>
      <w:r>
        <w:t xml:space="preserve">Alignment with local clinical priorities and patient population needs at participating rural sites</w:t>
      </w:r>
    </w:p>
    <w:p>
      <w:pPr>
        <w:pStyle w:val="ListParagraph"/>
        <w:numPr>
          <w:ilvl w:val="0"/>
          <w:numId w:val="9"/>
        </w:numPr>
      </w:pPr>
      <w:r>
        <w:t xml:space="preserve">Availability of device-mediated signals that enable early operational use before full EHR integration is in place</w:t>
      </w:r>
    </w:p>
    <w:p>
      <w:pPr>
        <w:pStyle w:val="ListParagraph"/>
        <w:numPr>
          <w:ilvl w:val="0"/>
          <w:numId w:val="9"/>
        </w:numPr>
      </w:pPr>
      <w:r>
        <w:t xml:space="preserve">Presence of well-defined escalation pathways between primary care and specialty partners</w:t>
      </w:r>
    </w:p>
    <w:p>
      <w:pPr>
        <w:spacing w:after="80"/>
      </w:pPr>
      <w:r>
        <w:t xml:space="preserve"/>
      </w:r>
    </w:p>
    <w:p>
      <w:pPr>
        <w:spacing w:after="100"/>
      </w:pPr>
      <w:r>
        <w:t xml:space="preserve">Heart failure, diabetes, and hypertension each meet these criteria in different ways and represent strong candidates depending on site context. The infrastructure is designed to support any of these conditions through modular condition plug-ins, and the first demonstration condition will be expanded over time as additional CKM conditions are incorporated.</w:t>
      </w:r>
    </w:p>
    <w:p>
      <w:pPr>
        <w:spacing w:after="80"/>
      </w:pPr>
      <w:r>
        <w:t xml:space="preserve"/>
      </w:r>
    </w:p>
    <w:p>
      <w:pPr>
        <w:pStyle w:val="Heading2"/>
      </w:pPr>
      <w:r>
        <w:t xml:space="preserve">Pilot Scope</w:t>
      </w:r>
    </w:p>
    <w:p>
      <w:pPr>
        <w:spacing w:after="100"/>
      </w:pPr>
      <w:r>
        <w:t xml:space="preserve">The pilot will intentionally focus on a limited operational footprint to validate the concept:</w:t>
      </w:r>
    </w:p>
    <w:p>
      <w:pPr>
        <w:pStyle w:val="ListParagraph"/>
        <w:numPr>
          <w:ilvl w:val="0"/>
          <w:numId w:val="10"/>
        </w:numPr>
      </w:pPr>
      <w:r>
        <w:t xml:space="preserve">One regional data aggregation node</w:t>
      </w:r>
    </w:p>
    <w:p>
      <w:pPr>
        <w:pStyle w:val="ListParagraph"/>
        <w:numPr>
          <w:ilvl w:val="0"/>
          <w:numId w:val="10"/>
        </w:numPr>
      </w:pPr>
      <w:r>
        <w:t xml:space="preserve">Three to five participating rural clinics</w:t>
      </w:r>
    </w:p>
    <w:p>
      <w:pPr>
        <w:pStyle w:val="ListParagraph"/>
        <w:numPr>
          <w:ilvl w:val="0"/>
          <w:numId w:val="10"/>
        </w:numPr>
      </w:pPr>
      <w:r>
        <w:t xml:space="preserve">A single demonstration condition within the CKM umbrella</w:t>
      </w:r>
    </w:p>
    <w:p>
      <w:pPr>
        <w:spacing w:after="80"/>
      </w:pPr>
      <w:r>
        <w:t xml:space="preserve"/>
      </w:r>
    </w:p>
    <w:p>
      <w:pPr>
        <w:spacing w:after="100"/>
      </w:pPr>
      <w:r>
        <w:t xml:space="preserve">The goal is to implement a thin operational slice across data readiness, clinical workflow, and reporting capability.</w:t>
      </w:r>
    </w:p>
    <w:p>
      <w:pPr>
        <w:spacing w:after="80"/>
      </w:pPr>
      <w:r>
        <w:t xml:space="preserve"/>
      </w:r>
    </w:p>
    <w:p>
      <w:pPr>
        <w:pStyle w:val="Heading2"/>
      </w:pPr>
      <w:r>
        <w:t xml:space="preserve">Expected Outcomes</w:t>
      </w:r>
    </w:p>
    <w:p>
      <w:pPr>
        <w:spacing w:after="100"/>
      </w:pPr>
      <w:r>
        <w:t xml:space="preserve">The pilot aims to demonstrate that operational data readiness can be systematically evaluated and improved over time. Expected outcomes include:</w:t>
      </w:r>
    </w:p>
    <w:p>
      <w:pPr>
        <w:pStyle w:val="ListParagraph"/>
        <w:numPr>
          <w:ilvl w:val="0"/>
          <w:numId w:val="11"/>
        </w:numPr>
      </w:pPr>
      <w:r>
        <w:t xml:space="preserve">Improved visibility into data readiness constraints at the variable and use-case level</w:t>
      </w:r>
    </w:p>
    <w:p>
      <w:pPr>
        <w:pStyle w:val="ListParagraph"/>
        <w:numPr>
          <w:ilvl w:val="0"/>
          <w:numId w:val="11"/>
        </w:numPr>
      </w:pPr>
      <w:r>
        <w:t xml:space="preserve">Actionable remediation guidance for participating institutions</w:t>
      </w:r>
    </w:p>
    <w:p>
      <w:pPr>
        <w:pStyle w:val="ListParagraph"/>
        <w:numPr>
          <w:ilvl w:val="0"/>
          <w:numId w:val="11"/>
        </w:numPr>
      </w:pPr>
      <w:r>
        <w:t xml:space="preserve">Operational signal-to-action workflows in rural care settings</w:t>
      </w:r>
    </w:p>
    <w:p>
      <w:pPr>
        <w:pStyle w:val="ListParagraph"/>
        <w:numPr>
          <w:ilvl w:val="0"/>
          <w:numId w:val="11"/>
        </w:numPr>
      </w:pPr>
      <w:r>
        <w:t xml:space="preserve">Early risk stratification capability using device-mediated signals, providing operational value before full EHR integration is in place</w:t>
      </w:r>
    </w:p>
    <w:p>
      <w:pPr>
        <w:pStyle w:val="ListParagraph"/>
        <w:numPr>
          <w:ilvl w:val="0"/>
          <w:numId w:val="11"/>
        </w:numPr>
      </w:pPr>
      <w:r>
        <w:t xml:space="preserve">Readiness for CKM-aligned value-based care reporting</w:t>
      </w:r>
    </w:p>
    <w:p>
      <w:pPr>
        <w:pStyle w:val="ListParagraph"/>
        <w:numPr>
          <w:ilvl w:val="0"/>
          <w:numId w:val="11"/>
        </w:numPr>
      </w:pPr>
      <w:r>
        <w:t xml:space="preserve">A reusable methodology and open-source infrastructure modules adoptable by states, health systems, and regional data networks</w:t>
      </w:r>
    </w:p>
    <w:p>
      <w:pPr>
        <w:spacing w:after="80"/>
      </w:pPr>
      <w:r>
        <w:t xml:space="preserve"/>
      </w:r>
    </w:p>
    <w:p>
      <w:pPr>
        <w:spacing w:after="100"/>
      </w:pPr>
      <w:r>
        <w:t xml:space="preserve">Over time, improvements in operational data readiness will enable expanded care models, broader clinic participation, and support for additional CKM conditions.</w:t>
      </w:r>
    </w:p>
    <w:p>
      <w:pPr>
        <w:spacing w:after="80"/>
      </w:pPr>
      <w:r>
        <w:t xml:space="preserve"/>
      </w:r>
    </w:p>
    <w:p>
      <w:pPr>
        <w:pStyle w:val="Heading2"/>
      </w:pPr>
      <w:r>
        <w:t xml:space="preserve">Open Source Development</w:t>
      </w:r>
    </w:p>
    <w:p>
      <w:pPr>
        <w:spacing w:after="100"/>
      </w:pPr>
      <w:r>
        <w:t xml:space="preserve">All methodology and software developed through the pilot will be released under an open source framework to enable reuse across institutions and regions. Open development is necessary to:</w:t>
      </w:r>
    </w:p>
    <w:p>
      <w:pPr>
        <w:pStyle w:val="ListParagraph"/>
        <w:numPr>
          <w:ilvl w:val="0"/>
          <w:numId w:val="2"/>
        </w:numPr>
      </w:pPr>
      <w:r>
        <w:t xml:space="preserve">Allow participation from academic collaborators without technology transfer constraints</w:t>
      </w:r>
    </w:p>
    <w:p>
      <w:pPr>
        <w:pStyle w:val="ListParagraph"/>
        <w:numPr>
          <w:ilvl w:val="0"/>
          <w:numId w:val="2"/>
        </w:numPr>
      </w:pPr>
      <w:r>
        <w:t xml:space="preserve">Enable cross-institution learning</w:t>
      </w:r>
    </w:p>
    <w:p>
      <w:pPr>
        <w:pStyle w:val="ListParagraph"/>
        <w:numPr>
          <w:ilvl w:val="0"/>
          <w:numId w:val="2"/>
        </w:numPr>
      </w:pPr>
      <w:r>
        <w:t xml:space="preserve">Support broader adoption of data readiness infrastructure</w:t>
      </w:r>
    </w:p>
    <w:p>
      <w:pPr>
        <w:spacing w:after="80"/>
      </w:pPr>
      <w:r>
        <w:t xml:space="preserve"/>
      </w:r>
    </w:p>
    <w:p>
      <w:pPr>
        <w:pStyle w:val="Heading2"/>
      </w:pPr>
      <w:r>
        <w:t xml:space="preserve">Project Coordination</w:t>
      </w:r>
    </w:p>
    <w:p>
      <w:pPr>
        <w:spacing w:after="100"/>
      </w:pPr>
      <w:r>
        <w:t xml:space="preserve">The pilot will be coordinated through Oros, which will serve as the bridge between clinical teams, data partners, software development, and funding partners. Oros will support:</w:t>
      </w:r>
    </w:p>
    <w:p>
      <w:pPr>
        <w:pStyle w:val="ListParagraph"/>
        <w:numPr>
          <w:ilvl w:val="0"/>
          <w:numId w:val="3"/>
        </w:numPr>
      </w:pPr>
      <w:r>
        <w:t xml:space="preserve">Infrastructure design and software development</w:t>
      </w:r>
    </w:p>
    <w:p>
      <w:pPr>
        <w:pStyle w:val="ListParagraph"/>
        <w:numPr>
          <w:ilvl w:val="0"/>
          <w:numId w:val="3"/>
        </w:numPr>
      </w:pPr>
      <w:r>
        <w:t xml:space="preserve">Coordination with academic collaborators</w:t>
      </w:r>
    </w:p>
    <w:p>
      <w:pPr>
        <w:pStyle w:val="ListParagraph"/>
        <w:numPr>
          <w:ilvl w:val="0"/>
          <w:numId w:val="3"/>
        </w:numPr>
      </w:pPr>
      <w:r>
        <w:t xml:space="preserve">Engagement with participating rural clinics</w:t>
      </w:r>
    </w:p>
    <w:p>
      <w:pPr>
        <w:pStyle w:val="ListParagraph"/>
        <w:numPr>
          <w:ilvl w:val="0"/>
          <w:numId w:val="3"/>
        </w:numPr>
      </w:pPr>
      <w:r>
        <w:t xml:space="preserve">Alignment with emerging value-based care programs</w:t>
      </w:r>
    </w:p>
    <w:sectPr>
      <w:pgSz w:w="12240" w:h="15840" w:orient="portrait"/>
      <w:pgMar w:top="144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600" w:hanging="300"/>
      </w:pPr>
    </w:lvl>
  </w:abstractNum>
  <w:abstractNum w:abstractNumId="3" w15:restartNumberingAfterBreak="0">
    <w:multiLevelType w:val="hybridMultilevel"/>
    <w:lvl w:ilvl="0" w15:tentative="1">
      <w:start w:val="1"/>
      <w:numFmt w:val="bullet"/>
      <w:lvlText w:val="•"/>
      <w:lvlJc w:val="left"/>
      <w:pPr>
        <w:spacing w:after="60"/>
        <w:ind w:left="600" w:hanging="300"/>
      </w:pPr>
    </w:lvl>
  </w:abstractNum>
  <w:abstractNum w:abstractNumId="4" w15:restartNumberingAfterBreak="0">
    <w:multiLevelType w:val="hybridMultilevel"/>
    <w:lvl w:ilvl="0" w15:tentative="1">
      <w:start w:val="1"/>
      <w:numFmt w:val="bullet"/>
      <w:lvlText w:val="•"/>
      <w:lvlJc w:val="left"/>
      <w:pPr>
        <w:spacing w:after="60"/>
        <w:ind w:left="600" w:hanging="300"/>
      </w:pPr>
    </w:lvl>
  </w:abstractNum>
  <w:abstractNum w:abstractNumId="5" w15:restartNumberingAfterBreak="0">
    <w:multiLevelType w:val="hybridMultilevel"/>
    <w:lvl w:ilvl="0" w15:tentative="1">
      <w:start w:val="1"/>
      <w:numFmt w:val="bullet"/>
      <w:lvlText w:val="•"/>
      <w:lvlJc w:val="left"/>
      <w:pPr>
        <w:spacing w:after="60"/>
        <w:ind w:left="600" w:hanging="300"/>
      </w:pPr>
    </w:lvl>
  </w:abstractNum>
  <w:abstractNum w:abstractNumId="6" w15:restartNumberingAfterBreak="0">
    <w:multiLevelType w:val="hybridMultilevel"/>
    <w:lvl w:ilvl="0" w15:tentative="1">
      <w:start w:val="1"/>
      <w:numFmt w:val="bullet"/>
      <w:lvlText w:val="•"/>
      <w:lvlJc w:val="left"/>
      <w:pPr>
        <w:spacing w:after="60"/>
        <w:ind w:left="600" w:hanging="300"/>
      </w:pPr>
    </w:lvl>
  </w:abstractNum>
  <w:abstractNum w:abstractNumId="7" w15:restartNumberingAfterBreak="0">
    <w:multiLevelType w:val="hybridMultilevel"/>
    <w:lvl w:ilvl="0" w15:tentative="1">
      <w:start w:val="1"/>
      <w:numFmt w:val="bullet"/>
      <w:lvlText w:val="•"/>
      <w:lvlJc w:val="left"/>
      <w:pPr>
        <w:spacing w:after="60"/>
        <w:ind w:left="600" w:hanging="300"/>
      </w:pPr>
    </w:lvl>
  </w:abstractNum>
  <w:abstractNum w:abstractNumId="8" w15:restartNumberingAfterBreak="0">
    <w:multiLevelType w:val="hybridMultilevel"/>
    <w:lvl w:ilvl="0" w15:tentative="1">
      <w:start w:val="1"/>
      <w:numFmt w:val="bullet"/>
      <w:lvlText w:val="•"/>
      <w:lvlJc w:val="left"/>
      <w:pPr>
        <w:spacing w:after="60"/>
        <w:ind w:left="600" w:hanging="300"/>
      </w:pPr>
    </w:lvl>
  </w:abstractNum>
  <w:abstractNum w:abstractNumId="9" w15:restartNumberingAfterBreak="0">
    <w:multiLevelType w:val="hybridMultilevel"/>
    <w:lvl w:ilvl="0" w15:tentative="1">
      <w:start w:val="1"/>
      <w:numFmt w:val="bullet"/>
      <w:lvlText w:val="•"/>
      <w:lvlJc w:val="left"/>
      <w:pPr>
        <w:spacing w:after="60"/>
        <w:ind w:left="600" w:hanging="300"/>
      </w:pPr>
    </w:lvl>
  </w:abstractNum>
  <w:abstractNum w:abstractNumId="10" w15:restartNumberingAfterBreak="0">
    <w:multiLevelType w:val="hybridMultilevel"/>
    <w:lvl w:ilvl="0" w15:tentative="1">
      <w:start w:val="1"/>
      <w:numFmt w:val="bullet"/>
      <w:lvlText w:val="•"/>
      <w:lvlJc w:val="left"/>
      <w:pPr>
        <w:spacing w:after="60"/>
        <w:ind w:left="600" w:hanging="300"/>
      </w:pPr>
    </w:lvl>
  </w:abstractNum>
  <w:abstractNum w:abstractNumId="11" w15:restartNumberingAfterBreak="0">
    <w:multiLevelType w:val="hybridMultilevel"/>
    <w:lvl w:ilvl="0" w15:tentative="1">
      <w:start w:val="1"/>
      <w:numFmt w:val="bullet"/>
      <w:lvlText w:val="•"/>
      <w:lvlJc w:val="left"/>
      <w:pPr>
        <w:spacing w:after="60"/>
        <w:ind w:left="600" w:hanging="300"/>
      </w:pPr>
    </w:lvl>
  </w:abstractNum>
  <w:abstractNum w:abstractNumId="12" w15:restartNumberingAfterBreak="0">
    <w:multiLevelType w:val="hybridMultilevel"/>
    <w:lvl w:ilvl="0" w15:tentative="1">
      <w:start w:val="1"/>
      <w:numFmt w:val="decimal"/>
      <w:lvlText w:val="%1."/>
      <w:lvlJc w:val="left"/>
      <w:pPr>
        <w:spacing w:after="60"/>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5F9E"/>
      <w:sz w:val="26"/>
      <w:szCs w:val="26"/>
    </w:rPr>
  </w:style>
  <w:style w:type="paragraph" w:styleId="Heading3">
    <w:name w:val="Heading 3"/>
    <w:basedOn w:val="Normal"/>
    <w:next w:val="Normal"/>
    <w:qFormat/>
    <w:pPr>
      <w:spacing w:after="60" w:before="14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2026-03-30T14:54:58.821Z</dcterms:created>
  <dcterms:modified xsi:type="dcterms:W3CDTF">2026-03-30T14:54:58.822Z</dcterms:modified>
</cp:coreProperties>
</file>

<file path=docProps/custom.xml><?xml version="1.0" encoding="utf-8"?>
<Properties xmlns="http://schemas.openxmlformats.org/officeDocument/2006/custom-properties" xmlns:vt="http://schemas.openxmlformats.org/officeDocument/2006/docPropsVTypes"/>
</file>