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Remediation Roles and Accountability</w:t>
      </w:r>
    </w:p>
    <w:p>
      <w:pPr>
        <w:spacing w:after="160"/>
      </w:pPr>
      <w:r>
        <w:rPr>
          <w:color w:val="555555"/>
          <w:sz w:val="24"/>
          <w:szCs w:val="24"/>
        </w:rPr>
        <w:t xml:space="preserve">CKM Data Readiness Infrastructure Pilot</w:t>
      </w:r>
    </w:p>
    <w:p>
      <w:pPr>
        <w:spacing w:after="80"/>
      </w:pPr>
      <w:r>
        <w:t xml:space="preserve"/>
      </w:r>
    </w:p>
    <w:p>
      <w:pPr>
        <w:spacing w:after="100"/>
      </w:pPr>
      <w:r>
        <w:t xml:space="preserve">This document defines who is responsible for what across each phase of data quality evaluation and remediation. It uses the seven functional roles defined in the Operational Governance Framework, and covers both human-led and AI-assisted remediation tasks.</w:t>
      </w:r>
    </w:p>
    <w:p>
      <w:pPr>
        <w:spacing w:after="80"/>
      </w:pPr>
      <w:r>
        <w:t xml:space="preserve"/>
      </w:r>
    </w:p>
    <w:p>
      <w:pPr>
        <w:spacing w:after="100"/>
      </w:pPr>
      <w:r>
        <w:t xml:space="preserve">The Program Coordinator role is delegatable. In the Colorado pilot it is assigned to Oros. In other regional contexts it may be assigned to a different qualified organization. All other roles are defined by function and are assigned based on who is best positioned to act in a given region or condition.</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F9E" w:sz="4"/>
              <w:left w:val="single" w:color="2E5F9E" w:sz="12"/>
              <w:bottom w:val="single" w:color="2E5F9E" w:sz="4"/>
              <w:right w:val="single" w:color="2E5F9E" w:sz="4"/>
            </w:tcBorders>
            <w:shd w:fill="EEF4FB" w:val="clear"/>
            <w:tcMar>
              <w:top w:type="dxa" w:w="120"/>
              <w:left w:type="dxa" w:w="200"/>
              <w:bottom w:type="dxa" w:w="120"/>
              <w:right w:type="dxa" w:w="200"/>
            </w:tcMar>
          </w:tcPr>
          <w:p>
            <w:r>
              <w:rPr>
                <w:b/>
                <w:bCs/>
                <w:color w:val="1F3864"/>
                <w:sz w:val="22"/>
                <w:szCs w:val="22"/>
              </w:rPr>
              <w:t xml:space="preserve">Core principle: Raw data is never modified. All patches — AI-suggested or human-authored — are applied as new versioned records with full provenance metadata. The original record is always preserved. All remediation patches are generated and versioned by the Program Coordinator infrastructure, even when suggested by AI or initiated by external actors.</w:t>
            </w:r>
          </w:p>
        </w:tc>
      </w:tr>
    </w:tbl>
    <w:p>
      <w:pPr>
        <w:spacing w:after="80"/>
      </w:pPr>
      <w:r>
        <w:t xml:space="preserve"/>
      </w:r>
    </w:p>
    <w:p>
      <w:pPr>
        <w:pStyle w:val="Heading2"/>
      </w:pPr>
      <w:r>
        <w:t xml:space="preserve">Role Reference</w:t>
      </w:r>
    </w:p>
    <w:p>
      <w:pPr>
        <w:spacing w:after="100"/>
      </w:pPr>
      <w:r>
        <w:t xml:space="preserve">Abbreviated role labels used in the tables below:</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Functional Role</w:t>
            </w:r>
          </w:p>
        </w:tc>
        <w:tc>
          <w:tcPr>
            <w:tcW w:type="dxa" w:w="456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Function in the Ecosystem</w:t>
            </w:r>
          </w:p>
        </w:tc>
        <w:tc>
          <w:tcPr>
            <w:tcW w:type="dxa" w:w="2400"/>
            <w:tcBorders>
              <w:top w:val="single" w:color="2C5282" w:sz="4"/>
              <w:left w:val="single" w:color="2C5282" w:sz="4"/>
              <w:bottom w:val="single" w:color="2C5282" w:sz="4"/>
              <w:right w:val="single" w:color="2C5282" w:sz="4"/>
            </w:tcBorders>
            <w:shd w:fill="1F3864" w:val="clear"/>
            <w:tcMar>
              <w:top w:type="dxa" w:w="80"/>
              <w:left w:type="dxa" w:w="120"/>
              <w:bottom w:type="dxa" w:w="80"/>
              <w:right w:type="dxa" w:w="120"/>
            </w:tcMar>
          </w:tcPr>
          <w:p>
            <w:r>
              <w:rPr>
                <w:b/>
                <w:bCs/>
                <w:color w:val="FFFFFF"/>
                <w:sz w:val="19"/>
                <w:szCs w:val="19"/>
              </w:rPr>
              <w:t xml:space="preserve">Examples in Practice</w:t>
            </w:r>
          </w:p>
        </w:tc>
      </w:tr>
      <w:tr>
        <w:tc>
          <w:tcPr>
            <w:tcW w:type="dxa" w:w="2400"/>
            <w:tcBorders>
              <w:top w:val="single" w:color="BBCCDD" w:sz="2"/>
              <w:left w:val="single" w:color="BBCCDD" w:sz="2"/>
              <w:bottom w:val="single" w:color="BBCCDD" w:sz="2"/>
              <w:right w:val="single" w:color="BBCCDD" w:sz="2"/>
            </w:tcBorders>
            <w:shd w:fill="F5F8FC" w:val="clear"/>
            <w:tcMar>
              <w:top w:type="dxa" w:w="90"/>
              <w:left w:type="dxa" w:w="120"/>
              <w:bottom w:type="dxa" w:w="90"/>
              <w:right w:type="dxa" w:w="120"/>
            </w:tcMar>
          </w:tcPr>
          <w:p>
            <w:r>
              <w:rPr>
                <w:b/>
                <w:bCs/>
                <w:color w:val="1F3864"/>
                <w:sz w:val="19"/>
                <w:szCs w:val="19"/>
              </w:rPr>
              <w:t xml:space="preserve">Primary Care Site</w:t>
            </w:r>
          </w:p>
        </w:tc>
        <w:tc>
          <w:tcPr>
            <w:tcW w:type="dxa" w:w="4560"/>
            <w:tcBorders>
              <w:top w:val="single" w:color="BBCCDD" w:sz="2"/>
              <w:left w:val="single" w:color="BBCCDD" w:sz="2"/>
              <w:bottom w:val="single" w:color="BBCCDD" w:sz="2"/>
              <w:right w:val="single" w:color="BBCCDD" w:sz="2"/>
            </w:tcBorders>
            <w:shd w:fill="F5F8FC" w:val="clear"/>
            <w:tcMar>
              <w:top w:type="dxa" w:w="90"/>
              <w:left w:type="dxa" w:w="120"/>
              <w:bottom w:type="dxa" w:w="90"/>
              <w:right w:type="dxa" w:w="120"/>
            </w:tcMar>
          </w:tcPr>
          <w:p>
            <w:r>
              <w:rPr>
                <w:b w:val="false"/>
                <w:bCs w:val="false"/>
                <w:color w:val="333333"/>
                <w:sz w:val="19"/>
                <w:szCs w:val="19"/>
              </w:rPr>
              <w:t xml:space="preserve">Clinical data generation at the point of care. Responsible for EHR data capture, device integration, patient-facing workflows, and clinical remediation actions within the clinic.</w:t>
            </w:r>
          </w:p>
        </w:tc>
        <w:tc>
          <w:tcPr>
            <w:tcW w:type="dxa" w:w="2400"/>
            <w:tcBorders>
              <w:top w:val="single" w:color="BBCCDD" w:sz="2"/>
              <w:left w:val="single" w:color="BBCCDD" w:sz="2"/>
              <w:bottom w:val="single" w:color="BBCCDD" w:sz="2"/>
              <w:right w:val="single" w:color="BBCCDD" w:sz="2"/>
            </w:tcBorders>
            <w:shd w:fill="F5F8FC" w:val="clear"/>
            <w:tcMar>
              <w:top w:type="dxa" w:w="90"/>
              <w:left w:type="dxa" w:w="120"/>
              <w:bottom w:type="dxa" w:w="90"/>
              <w:right w:type="dxa" w:w="120"/>
            </w:tcMar>
          </w:tcPr>
          <w:p>
            <w:r>
              <w:rPr>
                <w:b w:val="false"/>
                <w:bCs w:val="false"/>
                <w:color w:val="333333"/>
                <w:sz w:val="19"/>
                <w:szCs w:val="19"/>
              </w:rPr>
              <w:t xml:space="preserve">Rural primary care clinic, FQHC, independent PCP practice, IDN-owned clinic</w:t>
            </w:r>
          </w:p>
        </w:tc>
      </w:tr>
      <w:tr>
        <w:tc>
          <w:tcPr>
            <w:tcW w:type="dxa" w:w="2400"/>
            <w:tcBorders>
              <w:top w:val="single" w:color="BBCCDD" w:sz="2"/>
              <w:left w:val="single" w:color="BBCCDD" w:sz="2"/>
              <w:bottom w:val="single" w:color="BBCCDD" w:sz="2"/>
              <w:right w:val="single" w:color="BBCCDD" w:sz="2"/>
            </w:tcBorders>
            <w:shd w:fill="FFFFFF" w:val="clear"/>
            <w:tcMar>
              <w:top w:type="dxa" w:w="90"/>
              <w:left w:type="dxa" w:w="120"/>
              <w:bottom w:type="dxa" w:w="90"/>
              <w:right w:type="dxa" w:w="120"/>
            </w:tcMar>
          </w:tcPr>
          <w:p>
            <w:r>
              <w:rPr>
                <w:b/>
                <w:bCs/>
                <w:color w:val="1F3864"/>
                <w:sz w:val="19"/>
                <w:szCs w:val="19"/>
              </w:rPr>
              <w:t xml:space="preserve">Specialty Partner</w:t>
            </w:r>
          </w:p>
        </w:tc>
        <w:tc>
          <w:tcPr>
            <w:tcW w:type="dxa" w:w="4560"/>
            <w:tcBorders>
              <w:top w:val="single" w:color="BBCCDD" w:sz="2"/>
              <w:left w:val="single" w:color="BBCCDD" w:sz="2"/>
              <w:bottom w:val="single" w:color="BBCCDD" w:sz="2"/>
              <w:right w:val="single" w:color="BBCCDD" w:sz="2"/>
            </w:tcBorders>
            <w:shd w:fill="FFFFFF" w:val="clear"/>
            <w:tcMar>
              <w:top w:type="dxa" w:w="90"/>
              <w:left w:type="dxa" w:w="120"/>
              <w:bottom w:type="dxa" w:w="90"/>
              <w:right w:type="dxa" w:w="120"/>
            </w:tcMar>
          </w:tcPr>
          <w:p>
            <w:r>
              <w:rPr>
                <w:b w:val="false"/>
                <w:bCs w:val="false"/>
                <w:color w:val="333333"/>
                <w:sz w:val="19"/>
                <w:szCs w:val="19"/>
              </w:rPr>
              <w:t xml:space="preserve">Specialist clinical input and escalation endpoint. Receives referred patients and shared data from the primary care site. Consulted on clinical plausibility questions. Primarily a clinical actor, not a data infrastructure actor. Specialists do not participate in data remediation unless a data issue requires clinical interpretation — for example, confirming whether a value is clinically plausible or whether an unexpected derived metric discrepancy reflects a real patient state.</w:t>
            </w:r>
          </w:p>
        </w:tc>
        <w:tc>
          <w:tcPr>
            <w:tcW w:type="dxa" w:w="2400"/>
            <w:tcBorders>
              <w:top w:val="single" w:color="BBCCDD" w:sz="2"/>
              <w:left w:val="single" w:color="BBCCDD" w:sz="2"/>
              <w:bottom w:val="single" w:color="BBCCDD" w:sz="2"/>
              <w:right w:val="single" w:color="BBCCDD" w:sz="2"/>
            </w:tcBorders>
            <w:shd w:fill="FFFFFF" w:val="clear"/>
            <w:tcMar>
              <w:top w:type="dxa" w:w="90"/>
              <w:left w:type="dxa" w:w="120"/>
              <w:bottom w:type="dxa" w:w="90"/>
              <w:right w:type="dxa" w:w="120"/>
            </w:tcMar>
          </w:tcPr>
          <w:p>
            <w:r>
              <w:rPr>
                <w:b w:val="false"/>
                <w:bCs w:val="false"/>
                <w:color w:val="333333"/>
                <w:sz w:val="19"/>
                <w:szCs w:val="19"/>
              </w:rPr>
              <w:t xml:space="preserve">Cardiologist, Endocrinologist, Nephrologist, CDCES</w:t>
            </w:r>
          </w:p>
        </w:tc>
      </w:tr>
      <w:tr>
        <w:tc>
          <w:tcPr>
            <w:tcW w:type="dxa" w:w="2400"/>
            <w:tcBorders>
              <w:top w:val="single" w:color="BBCCDD" w:sz="2"/>
              <w:left w:val="single" w:color="BBCCDD" w:sz="2"/>
              <w:bottom w:val="single" w:color="BBCCDD" w:sz="2"/>
              <w:right w:val="single" w:color="BBCCDD" w:sz="2"/>
            </w:tcBorders>
            <w:shd w:fill="F5F8FC" w:val="clear"/>
            <w:tcMar>
              <w:top w:type="dxa" w:w="90"/>
              <w:left w:type="dxa" w:w="120"/>
              <w:bottom w:type="dxa" w:w="90"/>
              <w:right w:type="dxa" w:w="120"/>
            </w:tcMar>
          </w:tcPr>
          <w:p>
            <w:r>
              <w:rPr>
                <w:b/>
                <w:bCs/>
                <w:color w:val="1F3864"/>
                <w:sz w:val="19"/>
                <w:szCs w:val="19"/>
              </w:rPr>
              <w:t xml:space="preserve">Regional Data Node</w:t>
            </w:r>
          </w:p>
        </w:tc>
        <w:tc>
          <w:tcPr>
            <w:tcW w:type="dxa" w:w="4560"/>
            <w:tcBorders>
              <w:top w:val="single" w:color="BBCCDD" w:sz="2"/>
              <w:left w:val="single" w:color="BBCCDD" w:sz="2"/>
              <w:bottom w:val="single" w:color="BBCCDD" w:sz="2"/>
              <w:right w:val="single" w:color="BBCCDD" w:sz="2"/>
            </w:tcBorders>
            <w:shd w:fill="F5F8FC" w:val="clear"/>
            <w:tcMar>
              <w:top w:type="dxa" w:w="90"/>
              <w:left w:type="dxa" w:w="120"/>
              <w:bottom w:type="dxa" w:w="90"/>
              <w:right w:type="dxa" w:w="120"/>
            </w:tcMar>
          </w:tcPr>
          <w:p>
            <w:r>
              <w:rPr>
                <w:b w:val="false"/>
                <w:bCs w:val="false"/>
                <w:color w:val="333333"/>
                <w:sz w:val="19"/>
                <w:szCs w:val="19"/>
              </w:rPr>
              <w:t xml:space="preserve">Data aggregation, transport, identity resolution, and feed routing across the regional ecosystem. The technical hub through which clinical data flows before reaching the readiness infrastructure.</w:t>
            </w:r>
          </w:p>
        </w:tc>
        <w:tc>
          <w:tcPr>
            <w:tcW w:type="dxa" w:w="2400"/>
            <w:tcBorders>
              <w:top w:val="single" w:color="BBCCDD" w:sz="2"/>
              <w:left w:val="single" w:color="BBCCDD" w:sz="2"/>
              <w:bottom w:val="single" w:color="BBCCDD" w:sz="2"/>
              <w:right w:val="single" w:color="BBCCDD" w:sz="2"/>
            </w:tcBorders>
            <w:shd w:fill="F5F8FC" w:val="clear"/>
            <w:tcMar>
              <w:top w:type="dxa" w:w="90"/>
              <w:left w:type="dxa" w:w="120"/>
              <w:bottom w:type="dxa" w:w="90"/>
              <w:right w:type="dxa" w:w="120"/>
            </w:tcMar>
          </w:tcPr>
          <w:p>
            <w:r>
              <w:rPr>
                <w:b w:val="false"/>
                <w:bCs w:val="false"/>
                <w:color w:val="333333"/>
                <w:sz w:val="19"/>
                <w:szCs w:val="19"/>
              </w:rPr>
              <w:t xml:space="preserve">Health Information Exchange (HIE), ACO data platform, IDN data warehouse, state data utility</w:t>
            </w:r>
          </w:p>
        </w:tc>
      </w:tr>
      <w:tr>
        <w:tc>
          <w:tcPr>
            <w:tcW w:type="dxa" w:w="2400"/>
            <w:tcBorders>
              <w:top w:val="single" w:color="BBCCDD" w:sz="2"/>
              <w:left w:val="single" w:color="BBCCDD" w:sz="2"/>
              <w:bottom w:val="single" w:color="BBCCDD" w:sz="2"/>
              <w:right w:val="single" w:color="BBCCDD" w:sz="2"/>
            </w:tcBorders>
            <w:shd w:fill="FFFFFF" w:val="clear"/>
            <w:tcMar>
              <w:top w:type="dxa" w:w="90"/>
              <w:left w:type="dxa" w:w="120"/>
              <w:bottom w:type="dxa" w:w="90"/>
              <w:right w:type="dxa" w:w="120"/>
            </w:tcMar>
          </w:tcPr>
          <w:p>
            <w:r>
              <w:rPr>
                <w:b/>
                <w:bCs/>
                <w:color w:val="1F3864"/>
                <w:sz w:val="19"/>
                <w:szCs w:val="19"/>
              </w:rPr>
              <w:t xml:space="preserve">Technology Vendor</w:t>
            </w:r>
          </w:p>
        </w:tc>
        <w:tc>
          <w:tcPr>
            <w:tcW w:type="dxa" w:w="4560"/>
            <w:tcBorders>
              <w:top w:val="single" w:color="BBCCDD" w:sz="2"/>
              <w:left w:val="single" w:color="BBCCDD" w:sz="2"/>
              <w:bottom w:val="single" w:color="BBCCDD" w:sz="2"/>
              <w:right w:val="single" w:color="BBCCDD" w:sz="2"/>
            </w:tcBorders>
            <w:shd w:fill="FFFFFF" w:val="clear"/>
            <w:tcMar>
              <w:top w:type="dxa" w:w="90"/>
              <w:left w:type="dxa" w:w="120"/>
              <w:bottom w:type="dxa" w:w="90"/>
              <w:right w:type="dxa" w:w="120"/>
            </w:tcMar>
          </w:tcPr>
          <w:p>
            <w:r>
              <w:rPr>
                <w:b w:val="false"/>
                <w:bCs w:val="false"/>
                <w:color w:val="333333"/>
                <w:sz w:val="19"/>
                <w:szCs w:val="19"/>
              </w:rPr>
              <w:t xml:space="preserve">EHR system configuration, device data integration, interface maintenance, and structured data output format. Responsible for fixing systematic issues at the system level.</w:t>
            </w:r>
          </w:p>
        </w:tc>
        <w:tc>
          <w:tcPr>
            <w:tcW w:type="dxa" w:w="2400"/>
            <w:tcBorders>
              <w:top w:val="single" w:color="BBCCDD" w:sz="2"/>
              <w:left w:val="single" w:color="BBCCDD" w:sz="2"/>
              <w:bottom w:val="single" w:color="BBCCDD" w:sz="2"/>
              <w:right w:val="single" w:color="BBCCDD" w:sz="2"/>
            </w:tcBorders>
            <w:shd w:fill="FFFFFF" w:val="clear"/>
            <w:tcMar>
              <w:top w:type="dxa" w:w="90"/>
              <w:left w:type="dxa" w:w="120"/>
              <w:bottom w:type="dxa" w:w="90"/>
              <w:right w:type="dxa" w:w="120"/>
            </w:tcMar>
          </w:tcPr>
          <w:p>
            <w:r>
              <w:rPr>
                <w:b w:val="false"/>
                <w:bCs w:val="false"/>
                <w:color w:val="333333"/>
                <w:sz w:val="19"/>
                <w:szCs w:val="19"/>
              </w:rPr>
              <w:t xml:space="preserve">EHR vendors (Epic, Athena, etc.), CGM manufacturers (Dexcom, Abbott), interface vendors</w:t>
            </w:r>
          </w:p>
        </w:tc>
      </w:tr>
      <w:tr>
        <w:tc>
          <w:tcPr>
            <w:tcW w:type="dxa" w:w="2400"/>
            <w:tcBorders>
              <w:top w:val="single" w:color="BBCCDD" w:sz="2"/>
              <w:left w:val="single" w:color="BBCCDD" w:sz="2"/>
              <w:bottom w:val="single" w:color="BBCCDD" w:sz="2"/>
              <w:right w:val="single" w:color="BBCCDD" w:sz="2"/>
            </w:tcBorders>
            <w:shd w:fill="F5F8FC" w:val="clear"/>
            <w:tcMar>
              <w:top w:type="dxa" w:w="90"/>
              <w:left w:type="dxa" w:w="120"/>
              <w:bottom w:type="dxa" w:w="90"/>
              <w:right w:type="dxa" w:w="120"/>
            </w:tcMar>
          </w:tcPr>
          <w:p>
            <w:r>
              <w:rPr>
                <w:b/>
                <w:bCs/>
                <w:color w:val="1F3864"/>
                <w:sz w:val="19"/>
                <w:szCs w:val="19"/>
              </w:rPr>
              <w:t xml:space="preserve">Program Coordinator</w:t>
            </w:r>
          </w:p>
        </w:tc>
        <w:tc>
          <w:tcPr>
            <w:tcW w:type="dxa" w:w="4560"/>
            <w:tcBorders>
              <w:top w:val="single" w:color="BBCCDD" w:sz="2"/>
              <w:left w:val="single" w:color="BBCCDD" w:sz="2"/>
              <w:bottom w:val="single" w:color="BBCCDD" w:sz="2"/>
              <w:right w:val="single" w:color="BBCCDD" w:sz="2"/>
            </w:tcBorders>
            <w:shd w:fill="F5F8FC" w:val="clear"/>
            <w:tcMar>
              <w:top w:type="dxa" w:w="90"/>
              <w:left w:type="dxa" w:w="120"/>
              <w:bottom w:type="dxa" w:w="90"/>
              <w:right w:type="dxa" w:w="120"/>
            </w:tcMar>
          </w:tcPr>
          <w:p>
            <w:r>
              <w:rPr>
                <w:b w:val="false"/>
                <w:bCs w:val="false"/>
                <w:color w:val="333333"/>
                <w:sz w:val="19"/>
                <w:szCs w:val="19"/>
              </w:rPr>
              <w:t xml:space="preserve">Infrastructure design and deployment, readiness methodology, scoring engine, issue classification, AI-assisted patch generation, and technical assistance to participating sites. This role is delegatable and is assigned to the organization leading a given regional engagement.</w:t>
            </w:r>
          </w:p>
        </w:tc>
        <w:tc>
          <w:tcPr>
            <w:tcW w:type="dxa" w:w="2400"/>
            <w:tcBorders>
              <w:top w:val="single" w:color="BBCCDD" w:sz="2"/>
              <w:left w:val="single" w:color="BBCCDD" w:sz="2"/>
              <w:bottom w:val="single" w:color="BBCCDD" w:sz="2"/>
              <w:right w:val="single" w:color="BBCCDD" w:sz="2"/>
            </w:tcBorders>
            <w:shd w:fill="F5F8FC" w:val="clear"/>
            <w:tcMar>
              <w:top w:type="dxa" w:w="90"/>
              <w:left w:type="dxa" w:w="120"/>
              <w:bottom w:type="dxa" w:w="90"/>
              <w:right w:type="dxa" w:w="120"/>
            </w:tcMar>
          </w:tcPr>
          <w:p>
            <w:r>
              <w:rPr>
                <w:b w:val="false"/>
                <w:bCs w:val="false"/>
                <w:color w:val="333333"/>
                <w:sz w:val="19"/>
                <w:szCs w:val="19"/>
              </w:rPr>
              <w:t xml:space="preserve">Oros (Colorado/Kansas pilots), academic health system partner, state health agency, qualified health IT organization</w:t>
            </w:r>
          </w:p>
        </w:tc>
      </w:tr>
      <w:tr>
        <w:tc>
          <w:tcPr>
            <w:tcW w:type="dxa" w:w="2400"/>
            <w:tcBorders>
              <w:top w:val="single" w:color="BBCCDD" w:sz="2"/>
              <w:left w:val="single" w:color="BBCCDD" w:sz="2"/>
              <w:bottom w:val="single" w:color="BBCCDD" w:sz="2"/>
              <w:right w:val="single" w:color="BBCCDD" w:sz="2"/>
            </w:tcBorders>
            <w:shd w:fill="FFFFFF" w:val="clear"/>
            <w:tcMar>
              <w:top w:type="dxa" w:w="90"/>
              <w:left w:type="dxa" w:w="120"/>
              <w:bottom w:type="dxa" w:w="90"/>
              <w:right w:type="dxa" w:w="120"/>
            </w:tcMar>
          </w:tcPr>
          <w:p>
            <w:r>
              <w:rPr>
                <w:b/>
                <w:bCs/>
                <w:color w:val="1F3864"/>
                <w:sz w:val="19"/>
                <w:szCs w:val="19"/>
              </w:rPr>
              <w:t xml:space="preserve">Network / Payer</w:t>
            </w:r>
          </w:p>
        </w:tc>
        <w:tc>
          <w:tcPr>
            <w:tcW w:type="dxa" w:w="4560"/>
            <w:tcBorders>
              <w:top w:val="single" w:color="BBCCDD" w:sz="2"/>
              <w:left w:val="single" w:color="BBCCDD" w:sz="2"/>
              <w:bottom w:val="single" w:color="BBCCDD" w:sz="2"/>
              <w:right w:val="single" w:color="BBCCDD" w:sz="2"/>
            </w:tcBorders>
            <w:shd w:fill="FFFFFF" w:val="clear"/>
            <w:tcMar>
              <w:top w:type="dxa" w:w="90"/>
              <w:left w:type="dxa" w:w="120"/>
              <w:bottom w:type="dxa" w:w="90"/>
              <w:right w:type="dxa" w:w="120"/>
            </w:tcMar>
          </w:tcPr>
          <w:p>
            <w:r>
              <w:rPr>
                <w:b w:val="false"/>
                <w:bCs w:val="false"/>
                <w:color w:val="333333"/>
                <w:sz w:val="19"/>
                <w:szCs w:val="19"/>
              </w:rPr>
              <w:t xml:space="preserve">Care coordination program management, value-based care reporting oversight, incentive alignment, and program-level accountability for participating sites.</w:t>
            </w:r>
          </w:p>
        </w:tc>
        <w:tc>
          <w:tcPr>
            <w:tcW w:type="dxa" w:w="2400"/>
            <w:tcBorders>
              <w:top w:val="single" w:color="BBCCDD" w:sz="2"/>
              <w:left w:val="single" w:color="BBCCDD" w:sz="2"/>
              <w:bottom w:val="single" w:color="BBCCDD" w:sz="2"/>
              <w:right w:val="single" w:color="BBCCDD" w:sz="2"/>
            </w:tcBorders>
            <w:shd w:fill="FFFFFF" w:val="clear"/>
            <w:tcMar>
              <w:top w:type="dxa" w:w="90"/>
              <w:left w:type="dxa" w:w="120"/>
              <w:bottom w:type="dxa" w:w="90"/>
              <w:right w:type="dxa" w:w="120"/>
            </w:tcMar>
          </w:tcPr>
          <w:p>
            <w:r>
              <w:rPr>
                <w:b w:val="false"/>
                <w:bCs w:val="false"/>
                <w:color w:val="333333"/>
                <w:sz w:val="19"/>
                <w:szCs w:val="19"/>
              </w:rPr>
              <w:t xml:space="preserve">ACO, Clinically Integrated Network (CIN), commercial payer, CMS program administrator</w:t>
            </w:r>
          </w:p>
        </w:tc>
      </w:tr>
      <w:tr>
        <w:tc>
          <w:tcPr>
            <w:tcW w:type="dxa" w:w="2400"/>
            <w:tcBorders>
              <w:top w:val="single" w:color="BBCCDD" w:sz="2"/>
              <w:left w:val="single" w:color="BBCCDD" w:sz="2"/>
              <w:bottom w:val="single" w:color="BBCCDD" w:sz="2"/>
              <w:right w:val="single" w:color="BBCCDD" w:sz="2"/>
            </w:tcBorders>
            <w:shd w:fill="F5F8FC" w:val="clear"/>
            <w:tcMar>
              <w:top w:type="dxa" w:w="90"/>
              <w:left w:type="dxa" w:w="120"/>
              <w:bottom w:type="dxa" w:w="90"/>
              <w:right w:type="dxa" w:w="120"/>
            </w:tcMar>
          </w:tcPr>
          <w:p>
            <w:r>
              <w:rPr>
                <w:b/>
                <w:bCs/>
                <w:color w:val="1F3864"/>
                <w:sz w:val="19"/>
                <w:szCs w:val="19"/>
              </w:rPr>
              <w:t xml:space="preserve">Policy / Regulatory</w:t>
            </w:r>
          </w:p>
        </w:tc>
        <w:tc>
          <w:tcPr>
            <w:tcW w:type="dxa" w:w="4560"/>
            <w:tcBorders>
              <w:top w:val="single" w:color="BBCCDD" w:sz="2"/>
              <w:left w:val="single" w:color="BBCCDD" w:sz="2"/>
              <w:bottom w:val="single" w:color="BBCCDD" w:sz="2"/>
              <w:right w:val="single" w:color="BBCCDD" w:sz="2"/>
            </w:tcBorders>
            <w:shd w:fill="F5F8FC" w:val="clear"/>
            <w:tcMar>
              <w:top w:type="dxa" w:w="90"/>
              <w:left w:type="dxa" w:w="120"/>
              <w:bottom w:type="dxa" w:w="90"/>
              <w:right w:type="dxa" w:w="120"/>
            </w:tcMar>
          </w:tcPr>
          <w:p>
            <w:r>
              <w:rPr>
                <w:b w:val="false"/>
                <w:bCs w:val="false"/>
                <w:color w:val="333333"/>
                <w:sz w:val="19"/>
                <w:szCs w:val="19"/>
              </w:rPr>
              <w:t xml:space="preserve">State and federal standards, reporting requirements, incentive program design, and regulatory alignment. Primarily an Informed or Consulted actor in operational tasks; shapes the framework within which the pilot operates.</w:t>
            </w:r>
          </w:p>
        </w:tc>
        <w:tc>
          <w:tcPr>
            <w:tcW w:type="dxa" w:w="2400"/>
            <w:tcBorders>
              <w:top w:val="single" w:color="BBCCDD" w:sz="2"/>
              <w:left w:val="single" w:color="BBCCDD" w:sz="2"/>
              <w:bottom w:val="single" w:color="BBCCDD" w:sz="2"/>
              <w:right w:val="single" w:color="BBCCDD" w:sz="2"/>
            </w:tcBorders>
            <w:shd w:fill="F5F8FC" w:val="clear"/>
            <w:tcMar>
              <w:top w:type="dxa" w:w="90"/>
              <w:left w:type="dxa" w:w="120"/>
              <w:bottom w:type="dxa" w:w="90"/>
              <w:right w:type="dxa" w:w="120"/>
            </w:tcMar>
          </w:tcPr>
          <w:p>
            <w:r>
              <w:rPr>
                <w:b w:val="false"/>
                <w:bCs w:val="false"/>
                <w:color w:val="333333"/>
                <w:sz w:val="19"/>
                <w:szCs w:val="19"/>
              </w:rPr>
              <w:t xml:space="preserve">State health agencies (CDPHE, KDHE), ONC/ASTP, CMS, NCQA</w:t>
            </w:r>
          </w:p>
        </w:tc>
      </w:tr>
    </w:tbl>
    <w:p>
      <w:pPr>
        <w:spacing w:after="80"/>
      </w:pPr>
      <w:r>
        <w:t xml:space="preserve"/>
      </w:r>
    </w:p>
    <w:p>
      <w:pPr>
        <w:pStyle w:val="Heading2"/>
      </w:pPr>
      <w:r>
        <w:t xml:space="preserve">How to Read the Tables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37"/>
        <w:gridCol w:w="937"/>
        <w:gridCol w:w="937"/>
        <w:gridCol w:w="937"/>
        <w:gridCol w:w="937"/>
        <w:gridCol w:w="937"/>
        <w:gridCol w:w="937"/>
      </w:tblGrid>
      <w:tr>
        <w:trPr>
          <w:tblHeader/>
        </w:trPr>
        <w:tc>
          <w:tcPr>
            <w:tcW w:type="dxa" w:w="2800"/>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left"/>
            </w:pPr>
            <w:r>
              <w:rPr>
                <w:b/>
                <w:bCs/>
                <w:color w:val="FFFFFF"/>
                <w:sz w:val="17"/>
                <w:szCs w:val="17"/>
              </w:rPr>
              <w:t xml:space="preserve">Task</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PCP /
Clinic</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Specialist</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Data
Node</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Tech
Vendor</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Prog.
Coord.</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Network /
Payer</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Policy /
Reg.</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R/A — Responsible and Accountable</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R — Responsible (accountable party may differ)</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2E5F9E" w:val="clear"/>
            <w:tcMar>
              <w:top w:type="dxa" w:w="65"/>
              <w:left w:type="dxa" w:w="80"/>
              <w:bottom w:type="dxa" w:w="65"/>
              <w:right w:type="dxa" w:w="80"/>
            </w:tcMar>
          </w:tcPr>
          <w:p>
            <w:pPr>
              <w:jc w:val="center"/>
            </w:pPr>
            <w:r>
              <w:rPr>
                <w:b/>
                <w:bCs/>
                <w:color w:val="FFFFFF"/>
                <w:sz w:val="17"/>
                <w:szCs w:val="17"/>
              </w:rPr>
              <w:t xml:space="preserve">R</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A — Accountable (oversight, not hands-on)</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4A80B0" w:val="clear"/>
            <w:tcMar>
              <w:top w:type="dxa" w:w="65"/>
              <w:left w:type="dxa" w:w="80"/>
              <w:bottom w:type="dxa" w:w="65"/>
              <w:right w:type="dxa" w:w="80"/>
            </w:tcMar>
          </w:tcPr>
          <w:p>
            <w:pPr>
              <w:jc w:val="center"/>
            </w:pPr>
            <w:r>
              <w:rPr>
                <w:b/>
                <w:bCs/>
                <w:color w:val="FFFFFF"/>
                <w:sz w:val="17"/>
                <w:szCs w:val="17"/>
              </w:rPr>
              <w:t xml:space="preserve">A</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C — Consulted (provides input, two-way)</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I — Informed (notified, one-way)</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 — Not involved</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r>
    </w:tbl>
    <w:p>
      <w:pPr>
        <w:spacing w:after="80"/>
      </w:pPr>
      <w:r>
        <w:t xml:space="preserve"/>
      </w:r>
    </w:p>
    <w:p>
      <w:pPr>
        <w:spacing w:after="100"/>
      </w:pPr>
      <w:r>
        <w:t xml:space="preserve">Specialist column: Specialists are clinical actors. In data remediation tasks they are typically Informed or Consulted. Their more active role in care coordination is documented in the Operational Care Model.</w:t>
      </w:r>
    </w:p>
    <w:p>
      <w:pPr>
        <w:spacing w:after="80"/>
      </w:pPr>
      <w:r>
        <w:t xml:space="preserve"/>
      </w:r>
    </w:p>
    <w:p>
      <w:pPr>
        <w:pBdr>
          <w:bottom w:val="single" w:color="D0DCE8" w:sz="4" w:space="1"/>
        </w:pBdr>
        <w:spacing w:after="120" w:before="120"/>
      </w:pPr>
      <w:r>
        <w:t xml:space="preserve"/>
      </w:r>
    </w:p>
    <w:p>
      <w:pPr>
        <w:pStyle w:val="Heading2"/>
      </w:pPr>
      <w:r>
        <w:t xml:space="preserve">Phase 1 — Data Intake and Transport</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37"/>
        <w:gridCol w:w="937"/>
        <w:gridCol w:w="937"/>
        <w:gridCol w:w="937"/>
        <w:gridCol w:w="937"/>
        <w:gridCol w:w="937"/>
        <w:gridCol w:w="937"/>
      </w:tblGrid>
      <w:tr>
        <w:trPr>
          <w:tblHeader/>
        </w:trPr>
        <w:tc>
          <w:tcPr>
            <w:tcW w:type="dxa" w:w="2800"/>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left"/>
            </w:pPr>
            <w:r>
              <w:rPr>
                <w:b/>
                <w:bCs/>
                <w:color w:val="FFFFFF"/>
                <w:sz w:val="17"/>
                <w:szCs w:val="17"/>
              </w:rPr>
              <w:t xml:space="preserve">Task</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PCP /
Clinic</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Specialist</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Data
Node</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Tech
Vendor</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Prog.
Coord.</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Network /
Payer</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Policy /
Reg.</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Provide structured CCD / HL7 / FHIR data</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Maintain EHR interface capability</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Transport data to regional aggregation node</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Device data feed setup (CGM, BP, scale)</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Monitor feed health and continuity</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Notify parties of transport / conformance issues</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AFAFA" w:val="clear"/>
            <w:tcMar>
              <w:top w:type="dxa" w:w="65"/>
              <w:left w:type="dxa" w:w="80"/>
              <w:bottom w:type="dxa" w:w="65"/>
              <w:right w:type="dxa" w:w="80"/>
            </w:tcMar>
          </w:tcPr>
          <w:p>
            <w:pPr>
              <w:jc w:val="center"/>
            </w:pPr>
            <w:r>
              <w:rPr>
                <w:b w:val="false"/>
                <w:bCs w:val="false"/>
                <w:color w:val="BBBBBB"/>
                <w:sz w:val="17"/>
                <w:szCs w:val="17"/>
              </w:rPr>
              <w:t xml:space="preserve">—</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r>
    </w:tbl>
    <w:p>
      <w:pPr>
        <w:spacing w:after="80"/>
      </w:pPr>
      <w:r>
        <w:t xml:space="preserve"/>
      </w:r>
    </w:p>
    <w:p>
      <w:pPr>
        <w:pBdr>
          <w:bottom w:val="single" w:color="D0DCE8" w:sz="4" w:space="1"/>
        </w:pBdr>
        <w:spacing w:after="120" w:before="120"/>
      </w:pPr>
      <w:r>
        <w:t xml:space="preserve"/>
      </w:r>
    </w:p>
    <w:p>
      <w:pPr>
        <w:pStyle w:val="Heading2"/>
      </w:pPr>
      <w:r>
        <w:t xml:space="preserve">Phase 2 — Data Quality Evaluation and Normalization</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37"/>
        <w:gridCol w:w="937"/>
        <w:gridCol w:w="937"/>
        <w:gridCol w:w="937"/>
        <w:gridCol w:w="937"/>
        <w:gridCol w:w="937"/>
        <w:gridCol w:w="937"/>
      </w:tblGrid>
      <w:tr>
        <w:trPr>
          <w:tblHeader/>
        </w:trPr>
        <w:tc>
          <w:tcPr>
            <w:tcW w:type="dxa" w:w="2800"/>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left"/>
            </w:pPr>
            <w:r>
              <w:rPr>
                <w:b/>
                <w:bCs/>
                <w:color w:val="FFFFFF"/>
                <w:sz w:val="17"/>
                <w:szCs w:val="17"/>
              </w:rPr>
              <w:t xml:space="preserve">Task</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PCP /
Clinic</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Specialist</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Data
Node</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Tech
Vendor</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Prog.
Coord.</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Network /
Payer</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Policy /
Reg.</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Structural validation (not-null, format, ranges)</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Terminology and vocabulary mapping</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Deduplication and identity resolution</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Date concordance and timestamp normalization</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Device temporal density evaluation</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Derived metric recomputation from raw data</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Variable-level readiness scoring</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Use-case fitness aggregation</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Issue classification (phenotype identification)</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Issue routing to responsible functional role</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Data quality reporting to stakeholders</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r>
    </w:tbl>
    <w:p>
      <w:pPr>
        <w:spacing w:after="80"/>
      </w:pPr>
      <w:r>
        <w:t xml:space="preserve"/>
      </w:r>
    </w:p>
    <w:p>
      <w:pPr>
        <w:pBdr>
          <w:bottom w:val="single" w:color="D0DCE8" w:sz="4" w:space="1"/>
        </w:pBdr>
        <w:spacing w:after="120" w:before="120"/>
      </w:pPr>
      <w:r>
        <w:t xml:space="preserve"/>
      </w:r>
    </w:p>
    <w:p>
      <w:pPr>
        <w:pStyle w:val="Heading2"/>
      </w:pPr>
      <w:r>
        <w:t xml:space="preserve">Phase 2b — AI-Assisted Remediation with Human Approval</w:t>
      </w:r>
    </w:p>
    <w:p>
      <w:pPr>
        <w:spacing w:after="100"/>
      </w:pPr>
      <w:r>
        <w:t xml:space="preserve">Some data quality issues can be addressed by AI-generated patches. No patch is applied without explicit human approval. The approved patch is stored as a new versioned record — the original raw record is never modified.</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F9E" w:sz="4"/>
              <w:left w:val="single" w:color="2E5F9E" w:sz="12"/>
              <w:bottom w:val="single" w:color="2E5F9E" w:sz="4"/>
              <w:right w:val="single" w:color="2E5F9E" w:sz="4"/>
            </w:tcBorders>
            <w:shd w:fill="EEF4FB" w:val="clear"/>
            <w:tcMar>
              <w:top w:type="dxa" w:w="120"/>
              <w:left w:type="dxa" w:w="200"/>
              <w:bottom w:type="dxa" w:w="120"/>
              <w:right w:type="dxa" w:w="200"/>
            </w:tcMar>
          </w:tcPr>
          <w:p>
            <w:r>
              <w:rPr>
                <w:b/>
                <w:bCs/>
                <w:color w:val="1F3864"/>
                <w:sz w:val="22"/>
                <w:szCs w:val="22"/>
              </w:rPr>
              <w:t xml:space="preserve">Human-in-the-loop requirement: Every AI-suggested patch must be reviewed and approved by a named human actor before it is applied. The approval is logged with approver identity, timestamp, and patch justification.</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1800"/>
        <w:gridCol w:w="1960"/>
      </w:tblGrid>
      <w:tr>
        <w:trPr>
          <w:tblHeader/>
        </w:trPr>
        <w:tc>
          <w:tcPr>
            <w:tcW w:type="dxa" w:w="2000"/>
            <w:tcBorders>
              <w:top w:val="single" w:color="2C5282" w:sz="4"/>
              <w:left w:val="single" w:color="2C5282" w:sz="4"/>
              <w:bottom w:val="single" w:color="2C5282" w:sz="4"/>
              <w:right w:val="single" w:color="2C5282" w:sz="4"/>
            </w:tcBorders>
            <w:shd w:fill="2A7A6F" w:val="clear"/>
            <w:tcMar>
              <w:top w:type="dxa" w:w="80"/>
              <w:left w:type="dxa" w:w="110"/>
              <w:bottom w:type="dxa" w:w="80"/>
              <w:right w:type="dxa" w:w="110"/>
            </w:tcMar>
          </w:tcPr>
          <w:p>
            <w:r>
              <w:rPr>
                <w:b/>
                <w:bCs/>
                <w:color w:val="FFFFFF"/>
                <w:sz w:val="18"/>
                <w:szCs w:val="18"/>
              </w:rPr>
              <w:t xml:space="preserve">Issue Type</w:t>
            </w:r>
          </w:p>
        </w:tc>
        <w:tc>
          <w:tcPr>
            <w:tcW w:type="dxa" w:w="1800"/>
            <w:tcBorders>
              <w:top w:val="single" w:color="2C5282" w:sz="4"/>
              <w:left w:val="single" w:color="2C5282" w:sz="4"/>
              <w:bottom w:val="single" w:color="2C5282" w:sz="4"/>
              <w:right w:val="single" w:color="2C5282" w:sz="4"/>
            </w:tcBorders>
            <w:shd w:fill="2A7A6F" w:val="clear"/>
            <w:tcMar>
              <w:top w:type="dxa" w:w="80"/>
              <w:left w:type="dxa" w:w="110"/>
              <w:bottom w:type="dxa" w:w="80"/>
              <w:right w:type="dxa" w:w="110"/>
            </w:tcMar>
          </w:tcPr>
          <w:p>
            <w:r>
              <w:rPr>
                <w:b/>
                <w:bCs/>
                <w:color w:val="FFFFFF"/>
                <w:sz w:val="18"/>
                <w:szCs w:val="18"/>
              </w:rPr>
              <w:t xml:space="preserve">AI System Action</w:t>
            </w:r>
          </w:p>
        </w:tc>
        <w:tc>
          <w:tcPr>
            <w:tcW w:type="dxa" w:w="1800"/>
            <w:tcBorders>
              <w:top w:val="single" w:color="2C5282" w:sz="4"/>
              <w:left w:val="single" w:color="2C5282" w:sz="4"/>
              <w:bottom w:val="single" w:color="2C5282" w:sz="4"/>
              <w:right w:val="single" w:color="2C5282" w:sz="4"/>
            </w:tcBorders>
            <w:shd w:fill="2A7A6F" w:val="clear"/>
            <w:tcMar>
              <w:top w:type="dxa" w:w="80"/>
              <w:left w:type="dxa" w:w="110"/>
              <w:bottom w:type="dxa" w:w="80"/>
              <w:right w:type="dxa" w:w="110"/>
            </w:tcMar>
          </w:tcPr>
          <w:p>
            <w:r>
              <w:rPr>
                <w:b/>
                <w:bCs/>
                <w:color w:val="FFFFFF"/>
                <w:sz w:val="18"/>
                <w:szCs w:val="18"/>
              </w:rPr>
              <w:t xml:space="preserve">Human Approver</w:t>
            </w:r>
          </w:p>
        </w:tc>
        <w:tc>
          <w:tcPr>
            <w:tcW w:type="dxa" w:w="1800"/>
            <w:tcBorders>
              <w:top w:val="single" w:color="2C5282" w:sz="4"/>
              <w:left w:val="single" w:color="2C5282" w:sz="4"/>
              <w:bottom w:val="single" w:color="2C5282" w:sz="4"/>
              <w:right w:val="single" w:color="2C5282" w:sz="4"/>
            </w:tcBorders>
            <w:shd w:fill="2A7A6F" w:val="clear"/>
            <w:tcMar>
              <w:top w:type="dxa" w:w="80"/>
              <w:left w:type="dxa" w:w="110"/>
              <w:bottom w:type="dxa" w:w="80"/>
              <w:right w:type="dxa" w:w="110"/>
            </w:tcMar>
          </w:tcPr>
          <w:p>
            <w:r>
              <w:rPr>
                <w:b/>
                <w:bCs/>
                <w:color w:val="FFFFFF"/>
                <w:sz w:val="18"/>
                <w:szCs w:val="18"/>
              </w:rPr>
              <w:t xml:space="preserve">Fallback Actor</w:t>
            </w:r>
          </w:p>
        </w:tc>
        <w:tc>
          <w:tcPr>
            <w:tcW w:type="dxa" w:w="1960"/>
            <w:tcBorders>
              <w:top w:val="single" w:color="2C5282" w:sz="4"/>
              <w:left w:val="single" w:color="2C5282" w:sz="4"/>
              <w:bottom w:val="single" w:color="2C5282" w:sz="4"/>
              <w:right w:val="single" w:color="2C5282" w:sz="4"/>
            </w:tcBorders>
            <w:shd w:fill="2A7A6F" w:val="clear"/>
            <w:tcMar>
              <w:top w:type="dxa" w:w="80"/>
              <w:left w:type="dxa" w:w="110"/>
              <w:bottom w:type="dxa" w:w="80"/>
              <w:right w:type="dxa" w:w="110"/>
            </w:tcMar>
          </w:tcPr>
          <w:p>
            <w:r>
              <w:rPr>
                <w:b/>
                <w:bCs/>
                <w:color w:val="FFFFFF"/>
                <w:sz w:val="18"/>
                <w:szCs w:val="18"/>
              </w:rPr>
              <w:t xml:space="preserve">Escalation Trigger</w:t>
            </w:r>
          </w:p>
        </w:tc>
      </w:tr>
      <w:tr>
        <w:tc>
          <w:tcPr>
            <w:tcW w:type="dxa" w:w="2000"/>
            <w:tcBorders>
              <w:top w:val="single" w:color="BBCCDD" w:sz="2"/>
              <w:left w:val="single" w:color="BBCCDD" w:sz="2"/>
              <w:bottom w:val="single" w:color="BBCCDD" w:sz="2"/>
              <w:right w:val="single" w:color="BBCCDD" w:sz="2"/>
            </w:tcBorders>
            <w:shd w:fill="EAF4F1" w:val="clear"/>
            <w:tcMar>
              <w:top w:type="dxa" w:w="80"/>
              <w:left w:type="dxa" w:w="110"/>
              <w:bottom w:type="dxa" w:w="80"/>
              <w:right w:type="dxa" w:w="110"/>
            </w:tcMar>
          </w:tcPr>
          <w:p>
            <w:r>
              <w:rPr>
                <w:color w:val="1A2E4A"/>
                <w:sz w:val="18"/>
                <w:szCs w:val="18"/>
              </w:rPr>
              <w:t xml:space="preserve">Terminology / code mapping error
(invalid RxNorm, malformed ICD-10)</w:t>
            </w:r>
          </w:p>
        </w:tc>
        <w:tc>
          <w:tcPr>
            <w:tcW w:type="dxa" w:w="1800"/>
            <w:tcBorders>
              <w:top w:val="single" w:color="BBCCDD" w:sz="2"/>
              <w:left w:val="single" w:color="BBCCDD" w:sz="2"/>
              <w:bottom w:val="single" w:color="BBCCDD" w:sz="2"/>
              <w:right w:val="single" w:color="BBCCDD" w:sz="2"/>
            </w:tcBorders>
            <w:shd w:fill="EAF4F1" w:val="clear"/>
            <w:tcMar>
              <w:top w:type="dxa" w:w="80"/>
              <w:left w:type="dxa" w:w="110"/>
              <w:bottom w:type="dxa" w:w="80"/>
              <w:right w:type="dxa" w:w="110"/>
            </w:tcMar>
          </w:tcPr>
          <w:p>
            <w:r>
              <w:rPr>
                <w:color w:val="1A2E4A"/>
                <w:sz w:val="18"/>
                <w:szCs w:val="18"/>
              </w:rPr>
              <w:t xml:space="preserve">Generates mapped equivalent with confidence score</w:t>
            </w:r>
          </w:p>
        </w:tc>
        <w:tc>
          <w:tcPr>
            <w:tcW w:type="dxa" w:w="1800"/>
            <w:tcBorders>
              <w:top w:val="single" w:color="BBCCDD" w:sz="2"/>
              <w:left w:val="single" w:color="BBCCDD" w:sz="2"/>
              <w:bottom w:val="single" w:color="BBCCDD" w:sz="2"/>
              <w:right w:val="single" w:color="BBCCDD" w:sz="2"/>
            </w:tcBorders>
            <w:shd w:fill="EAF4F1" w:val="clear"/>
            <w:tcMar>
              <w:top w:type="dxa" w:w="80"/>
              <w:left w:type="dxa" w:w="110"/>
              <w:bottom w:type="dxa" w:w="80"/>
              <w:right w:type="dxa" w:w="110"/>
            </w:tcMar>
          </w:tcPr>
          <w:p>
            <w:r>
              <w:rPr>
                <w:color w:val="1A2E4A"/>
                <w:sz w:val="18"/>
                <w:szCs w:val="18"/>
              </w:rPr>
              <w:t xml:space="preserve">Program Coordinator (data team)</w:t>
            </w:r>
          </w:p>
        </w:tc>
        <w:tc>
          <w:tcPr>
            <w:tcW w:type="dxa" w:w="1800"/>
            <w:tcBorders>
              <w:top w:val="single" w:color="BBCCDD" w:sz="2"/>
              <w:left w:val="single" w:color="BBCCDD" w:sz="2"/>
              <w:bottom w:val="single" w:color="BBCCDD" w:sz="2"/>
              <w:right w:val="single" w:color="BBCCDD" w:sz="2"/>
            </w:tcBorders>
            <w:shd w:fill="EAF4F1" w:val="clear"/>
            <w:tcMar>
              <w:top w:type="dxa" w:w="80"/>
              <w:left w:type="dxa" w:w="110"/>
              <w:bottom w:type="dxa" w:w="80"/>
              <w:right w:type="dxa" w:w="110"/>
            </w:tcMar>
          </w:tcPr>
          <w:p>
            <w:r>
              <w:rPr>
                <w:color w:val="1A2E4A"/>
                <w:sz w:val="18"/>
                <w:szCs w:val="18"/>
              </w:rPr>
              <w:t xml:space="preserve">Manual code lookup; Technology Vendor consultation</w:t>
            </w:r>
          </w:p>
        </w:tc>
        <w:tc>
          <w:tcPr>
            <w:tcW w:type="dxa" w:w="1960"/>
            <w:tcBorders>
              <w:top w:val="single" w:color="BBCCDD" w:sz="2"/>
              <w:left w:val="single" w:color="BBCCDD" w:sz="2"/>
              <w:bottom w:val="single" w:color="BBCCDD" w:sz="2"/>
              <w:right w:val="single" w:color="BBCCDD" w:sz="2"/>
            </w:tcBorders>
            <w:shd w:fill="EAF4F1" w:val="clear"/>
            <w:tcMar>
              <w:top w:type="dxa" w:w="80"/>
              <w:left w:type="dxa" w:w="110"/>
              <w:bottom w:type="dxa" w:w="80"/>
              <w:right w:type="dxa" w:w="110"/>
            </w:tcMar>
          </w:tcPr>
          <w:p>
            <w:r>
              <w:rPr>
                <w:color w:val="1A2E4A"/>
                <w:sz w:val="18"/>
                <w:szCs w:val="18"/>
              </w:rPr>
              <w:t xml:space="preserve">Confidence score below threshold or no valid mapping found</w:t>
            </w:r>
          </w:p>
        </w:tc>
      </w:tr>
      <w:tr>
        <w:tc>
          <w:tcPr>
            <w:tcW w:type="dxa" w:w="2000"/>
            <w:tcBorders>
              <w:top w:val="single" w:color="BBCCDD" w:sz="2"/>
              <w:left w:val="single" w:color="BBCCDD" w:sz="2"/>
              <w:bottom w:val="single" w:color="BBCCDD" w:sz="2"/>
              <w:right w:val="single" w:color="BBCCDD" w:sz="2"/>
            </w:tcBorders>
            <w:shd w:fill="FFFFFF" w:val="clear"/>
            <w:tcMar>
              <w:top w:type="dxa" w:w="80"/>
              <w:left w:type="dxa" w:w="110"/>
              <w:bottom w:type="dxa" w:w="80"/>
              <w:right w:type="dxa" w:w="110"/>
            </w:tcMar>
          </w:tcPr>
          <w:p>
            <w:r>
              <w:rPr>
                <w:color w:val="1A2E4A"/>
                <w:sz w:val="18"/>
                <w:szCs w:val="18"/>
              </w:rPr>
              <w:t xml:space="preserve">Date format — auto-normalizable
(e.g., MM/DD/YYYY → YYYYMMDD)</w:t>
            </w:r>
          </w:p>
        </w:tc>
        <w:tc>
          <w:tcPr>
            <w:tcW w:type="dxa" w:w="1800"/>
            <w:tcBorders>
              <w:top w:val="single" w:color="BBCCDD" w:sz="2"/>
              <w:left w:val="single" w:color="BBCCDD" w:sz="2"/>
              <w:bottom w:val="single" w:color="BBCCDD" w:sz="2"/>
              <w:right w:val="single" w:color="BBCCDD" w:sz="2"/>
            </w:tcBorders>
            <w:shd w:fill="FFFFFF" w:val="clear"/>
            <w:tcMar>
              <w:top w:type="dxa" w:w="80"/>
              <w:left w:type="dxa" w:w="110"/>
              <w:bottom w:type="dxa" w:w="80"/>
              <w:right w:type="dxa" w:w="110"/>
            </w:tcMar>
          </w:tcPr>
          <w:p>
            <w:r>
              <w:rPr>
                <w:color w:val="1A2E4A"/>
                <w:sz w:val="18"/>
                <w:szCs w:val="18"/>
              </w:rPr>
              <w:t xml:space="preserve">Applies deterministic normalization rule</w:t>
            </w:r>
          </w:p>
        </w:tc>
        <w:tc>
          <w:tcPr>
            <w:tcW w:type="dxa" w:w="1800"/>
            <w:tcBorders>
              <w:top w:val="single" w:color="BBCCDD" w:sz="2"/>
              <w:left w:val="single" w:color="BBCCDD" w:sz="2"/>
              <w:bottom w:val="single" w:color="BBCCDD" w:sz="2"/>
              <w:right w:val="single" w:color="BBCCDD" w:sz="2"/>
            </w:tcBorders>
            <w:shd w:fill="FFFFFF" w:val="clear"/>
            <w:tcMar>
              <w:top w:type="dxa" w:w="80"/>
              <w:left w:type="dxa" w:w="110"/>
              <w:bottom w:type="dxa" w:w="80"/>
              <w:right w:type="dxa" w:w="110"/>
            </w:tcMar>
          </w:tcPr>
          <w:p>
            <w:r>
              <w:rPr>
                <w:color w:val="1A2E4A"/>
                <w:sz w:val="18"/>
                <w:szCs w:val="18"/>
              </w:rPr>
              <w:t xml:space="preserve">Program Coordinator (batch approval)</w:t>
            </w:r>
          </w:p>
        </w:tc>
        <w:tc>
          <w:tcPr>
            <w:tcW w:type="dxa" w:w="1800"/>
            <w:tcBorders>
              <w:top w:val="single" w:color="BBCCDD" w:sz="2"/>
              <w:left w:val="single" w:color="BBCCDD" w:sz="2"/>
              <w:bottom w:val="single" w:color="BBCCDD" w:sz="2"/>
              <w:right w:val="single" w:color="BBCCDD" w:sz="2"/>
            </w:tcBorders>
            <w:shd w:fill="FFFFFF" w:val="clear"/>
            <w:tcMar>
              <w:top w:type="dxa" w:w="80"/>
              <w:left w:type="dxa" w:w="110"/>
              <w:bottom w:type="dxa" w:w="80"/>
              <w:right w:type="dxa" w:w="110"/>
            </w:tcMar>
          </w:tcPr>
          <w:p>
            <w:r>
              <w:rPr>
                <w:color w:val="1A2E4A"/>
                <w:sz w:val="18"/>
                <w:szCs w:val="18"/>
              </w:rPr>
              <w:t xml:space="preserve">Flag for manual review if format is ambiguous</w:t>
            </w:r>
          </w:p>
        </w:tc>
        <w:tc>
          <w:tcPr>
            <w:tcW w:type="dxa" w:w="1960"/>
            <w:tcBorders>
              <w:top w:val="single" w:color="BBCCDD" w:sz="2"/>
              <w:left w:val="single" w:color="BBCCDD" w:sz="2"/>
              <w:bottom w:val="single" w:color="BBCCDD" w:sz="2"/>
              <w:right w:val="single" w:color="BBCCDD" w:sz="2"/>
            </w:tcBorders>
            <w:shd w:fill="FFFFFF" w:val="clear"/>
            <w:tcMar>
              <w:top w:type="dxa" w:w="80"/>
              <w:left w:type="dxa" w:w="110"/>
              <w:bottom w:type="dxa" w:w="80"/>
              <w:right w:type="dxa" w:w="110"/>
            </w:tcMar>
          </w:tcPr>
          <w:p>
            <w:r>
              <w:rPr>
                <w:color w:val="1A2E4A"/>
                <w:sz w:val="18"/>
                <w:szCs w:val="18"/>
              </w:rPr>
              <w:t xml:space="preserve">Date cannot be unambiguously resolved</w:t>
            </w:r>
          </w:p>
        </w:tc>
      </w:tr>
      <w:tr>
        <w:tc>
          <w:tcPr>
            <w:tcW w:type="dxa" w:w="2000"/>
            <w:tcBorders>
              <w:top w:val="single" w:color="BBCCDD" w:sz="2"/>
              <w:left w:val="single" w:color="BBCCDD" w:sz="2"/>
              <w:bottom w:val="single" w:color="BBCCDD" w:sz="2"/>
              <w:right w:val="single" w:color="BBCCDD" w:sz="2"/>
            </w:tcBorders>
            <w:shd w:fill="EAF4F1" w:val="clear"/>
            <w:tcMar>
              <w:top w:type="dxa" w:w="80"/>
              <w:left w:type="dxa" w:w="110"/>
              <w:bottom w:type="dxa" w:w="80"/>
              <w:right w:type="dxa" w:w="110"/>
            </w:tcMar>
          </w:tcPr>
          <w:p>
            <w:r>
              <w:rPr>
                <w:color w:val="1A2E4A"/>
                <w:sz w:val="18"/>
                <w:szCs w:val="18"/>
              </w:rPr>
              <w:t xml:space="preserve">Date format — ambiguous
(day/month transposed; cannot resolve automatically)</w:t>
            </w:r>
          </w:p>
        </w:tc>
        <w:tc>
          <w:tcPr>
            <w:tcW w:type="dxa" w:w="1800"/>
            <w:tcBorders>
              <w:top w:val="single" w:color="BBCCDD" w:sz="2"/>
              <w:left w:val="single" w:color="BBCCDD" w:sz="2"/>
              <w:bottom w:val="single" w:color="BBCCDD" w:sz="2"/>
              <w:right w:val="single" w:color="BBCCDD" w:sz="2"/>
            </w:tcBorders>
            <w:shd w:fill="EAF4F1" w:val="clear"/>
            <w:tcMar>
              <w:top w:type="dxa" w:w="80"/>
              <w:left w:type="dxa" w:w="110"/>
              <w:bottom w:type="dxa" w:w="80"/>
              <w:right w:type="dxa" w:w="110"/>
            </w:tcMar>
          </w:tcPr>
          <w:p>
            <w:r>
              <w:rPr>
                <w:color w:val="1A2E4A"/>
                <w:sz w:val="18"/>
                <w:szCs w:val="18"/>
              </w:rPr>
              <w:t xml:space="preserve">Flags record; generates candidate interpretations</w:t>
            </w:r>
          </w:p>
        </w:tc>
        <w:tc>
          <w:tcPr>
            <w:tcW w:type="dxa" w:w="1800"/>
            <w:tcBorders>
              <w:top w:val="single" w:color="BBCCDD" w:sz="2"/>
              <w:left w:val="single" w:color="BBCCDD" w:sz="2"/>
              <w:bottom w:val="single" w:color="BBCCDD" w:sz="2"/>
              <w:right w:val="single" w:color="BBCCDD" w:sz="2"/>
            </w:tcBorders>
            <w:shd w:fill="EAF4F1" w:val="clear"/>
            <w:tcMar>
              <w:top w:type="dxa" w:w="80"/>
              <w:left w:type="dxa" w:w="110"/>
              <w:bottom w:type="dxa" w:w="80"/>
              <w:right w:type="dxa" w:w="110"/>
            </w:tcMar>
          </w:tcPr>
          <w:p>
            <w:r>
              <w:rPr>
                <w:color w:val="1A2E4A"/>
                <w:sz w:val="18"/>
                <w:szCs w:val="18"/>
              </w:rPr>
              <w:t xml:space="preserve">Primary Care Site or Regional Data Node (source owner)</w:t>
            </w:r>
          </w:p>
        </w:tc>
        <w:tc>
          <w:tcPr>
            <w:tcW w:type="dxa" w:w="1800"/>
            <w:tcBorders>
              <w:top w:val="single" w:color="BBCCDD" w:sz="2"/>
              <w:left w:val="single" w:color="BBCCDD" w:sz="2"/>
              <w:bottom w:val="single" w:color="BBCCDD" w:sz="2"/>
              <w:right w:val="single" w:color="BBCCDD" w:sz="2"/>
            </w:tcBorders>
            <w:shd w:fill="EAF4F1" w:val="clear"/>
            <w:tcMar>
              <w:top w:type="dxa" w:w="80"/>
              <w:left w:type="dxa" w:w="110"/>
              <w:bottom w:type="dxa" w:w="80"/>
              <w:right w:type="dxa" w:w="110"/>
            </w:tcMar>
          </w:tcPr>
          <w:p>
            <w:r>
              <w:rPr>
                <w:color w:val="1A2E4A"/>
                <w:sz w:val="18"/>
                <w:szCs w:val="18"/>
              </w:rPr>
              <w:t xml:space="preserve">Program Coordinator creates work item for source actor</w:t>
            </w:r>
          </w:p>
        </w:tc>
        <w:tc>
          <w:tcPr>
            <w:tcW w:type="dxa" w:w="1960"/>
            <w:tcBorders>
              <w:top w:val="single" w:color="BBCCDD" w:sz="2"/>
              <w:left w:val="single" w:color="BBCCDD" w:sz="2"/>
              <w:bottom w:val="single" w:color="BBCCDD" w:sz="2"/>
              <w:right w:val="single" w:color="BBCCDD" w:sz="2"/>
            </w:tcBorders>
            <w:shd w:fill="EAF4F1" w:val="clear"/>
            <w:tcMar>
              <w:top w:type="dxa" w:w="80"/>
              <w:left w:type="dxa" w:w="110"/>
              <w:bottom w:type="dxa" w:w="80"/>
              <w:right w:type="dxa" w:w="110"/>
            </w:tcMar>
          </w:tcPr>
          <w:p>
            <w:r>
              <w:rPr>
                <w:color w:val="1A2E4A"/>
                <w:sz w:val="18"/>
                <w:szCs w:val="18"/>
              </w:rPr>
              <w:t xml:space="preserve">Always — source confirmation required</w:t>
            </w:r>
          </w:p>
        </w:tc>
      </w:tr>
      <w:tr>
        <w:tc>
          <w:tcPr>
            <w:tcW w:type="dxa" w:w="2000"/>
            <w:tcBorders>
              <w:top w:val="single" w:color="BBCCDD" w:sz="2"/>
              <w:left w:val="single" w:color="BBCCDD" w:sz="2"/>
              <w:bottom w:val="single" w:color="BBCCDD" w:sz="2"/>
              <w:right w:val="single" w:color="BBCCDD" w:sz="2"/>
            </w:tcBorders>
            <w:shd w:fill="FFFFFF" w:val="clear"/>
            <w:tcMar>
              <w:top w:type="dxa" w:w="80"/>
              <w:left w:type="dxa" w:w="110"/>
              <w:bottom w:type="dxa" w:w="80"/>
              <w:right w:type="dxa" w:w="110"/>
            </w:tcMar>
          </w:tcPr>
          <w:p>
            <w:r>
              <w:rPr>
                <w:color w:val="1A2E4A"/>
                <w:sz w:val="18"/>
                <w:szCs w:val="18"/>
              </w:rPr>
              <w:t xml:space="preserve">Derived metric concordance failure
(device TIR ≠ recomputed TIR)</w:t>
            </w:r>
          </w:p>
        </w:tc>
        <w:tc>
          <w:tcPr>
            <w:tcW w:type="dxa" w:w="1800"/>
            <w:tcBorders>
              <w:top w:val="single" w:color="BBCCDD" w:sz="2"/>
              <w:left w:val="single" w:color="BBCCDD" w:sz="2"/>
              <w:bottom w:val="single" w:color="BBCCDD" w:sz="2"/>
              <w:right w:val="single" w:color="BBCCDD" w:sz="2"/>
            </w:tcBorders>
            <w:shd w:fill="FFFFFF" w:val="clear"/>
            <w:tcMar>
              <w:top w:type="dxa" w:w="80"/>
              <w:left w:type="dxa" w:w="110"/>
              <w:bottom w:type="dxa" w:w="80"/>
              <w:right w:type="dxa" w:w="110"/>
            </w:tcMar>
          </w:tcPr>
          <w:p>
            <w:r>
              <w:rPr>
                <w:color w:val="1A2E4A"/>
                <w:sz w:val="18"/>
                <w:szCs w:val="18"/>
              </w:rPr>
              <w:t xml:space="preserve">Recomputes from raw data; proposes replacement of stored value</w:t>
            </w:r>
          </w:p>
        </w:tc>
        <w:tc>
          <w:tcPr>
            <w:tcW w:type="dxa" w:w="1800"/>
            <w:tcBorders>
              <w:top w:val="single" w:color="BBCCDD" w:sz="2"/>
              <w:left w:val="single" w:color="BBCCDD" w:sz="2"/>
              <w:bottom w:val="single" w:color="BBCCDD" w:sz="2"/>
              <w:right w:val="single" w:color="BBCCDD" w:sz="2"/>
            </w:tcBorders>
            <w:shd w:fill="FFFFFF" w:val="clear"/>
            <w:tcMar>
              <w:top w:type="dxa" w:w="80"/>
              <w:left w:type="dxa" w:w="110"/>
              <w:bottom w:type="dxa" w:w="80"/>
              <w:right w:type="dxa" w:w="110"/>
            </w:tcMar>
          </w:tcPr>
          <w:p>
            <w:r>
              <w:rPr>
                <w:color w:val="1A2E4A"/>
                <w:sz w:val="18"/>
                <w:szCs w:val="18"/>
              </w:rPr>
              <w:t xml:space="preserve">Program Coordinator; escalate to Specialist if clinically unexpected</w:t>
            </w:r>
          </w:p>
        </w:tc>
        <w:tc>
          <w:tcPr>
            <w:tcW w:type="dxa" w:w="1800"/>
            <w:tcBorders>
              <w:top w:val="single" w:color="BBCCDD" w:sz="2"/>
              <w:left w:val="single" w:color="BBCCDD" w:sz="2"/>
              <w:bottom w:val="single" w:color="BBCCDD" w:sz="2"/>
              <w:right w:val="single" w:color="BBCCDD" w:sz="2"/>
            </w:tcBorders>
            <w:shd w:fill="FFFFFF" w:val="clear"/>
            <w:tcMar>
              <w:top w:type="dxa" w:w="80"/>
              <w:left w:type="dxa" w:w="110"/>
              <w:bottom w:type="dxa" w:w="80"/>
              <w:right w:type="dxa" w:w="110"/>
            </w:tcMar>
          </w:tcPr>
          <w:p>
            <w:r>
              <w:rPr>
                <w:color w:val="1A2E4A"/>
                <w:sz w:val="18"/>
                <w:szCs w:val="18"/>
              </w:rPr>
              <w:t xml:space="preserve">Technology Vendor if stored value originated from EHR template</w:t>
            </w:r>
          </w:p>
        </w:tc>
        <w:tc>
          <w:tcPr>
            <w:tcW w:type="dxa" w:w="1960"/>
            <w:tcBorders>
              <w:top w:val="single" w:color="BBCCDD" w:sz="2"/>
              <w:left w:val="single" w:color="BBCCDD" w:sz="2"/>
              <w:bottom w:val="single" w:color="BBCCDD" w:sz="2"/>
              <w:right w:val="single" w:color="BBCCDD" w:sz="2"/>
            </w:tcBorders>
            <w:shd w:fill="FFFFFF" w:val="clear"/>
            <w:tcMar>
              <w:top w:type="dxa" w:w="80"/>
              <w:left w:type="dxa" w:w="110"/>
              <w:bottom w:type="dxa" w:w="80"/>
              <w:right w:type="dxa" w:w="110"/>
            </w:tcMar>
          </w:tcPr>
          <w:p>
            <w:r>
              <w:rPr>
                <w:color w:val="1A2E4A"/>
                <w:sz w:val="18"/>
                <w:szCs w:val="18"/>
              </w:rPr>
              <w:t xml:space="preserve">Recomputed value falls outside plausible clinical range</w:t>
            </w:r>
          </w:p>
        </w:tc>
      </w:tr>
      <w:tr>
        <w:tc>
          <w:tcPr>
            <w:tcW w:type="dxa" w:w="2000"/>
            <w:tcBorders>
              <w:top w:val="single" w:color="BBCCDD" w:sz="2"/>
              <w:left w:val="single" w:color="BBCCDD" w:sz="2"/>
              <w:bottom w:val="single" w:color="BBCCDD" w:sz="2"/>
              <w:right w:val="single" w:color="BBCCDD" w:sz="2"/>
            </w:tcBorders>
            <w:shd w:fill="EAF4F1" w:val="clear"/>
            <w:tcMar>
              <w:top w:type="dxa" w:w="80"/>
              <w:left w:type="dxa" w:w="110"/>
              <w:bottom w:type="dxa" w:w="80"/>
              <w:right w:type="dxa" w:w="110"/>
            </w:tcMar>
          </w:tcPr>
          <w:p>
            <w:r>
              <w:rPr>
                <w:color w:val="1A2E4A"/>
                <w:sz w:val="18"/>
                <w:szCs w:val="18"/>
              </w:rPr>
              <w:t xml:space="preserve">Value plausibility failure
(implausible value or unit error)</w:t>
            </w:r>
          </w:p>
        </w:tc>
        <w:tc>
          <w:tcPr>
            <w:tcW w:type="dxa" w:w="1800"/>
            <w:tcBorders>
              <w:top w:val="single" w:color="BBCCDD" w:sz="2"/>
              <w:left w:val="single" w:color="BBCCDD" w:sz="2"/>
              <w:bottom w:val="single" w:color="BBCCDD" w:sz="2"/>
              <w:right w:val="single" w:color="BBCCDD" w:sz="2"/>
            </w:tcBorders>
            <w:shd w:fill="EAF4F1" w:val="clear"/>
            <w:tcMar>
              <w:top w:type="dxa" w:w="80"/>
              <w:left w:type="dxa" w:w="110"/>
              <w:bottom w:type="dxa" w:w="80"/>
              <w:right w:type="dxa" w:w="110"/>
            </w:tcMar>
          </w:tcPr>
          <w:p>
            <w:r>
              <w:rPr>
                <w:color w:val="1A2E4A"/>
                <w:sz w:val="18"/>
                <w:szCs w:val="18"/>
              </w:rPr>
              <w:t xml:space="preserve">Flags record; suggests unit correction if detectable</w:t>
            </w:r>
          </w:p>
        </w:tc>
        <w:tc>
          <w:tcPr>
            <w:tcW w:type="dxa" w:w="1800"/>
            <w:tcBorders>
              <w:top w:val="single" w:color="BBCCDD" w:sz="2"/>
              <w:left w:val="single" w:color="BBCCDD" w:sz="2"/>
              <w:bottom w:val="single" w:color="BBCCDD" w:sz="2"/>
              <w:right w:val="single" w:color="BBCCDD" w:sz="2"/>
            </w:tcBorders>
            <w:shd w:fill="EAF4F1" w:val="clear"/>
            <w:tcMar>
              <w:top w:type="dxa" w:w="80"/>
              <w:left w:type="dxa" w:w="110"/>
              <w:bottom w:type="dxa" w:w="80"/>
              <w:right w:type="dxa" w:w="110"/>
            </w:tcMar>
          </w:tcPr>
          <w:p>
            <w:r>
              <w:rPr>
                <w:color w:val="1A2E4A"/>
                <w:sz w:val="18"/>
                <w:szCs w:val="18"/>
              </w:rPr>
              <w:t xml:space="preserve">Clinical reviewer — Primary Care Site or Program Coordinator clinical lead</w:t>
            </w:r>
          </w:p>
        </w:tc>
        <w:tc>
          <w:tcPr>
            <w:tcW w:type="dxa" w:w="1800"/>
            <w:tcBorders>
              <w:top w:val="single" w:color="BBCCDD" w:sz="2"/>
              <w:left w:val="single" w:color="BBCCDD" w:sz="2"/>
              <w:bottom w:val="single" w:color="BBCCDD" w:sz="2"/>
              <w:right w:val="single" w:color="BBCCDD" w:sz="2"/>
            </w:tcBorders>
            <w:shd w:fill="EAF4F1" w:val="clear"/>
            <w:tcMar>
              <w:top w:type="dxa" w:w="80"/>
              <w:left w:type="dxa" w:w="110"/>
              <w:bottom w:type="dxa" w:w="80"/>
              <w:right w:type="dxa" w:w="110"/>
            </w:tcMar>
          </w:tcPr>
          <w:p>
            <w:r>
              <w:rPr>
                <w:color w:val="1A2E4A"/>
                <w:sz w:val="18"/>
                <w:szCs w:val="18"/>
              </w:rPr>
              <w:t xml:space="preserve">Primary Care Site corrects at source; Technology Vendor fixes template</w:t>
            </w:r>
          </w:p>
        </w:tc>
        <w:tc>
          <w:tcPr>
            <w:tcW w:type="dxa" w:w="1960"/>
            <w:tcBorders>
              <w:top w:val="single" w:color="BBCCDD" w:sz="2"/>
              <w:left w:val="single" w:color="BBCCDD" w:sz="2"/>
              <w:bottom w:val="single" w:color="BBCCDD" w:sz="2"/>
              <w:right w:val="single" w:color="BBCCDD" w:sz="2"/>
            </w:tcBorders>
            <w:shd w:fill="EAF4F1" w:val="clear"/>
            <w:tcMar>
              <w:top w:type="dxa" w:w="80"/>
              <w:left w:type="dxa" w:w="110"/>
              <w:bottom w:type="dxa" w:w="80"/>
              <w:right w:type="dxa" w:w="110"/>
            </w:tcMar>
          </w:tcPr>
          <w:p>
            <w:r>
              <w:rPr>
                <w:color w:val="1A2E4A"/>
                <w:sz w:val="18"/>
                <w:szCs w:val="18"/>
              </w:rPr>
              <w:t xml:space="preserve">Always — clinical judgment required</w:t>
            </w:r>
          </w:p>
        </w:tc>
      </w:tr>
      <w:tr>
        <w:tc>
          <w:tcPr>
            <w:tcW w:type="dxa" w:w="2000"/>
            <w:tcBorders>
              <w:top w:val="single" w:color="BBCCDD" w:sz="2"/>
              <w:left w:val="single" w:color="BBCCDD" w:sz="2"/>
              <w:bottom w:val="single" w:color="BBCCDD" w:sz="2"/>
              <w:right w:val="single" w:color="BBCCDD" w:sz="2"/>
            </w:tcBorders>
            <w:shd w:fill="FFFFFF" w:val="clear"/>
            <w:tcMar>
              <w:top w:type="dxa" w:w="80"/>
              <w:left w:type="dxa" w:w="110"/>
              <w:bottom w:type="dxa" w:w="80"/>
              <w:right w:type="dxa" w:w="110"/>
            </w:tcMar>
          </w:tcPr>
          <w:p>
            <w:r>
              <w:rPr>
                <w:color w:val="1A2E4A"/>
                <w:sz w:val="18"/>
                <w:szCs w:val="18"/>
              </w:rPr>
              <w:t xml:space="preserve">Missing field — extractable from structured sources</w:t>
            </w:r>
          </w:p>
        </w:tc>
        <w:tc>
          <w:tcPr>
            <w:tcW w:type="dxa" w:w="1800"/>
            <w:tcBorders>
              <w:top w:val="single" w:color="BBCCDD" w:sz="2"/>
              <w:left w:val="single" w:color="BBCCDD" w:sz="2"/>
              <w:bottom w:val="single" w:color="BBCCDD" w:sz="2"/>
              <w:right w:val="single" w:color="BBCCDD" w:sz="2"/>
            </w:tcBorders>
            <w:shd w:fill="FFFFFF" w:val="clear"/>
            <w:tcMar>
              <w:top w:type="dxa" w:w="80"/>
              <w:left w:type="dxa" w:w="110"/>
              <w:bottom w:type="dxa" w:w="80"/>
              <w:right w:type="dxa" w:w="110"/>
            </w:tcMar>
          </w:tcPr>
          <w:p>
            <w:r>
              <w:rPr>
                <w:color w:val="1A2E4A"/>
                <w:sz w:val="18"/>
                <w:szCs w:val="18"/>
              </w:rPr>
              <w:t xml:space="preserve">Extracts value from available structured data if present</w:t>
            </w:r>
          </w:p>
        </w:tc>
        <w:tc>
          <w:tcPr>
            <w:tcW w:type="dxa" w:w="1800"/>
            <w:tcBorders>
              <w:top w:val="single" w:color="BBCCDD" w:sz="2"/>
              <w:left w:val="single" w:color="BBCCDD" w:sz="2"/>
              <w:bottom w:val="single" w:color="BBCCDD" w:sz="2"/>
              <w:right w:val="single" w:color="BBCCDD" w:sz="2"/>
            </w:tcBorders>
            <w:shd w:fill="FFFFFF" w:val="clear"/>
            <w:tcMar>
              <w:top w:type="dxa" w:w="80"/>
              <w:left w:type="dxa" w:w="110"/>
              <w:bottom w:type="dxa" w:w="80"/>
              <w:right w:type="dxa" w:w="110"/>
            </w:tcMar>
          </w:tcPr>
          <w:p>
            <w:r>
              <w:rPr>
                <w:color w:val="1A2E4A"/>
                <w:sz w:val="18"/>
                <w:szCs w:val="18"/>
              </w:rPr>
              <w:t xml:space="preserve">Program Coordinator (extraction review)</w:t>
            </w:r>
          </w:p>
        </w:tc>
        <w:tc>
          <w:tcPr>
            <w:tcW w:type="dxa" w:w="1800"/>
            <w:tcBorders>
              <w:top w:val="single" w:color="BBCCDD" w:sz="2"/>
              <w:left w:val="single" w:color="BBCCDD" w:sz="2"/>
              <w:bottom w:val="single" w:color="BBCCDD" w:sz="2"/>
              <w:right w:val="single" w:color="BBCCDD" w:sz="2"/>
            </w:tcBorders>
            <w:shd w:fill="FFFFFF" w:val="clear"/>
            <w:tcMar>
              <w:top w:type="dxa" w:w="80"/>
              <w:left w:type="dxa" w:w="110"/>
              <w:bottom w:type="dxa" w:w="80"/>
              <w:right w:type="dxa" w:w="110"/>
            </w:tcMar>
          </w:tcPr>
          <w:p>
            <w:r>
              <w:rPr>
                <w:color w:val="1A2E4A"/>
                <w:sz w:val="18"/>
                <w:szCs w:val="18"/>
              </w:rPr>
              <w:t xml:space="preserve">Flag as gap; route to Primary Care Site for workflow update</w:t>
            </w:r>
          </w:p>
        </w:tc>
        <w:tc>
          <w:tcPr>
            <w:tcW w:type="dxa" w:w="1960"/>
            <w:tcBorders>
              <w:top w:val="single" w:color="BBCCDD" w:sz="2"/>
              <w:left w:val="single" w:color="BBCCDD" w:sz="2"/>
              <w:bottom w:val="single" w:color="BBCCDD" w:sz="2"/>
              <w:right w:val="single" w:color="BBCCDD" w:sz="2"/>
            </w:tcBorders>
            <w:shd w:fill="FFFFFF" w:val="clear"/>
            <w:tcMar>
              <w:top w:type="dxa" w:w="80"/>
              <w:left w:type="dxa" w:w="110"/>
              <w:bottom w:type="dxa" w:w="80"/>
              <w:right w:type="dxa" w:w="110"/>
            </w:tcMar>
          </w:tcPr>
          <w:p>
            <w:r>
              <w:rPr>
                <w:color w:val="1A2E4A"/>
                <w:sz w:val="18"/>
                <w:szCs w:val="18"/>
              </w:rPr>
              <w:t xml:space="preserve">Value not found in any structured source</w:t>
            </w:r>
          </w:p>
        </w:tc>
      </w:tr>
      <w:tr>
        <w:tc>
          <w:tcPr>
            <w:tcW w:type="dxa" w:w="2000"/>
            <w:tcBorders>
              <w:top w:val="single" w:color="BBCCDD" w:sz="2"/>
              <w:left w:val="single" w:color="BBCCDD" w:sz="2"/>
              <w:bottom w:val="single" w:color="BBCCDD" w:sz="2"/>
              <w:right w:val="single" w:color="BBCCDD" w:sz="2"/>
            </w:tcBorders>
            <w:shd w:fill="EAF4F1" w:val="clear"/>
            <w:tcMar>
              <w:top w:type="dxa" w:w="80"/>
              <w:left w:type="dxa" w:w="110"/>
              <w:bottom w:type="dxa" w:w="80"/>
              <w:right w:type="dxa" w:w="110"/>
            </w:tcMar>
          </w:tcPr>
          <w:p>
            <w:r>
              <w:rPr>
                <w:color w:val="1A2E4A"/>
                <w:sz w:val="18"/>
                <w:szCs w:val="18"/>
              </w:rPr>
              <w:t xml:space="preserve">Missing field — not auto-extractable</w:t>
            </w:r>
          </w:p>
        </w:tc>
        <w:tc>
          <w:tcPr>
            <w:tcW w:type="dxa" w:w="1800"/>
            <w:tcBorders>
              <w:top w:val="single" w:color="BBCCDD" w:sz="2"/>
              <w:left w:val="single" w:color="BBCCDD" w:sz="2"/>
              <w:bottom w:val="single" w:color="BBCCDD" w:sz="2"/>
              <w:right w:val="single" w:color="BBCCDD" w:sz="2"/>
            </w:tcBorders>
            <w:shd w:fill="EAF4F1" w:val="clear"/>
            <w:tcMar>
              <w:top w:type="dxa" w:w="80"/>
              <w:left w:type="dxa" w:w="110"/>
              <w:bottom w:type="dxa" w:w="80"/>
              <w:right w:type="dxa" w:w="110"/>
            </w:tcMar>
          </w:tcPr>
          <w:p>
            <w:r>
              <w:rPr>
                <w:color w:val="1A2E4A"/>
                <w:sz w:val="18"/>
                <w:szCs w:val="18"/>
              </w:rPr>
              <w:t xml:space="preserve">Flags gap; generates remediation work item</w:t>
            </w:r>
          </w:p>
        </w:tc>
        <w:tc>
          <w:tcPr>
            <w:tcW w:type="dxa" w:w="1800"/>
            <w:tcBorders>
              <w:top w:val="single" w:color="BBCCDD" w:sz="2"/>
              <w:left w:val="single" w:color="BBCCDD" w:sz="2"/>
              <w:bottom w:val="single" w:color="BBCCDD" w:sz="2"/>
              <w:right w:val="single" w:color="BBCCDD" w:sz="2"/>
            </w:tcBorders>
            <w:shd w:fill="EAF4F1" w:val="clear"/>
            <w:tcMar>
              <w:top w:type="dxa" w:w="80"/>
              <w:left w:type="dxa" w:w="110"/>
              <w:bottom w:type="dxa" w:w="80"/>
              <w:right w:type="dxa" w:w="110"/>
            </w:tcMar>
          </w:tcPr>
          <w:p>
            <w:r>
              <w:rPr>
                <w:color w:val="1A2E4A"/>
                <w:sz w:val="18"/>
                <w:szCs w:val="18"/>
              </w:rPr>
              <w:t xml:space="preserve">N/A — no patch generated</w:t>
            </w:r>
          </w:p>
        </w:tc>
        <w:tc>
          <w:tcPr>
            <w:tcW w:type="dxa" w:w="1800"/>
            <w:tcBorders>
              <w:top w:val="single" w:color="BBCCDD" w:sz="2"/>
              <w:left w:val="single" w:color="BBCCDD" w:sz="2"/>
              <w:bottom w:val="single" w:color="BBCCDD" w:sz="2"/>
              <w:right w:val="single" w:color="BBCCDD" w:sz="2"/>
            </w:tcBorders>
            <w:shd w:fill="EAF4F1" w:val="clear"/>
            <w:tcMar>
              <w:top w:type="dxa" w:w="80"/>
              <w:left w:type="dxa" w:w="110"/>
              <w:bottom w:type="dxa" w:w="80"/>
              <w:right w:type="dxa" w:w="110"/>
            </w:tcMar>
          </w:tcPr>
          <w:p>
            <w:r>
              <w:rPr>
                <w:color w:val="1A2E4A"/>
                <w:sz w:val="18"/>
                <w:szCs w:val="18"/>
              </w:rPr>
              <w:t xml:space="preserve">Primary Care Site (workflow update); Network/Payer (incentive support)</w:t>
            </w:r>
          </w:p>
        </w:tc>
        <w:tc>
          <w:tcPr>
            <w:tcW w:type="dxa" w:w="1960"/>
            <w:tcBorders>
              <w:top w:val="single" w:color="BBCCDD" w:sz="2"/>
              <w:left w:val="single" w:color="BBCCDD" w:sz="2"/>
              <w:bottom w:val="single" w:color="BBCCDD" w:sz="2"/>
              <w:right w:val="single" w:color="BBCCDD" w:sz="2"/>
            </w:tcBorders>
            <w:shd w:fill="EAF4F1" w:val="clear"/>
            <w:tcMar>
              <w:top w:type="dxa" w:w="80"/>
              <w:left w:type="dxa" w:w="110"/>
              <w:bottom w:type="dxa" w:w="80"/>
              <w:right w:type="dxa" w:w="110"/>
            </w:tcMar>
          </w:tcPr>
          <w:p>
            <w:r>
              <w:rPr>
                <w:color w:val="1A2E4A"/>
                <w:sz w:val="18"/>
                <w:szCs w:val="18"/>
              </w:rPr>
              <w:t xml:space="preserve">Always — AI cannot generate data that was never collected</w:t>
            </w:r>
          </w:p>
        </w:tc>
      </w:tr>
    </w:tbl>
    <w:p>
      <w:pPr>
        <w:spacing w:after="80"/>
      </w:pPr>
      <w:r>
        <w:t xml:space="preserve"/>
      </w:r>
    </w:p>
    <w:p>
      <w:pPr>
        <w:pBdr>
          <w:bottom w:val="single" w:color="D0DCE8" w:sz="4" w:space="1"/>
        </w:pBdr>
        <w:spacing w:after="120" w:before="120"/>
      </w:pPr>
      <w:r>
        <w:t xml:space="preserve"/>
      </w:r>
    </w:p>
    <w:p>
      <w:pPr>
        <w:pStyle w:val="Heading2"/>
      </w:pPr>
      <w:r>
        <w:t xml:space="preserve">Phase 3 — Stakeholder-Led Remediation</w:t>
      </w:r>
    </w:p>
    <w:p>
      <w:pPr>
        <w:spacing w:after="100"/>
      </w:pPr>
      <w:r>
        <w:t xml:space="preserve">Issues that cannot be resolved through AI-assisted patching are routed as work items to the responsible functional role based on the issue phenotype.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37"/>
        <w:gridCol w:w="937"/>
        <w:gridCol w:w="937"/>
        <w:gridCol w:w="937"/>
        <w:gridCol w:w="937"/>
        <w:gridCol w:w="937"/>
        <w:gridCol w:w="937"/>
      </w:tblGrid>
      <w:tr>
        <w:trPr>
          <w:tblHeader/>
        </w:trPr>
        <w:tc>
          <w:tcPr>
            <w:tcW w:type="dxa" w:w="2800"/>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left"/>
            </w:pPr>
            <w:r>
              <w:rPr>
                <w:b/>
                <w:bCs/>
                <w:color w:val="FFFFFF"/>
                <w:sz w:val="17"/>
                <w:szCs w:val="17"/>
              </w:rPr>
              <w:t xml:space="preserve">Task</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PCP /
Clinic</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Specialist</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Data
Node</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Tech
Vendor</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Prog.
Coord.</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Network /
Payer</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Policy /
Reg.</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Fix documentation / entry errors at point of care</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Fix EHR configuration (LOINC codes, CCD templates)</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Update clinic data capture workflows</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Update feed routing / interface configuration</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Resolve patient identity / MPI conflicts</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Resolve patient-device linkage failures</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Address device adherence gaps (CGM wear time)</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Incentivize clinic data quality compliance</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Provide technical assistance to clinics</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Confirm remediation effectiveness</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4A80B0" w:val="clear"/>
            <w:tcMar>
              <w:top w:type="dxa" w:w="65"/>
              <w:left w:type="dxa" w:w="80"/>
              <w:bottom w:type="dxa" w:w="65"/>
              <w:right w:type="dxa" w:w="80"/>
            </w:tcMar>
          </w:tcPr>
          <w:p>
            <w:pPr>
              <w:jc w:val="center"/>
            </w:pPr>
            <w:r>
              <w:rPr>
                <w:b/>
                <w:bCs/>
                <w:color w:val="FFFFFF"/>
                <w:sz w:val="17"/>
                <w:szCs w:val="17"/>
              </w:rPr>
              <w:t xml:space="preserve">A</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r>
    </w:tbl>
    <w:p>
      <w:pPr>
        <w:spacing w:after="80"/>
      </w:pPr>
      <w:r>
        <w:t xml:space="preserve"/>
      </w:r>
    </w:p>
    <w:p>
      <w:pPr>
        <w:pBdr>
          <w:bottom w:val="single" w:color="D0DCE8" w:sz="4" w:space="1"/>
        </w:pBdr>
        <w:spacing w:after="120" w:before="120"/>
      </w:pPr>
      <w:r>
        <w:t xml:space="preserve"/>
      </w:r>
    </w:p>
    <w:p>
      <w:pPr>
        <w:pStyle w:val="Heading2"/>
      </w:pPr>
      <w:r>
        <w:t xml:space="preserve">Phase 4 — Analytics and Reporting</w:t>
      </w:r>
    </w:p>
    <w:p>
      <w:pPr>
        <w:spacing w:after="100"/>
      </w:pPr>
      <w:r>
        <w:t xml:space="preserve">Once data readiness thresholds are met for a given use case, the infrastructure generates analytics and reporting outputs. The Program Coordinator runs the analytics layer; the Network/Payer is accountable for VBC reporting outcomes. Remediation outcomes are fed back into the readiness scoring system, enabling iterative improvement and tracking of readiness progression over time.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37"/>
        <w:gridCol w:w="937"/>
        <w:gridCol w:w="937"/>
        <w:gridCol w:w="937"/>
        <w:gridCol w:w="937"/>
        <w:gridCol w:w="937"/>
        <w:gridCol w:w="937"/>
      </w:tblGrid>
      <w:tr>
        <w:trPr>
          <w:tblHeader/>
        </w:trPr>
        <w:tc>
          <w:tcPr>
            <w:tcW w:type="dxa" w:w="2800"/>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left"/>
            </w:pPr>
            <w:r>
              <w:rPr>
                <w:b/>
                <w:bCs/>
                <w:color w:val="FFFFFF"/>
                <w:sz w:val="17"/>
                <w:szCs w:val="17"/>
              </w:rPr>
              <w:t xml:space="preserve">Task</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PCP /
Clinic</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Specialist</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Data
Node</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Tech
Vendor</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Prog.
Coord.</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Network /
Payer</w:t>
            </w:r>
          </w:p>
        </w:tc>
        <w:tc>
          <w:tcPr>
            <w:tcW w:type="dxa" w:w="937"/>
            <w:tcBorders>
              <w:top w:val="single" w:color="2C5282" w:sz="4"/>
              <w:left w:val="single" w:color="2C5282" w:sz="4"/>
              <w:bottom w:val="single" w:color="2C5282" w:sz="4"/>
              <w:right w:val="single" w:color="2C5282" w:sz="4"/>
            </w:tcBorders>
            <w:shd w:fill="1F3864" w:val="clear"/>
            <w:tcMar>
              <w:top w:type="dxa" w:w="70"/>
              <w:left w:type="dxa" w:w="80"/>
              <w:bottom w:type="dxa" w:w="70"/>
              <w:right w:type="dxa" w:w="80"/>
            </w:tcMar>
          </w:tcPr>
          <w:p>
            <w:pPr>
              <w:jc w:val="center"/>
            </w:pPr>
            <w:r>
              <w:rPr>
                <w:b/>
                <w:bCs/>
                <w:color w:val="FFFFFF"/>
                <w:sz w:val="17"/>
                <w:szCs w:val="17"/>
              </w:rPr>
              <w:t xml:space="preserve">Policy /
Reg.</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Risk stratification analytics (population health)</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Care coordination data sharing (PCP ↔ Specialist)</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4A80B0" w:val="clear"/>
            <w:tcMar>
              <w:top w:type="dxa" w:w="65"/>
              <w:left w:type="dxa" w:w="80"/>
              <w:bottom w:type="dxa" w:w="65"/>
              <w:right w:type="dxa" w:w="80"/>
            </w:tcMar>
          </w:tcPr>
          <w:p>
            <w:pPr>
              <w:jc w:val="center"/>
            </w:pPr>
            <w:r>
              <w:rPr>
                <w:b/>
                <w:bCs/>
                <w:color w:val="FFFFFF"/>
                <w:sz w:val="17"/>
                <w:szCs w:val="17"/>
              </w:rPr>
              <w:t xml:space="preserve">A</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HEDIS measure computation and reporting</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4A80B0" w:val="clear"/>
            <w:tcMar>
              <w:top w:type="dxa" w:w="65"/>
              <w:left w:type="dxa" w:w="80"/>
              <w:bottom w:type="dxa" w:w="65"/>
              <w:right w:type="dxa" w:w="80"/>
            </w:tcMar>
          </w:tcPr>
          <w:p>
            <w:pPr>
              <w:jc w:val="center"/>
            </w:pPr>
            <w:r>
              <w:rPr>
                <w:b/>
                <w:bCs/>
                <w:color w:val="FFFFFF"/>
                <w:sz w:val="17"/>
                <w:szCs w:val="17"/>
              </w:rPr>
              <w:t xml:space="preserve">A</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ACCESS CKM VBC reporting</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4A80B0" w:val="clear"/>
            <w:tcMar>
              <w:top w:type="dxa" w:w="65"/>
              <w:left w:type="dxa" w:w="80"/>
              <w:bottom w:type="dxa" w:w="65"/>
              <w:right w:type="dxa" w:w="80"/>
            </w:tcMar>
          </w:tcPr>
          <w:p>
            <w:pPr>
              <w:jc w:val="center"/>
            </w:pPr>
            <w:r>
              <w:rPr>
                <w:b/>
                <w:bCs/>
                <w:color w:val="FFFFFF"/>
                <w:sz w:val="17"/>
                <w:szCs w:val="17"/>
              </w:rPr>
              <w:t xml:space="preserve">A</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Readiness improvement tracking over time</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r>
      <w:tr>
        <w:tc>
          <w:tcPr>
            <w:tcW w:type="dxa" w:w="2800"/>
            <w:tcBorders>
              <w:top w:val="single" w:color="BBCCDD" w:sz="2"/>
              <w:left w:val="single" w:color="BBCCDD" w:sz="2"/>
              <w:bottom w:val="single" w:color="BBCCDD" w:sz="2"/>
              <w:right w:val="single" w:color="BBCCDD" w:sz="2"/>
            </w:tcBorders>
            <w:shd w:fill="F5F8FC" w:val="clear"/>
            <w:tcMar>
              <w:top w:type="dxa" w:w="65"/>
              <w:left w:type="dxa" w:w="80"/>
              <w:bottom w:type="dxa" w:w="65"/>
              <w:right w:type="dxa" w:w="80"/>
            </w:tcMar>
          </w:tcPr>
          <w:p>
            <w:pPr>
              <w:jc w:val="left"/>
            </w:pPr>
            <w:r>
              <w:rPr>
                <w:b w:val="false"/>
                <w:bCs w:val="false"/>
                <w:color w:val="1A2E4A"/>
                <w:sz w:val="17"/>
                <w:szCs w:val="17"/>
              </w:rPr>
              <w:t xml:space="preserve">Manage VBC incentive programs</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F0F0F0" w:val="clear"/>
            <w:tcMar>
              <w:top w:type="dxa" w:w="65"/>
              <w:left w:type="dxa" w:w="80"/>
              <w:bottom w:type="dxa" w:w="65"/>
              <w:right w:type="dxa" w:w="80"/>
            </w:tcMar>
          </w:tcPr>
          <w:p>
            <w:pPr>
              <w:jc w:val="center"/>
            </w:pPr>
            <w:r>
              <w:rPr>
                <w:b w:val="false"/>
                <w:bCs w:val="false"/>
                <w:color w:val="888888"/>
                <w:sz w:val="17"/>
                <w:szCs w:val="17"/>
              </w:rPr>
              <w:t xml:space="preserve">I</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c>
          <w:tcPr>
            <w:tcW w:type="dxa" w:w="937"/>
            <w:tcBorders>
              <w:top w:val="single" w:color="BBCCDD" w:sz="2"/>
              <w:left w:val="single" w:color="BBCCDD" w:sz="2"/>
              <w:bottom w:val="single" w:color="BBCCDD" w:sz="2"/>
              <w:right w:val="single" w:color="BBCCDD" w:sz="2"/>
            </w:tcBorders>
            <w:shd w:fill="1F3864" w:val="clear"/>
            <w:tcMar>
              <w:top w:type="dxa" w:w="65"/>
              <w:left w:type="dxa" w:w="80"/>
              <w:bottom w:type="dxa" w:w="65"/>
              <w:right w:type="dxa" w:w="80"/>
            </w:tcMar>
          </w:tcPr>
          <w:p>
            <w:pPr>
              <w:jc w:val="center"/>
            </w:pPr>
            <w:r>
              <w:rPr>
                <w:b/>
                <w:bCs/>
                <w:color w:val="FFFFFF"/>
                <w:sz w:val="17"/>
                <w:szCs w:val="17"/>
              </w:rPr>
              <w:t xml:space="preserve">R/A</w:t>
            </w:r>
          </w:p>
        </w:tc>
        <w:tc>
          <w:tcPr>
            <w:tcW w:type="dxa" w:w="937"/>
            <w:tcBorders>
              <w:top w:val="single" w:color="BBCCDD" w:sz="2"/>
              <w:left w:val="single" w:color="BBCCDD" w:sz="2"/>
              <w:bottom w:val="single" w:color="BBCCDD" w:sz="2"/>
              <w:right w:val="single" w:color="BBCCDD" w:sz="2"/>
            </w:tcBorders>
            <w:shd w:fill="D5E8F0" w:val="clear"/>
            <w:tcMar>
              <w:top w:type="dxa" w:w="65"/>
              <w:left w:type="dxa" w:w="80"/>
              <w:bottom w:type="dxa" w:w="65"/>
              <w:right w:type="dxa" w:w="80"/>
            </w:tcMar>
          </w:tcPr>
          <w:p>
            <w:pPr>
              <w:jc w:val="center"/>
            </w:pPr>
            <w:r>
              <w:rPr>
                <w:b w:val="false"/>
                <w:bCs w:val="false"/>
                <w:color w:val="1F3864"/>
                <w:sz w:val="17"/>
                <w:szCs w:val="17"/>
              </w:rPr>
              <w:t xml:space="preserve">C</w:t>
            </w:r>
          </w:p>
        </w:tc>
      </w:tr>
    </w:tbl>
    <w:p>
      <w:pPr>
        <w:spacing w:after="80"/>
      </w:pPr>
      <w:r>
        <w:t xml:space="preserve"/>
      </w:r>
    </w:p>
    <w:p>
      <w:pPr>
        <w:pBdr>
          <w:bottom w:val="single" w:color="D0DCE8" w:sz="4" w:space="1"/>
        </w:pBdr>
        <w:spacing w:after="120" w:before="120"/>
      </w:pPr>
      <w:r>
        <w:t xml:space="preserve"/>
      </w:r>
    </w:p>
    <w:p>
      <w:pPr>
        <w:pStyle w:val="Heading2"/>
      </w:pPr>
      <w:r>
        <w:t xml:space="preserve">Data Quality Phenotypes — Remediation Reference</w:t>
      </w:r>
    </w:p>
    <w:p>
      <w:pPr>
        <w:spacing w:after="100"/>
      </w:pPr>
      <w:r>
        <w:t xml:space="preserve">Each phenotype maps to one or more checks in the Technical Specification, identifies whether AI-assisted remediation is applicable, and specifies the responsible functional role. The Bug column references the synthetic dataset (Dataset B).</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1700"/>
        <w:gridCol w:w="1400"/>
        <w:gridCol w:w="1560"/>
        <w:gridCol w:w="1400"/>
        <w:gridCol w:w="900"/>
      </w:tblGrid>
      <w:tr>
        <w:trPr>
          <w:tblHeader/>
        </w:trPr>
        <w:tc>
          <w:tcPr>
            <w:tcW w:type="dxa" w:w="800"/>
            <w:tcBorders>
              <w:top w:val="single" w:color="2C5282" w:sz="4"/>
              <w:left w:val="single" w:color="2C5282" w:sz="4"/>
              <w:bottom w:val="single" w:color="2C5282" w:sz="4"/>
              <w:right w:val="single" w:color="2C5282" w:sz="4"/>
            </w:tcBorders>
            <w:shd w:fill="1F3864" w:val="clear"/>
            <w:tcMar>
              <w:top w:type="dxa" w:w="70"/>
              <w:left w:type="dxa" w:w="90"/>
              <w:bottom w:type="dxa" w:w="70"/>
              <w:right w:type="dxa" w:w="90"/>
            </w:tcMar>
          </w:tcPr>
          <w:p>
            <w:r>
              <w:rPr>
                <w:b/>
                <w:bCs/>
                <w:color w:val="FFFFFF"/>
                <w:sz w:val="17"/>
                <w:szCs w:val="17"/>
              </w:rPr>
              <w:t xml:space="preserve">Bug</w:t>
            </w:r>
          </w:p>
        </w:tc>
        <w:tc>
          <w:tcPr>
            <w:tcW w:type="dxa" w:w="1600"/>
            <w:tcBorders>
              <w:top w:val="single" w:color="2C5282" w:sz="4"/>
              <w:left w:val="single" w:color="2C5282" w:sz="4"/>
              <w:bottom w:val="single" w:color="2C5282" w:sz="4"/>
              <w:right w:val="single" w:color="2C5282" w:sz="4"/>
            </w:tcBorders>
            <w:shd w:fill="1F3864" w:val="clear"/>
            <w:tcMar>
              <w:top w:type="dxa" w:w="70"/>
              <w:left w:type="dxa" w:w="90"/>
              <w:bottom w:type="dxa" w:w="70"/>
              <w:right w:type="dxa" w:w="90"/>
            </w:tcMar>
          </w:tcPr>
          <w:p>
            <w:r>
              <w:rPr>
                <w:b/>
                <w:bCs/>
                <w:color w:val="FFFFFF"/>
                <w:sz w:val="17"/>
                <w:szCs w:val="17"/>
              </w:rPr>
              <w:t xml:space="preserve">Phenotype</w:t>
            </w:r>
          </w:p>
        </w:tc>
        <w:tc>
          <w:tcPr>
            <w:tcW w:type="dxa" w:w="1700"/>
            <w:tcBorders>
              <w:top w:val="single" w:color="2C5282" w:sz="4"/>
              <w:left w:val="single" w:color="2C5282" w:sz="4"/>
              <w:bottom w:val="single" w:color="2C5282" w:sz="4"/>
              <w:right w:val="single" w:color="2C5282" w:sz="4"/>
            </w:tcBorders>
            <w:shd w:fill="1F3864" w:val="clear"/>
            <w:tcMar>
              <w:top w:type="dxa" w:w="70"/>
              <w:left w:type="dxa" w:w="90"/>
              <w:bottom w:type="dxa" w:w="70"/>
              <w:right w:type="dxa" w:w="90"/>
            </w:tcMar>
          </w:tcPr>
          <w:p>
            <w:r>
              <w:rPr>
                <w:b/>
                <w:bCs/>
                <w:color w:val="FFFFFF"/>
                <w:sz w:val="17"/>
                <w:szCs w:val="17"/>
              </w:rPr>
              <w:t xml:space="preserve">Description</w:t>
            </w:r>
          </w:p>
        </w:tc>
        <w:tc>
          <w:tcPr>
            <w:tcW w:type="dxa" w:w="1400"/>
            <w:tcBorders>
              <w:top w:val="single" w:color="2C5282" w:sz="4"/>
              <w:left w:val="single" w:color="2C5282" w:sz="4"/>
              <w:bottom w:val="single" w:color="2C5282" w:sz="4"/>
              <w:right w:val="single" w:color="2C5282" w:sz="4"/>
            </w:tcBorders>
            <w:shd w:fill="1F3864" w:val="clear"/>
            <w:tcMar>
              <w:top w:type="dxa" w:w="70"/>
              <w:left w:type="dxa" w:w="90"/>
              <w:bottom w:type="dxa" w:w="70"/>
              <w:right w:type="dxa" w:w="90"/>
            </w:tcMar>
          </w:tcPr>
          <w:p>
            <w:r>
              <w:rPr>
                <w:b/>
                <w:bCs/>
                <w:color w:val="FFFFFF"/>
                <w:sz w:val="17"/>
                <w:szCs w:val="17"/>
              </w:rPr>
              <w:t xml:space="preserve">AI-Assisted?</w:t>
            </w:r>
          </w:p>
        </w:tc>
        <w:tc>
          <w:tcPr>
            <w:tcW w:type="dxa" w:w="1560"/>
            <w:tcBorders>
              <w:top w:val="single" w:color="2C5282" w:sz="4"/>
              <w:left w:val="single" w:color="2C5282" w:sz="4"/>
              <w:bottom w:val="single" w:color="2C5282" w:sz="4"/>
              <w:right w:val="single" w:color="2C5282" w:sz="4"/>
            </w:tcBorders>
            <w:shd w:fill="1F3864" w:val="clear"/>
            <w:tcMar>
              <w:top w:type="dxa" w:w="70"/>
              <w:left w:type="dxa" w:w="90"/>
              <w:bottom w:type="dxa" w:w="70"/>
              <w:right w:type="dxa" w:w="90"/>
            </w:tcMar>
          </w:tcPr>
          <w:p>
            <w:r>
              <w:rPr>
                <w:b/>
                <w:bCs/>
                <w:color w:val="FFFFFF"/>
                <w:sz w:val="17"/>
                <w:szCs w:val="17"/>
              </w:rPr>
              <w:t xml:space="preserve">Human Approver</w:t>
            </w:r>
          </w:p>
        </w:tc>
        <w:tc>
          <w:tcPr>
            <w:tcW w:type="dxa" w:w="1400"/>
            <w:tcBorders>
              <w:top w:val="single" w:color="2C5282" w:sz="4"/>
              <w:left w:val="single" w:color="2C5282" w:sz="4"/>
              <w:bottom w:val="single" w:color="2C5282" w:sz="4"/>
              <w:right w:val="single" w:color="2C5282" w:sz="4"/>
            </w:tcBorders>
            <w:shd w:fill="1F3864" w:val="clear"/>
            <w:tcMar>
              <w:top w:type="dxa" w:w="70"/>
              <w:left w:type="dxa" w:w="90"/>
              <w:bottom w:type="dxa" w:w="70"/>
              <w:right w:type="dxa" w:w="90"/>
            </w:tcMar>
          </w:tcPr>
          <w:p>
            <w:r>
              <w:rPr>
                <w:b/>
                <w:bCs/>
                <w:color w:val="FFFFFF"/>
                <w:sz w:val="17"/>
                <w:szCs w:val="17"/>
              </w:rPr>
              <w:t xml:space="preserve">Responsible Role</w:t>
            </w:r>
          </w:p>
        </w:tc>
        <w:tc>
          <w:tcPr>
            <w:tcW w:type="dxa" w:w="900"/>
            <w:tcBorders>
              <w:top w:val="single" w:color="2C5282" w:sz="4"/>
              <w:left w:val="single" w:color="2C5282" w:sz="4"/>
              <w:bottom w:val="single" w:color="2C5282" w:sz="4"/>
              <w:right w:val="single" w:color="2C5282" w:sz="4"/>
            </w:tcBorders>
            <w:shd w:fill="1F3864" w:val="clear"/>
            <w:tcMar>
              <w:top w:type="dxa" w:w="70"/>
              <w:left w:type="dxa" w:w="90"/>
              <w:bottom w:type="dxa" w:w="70"/>
              <w:right w:type="dxa" w:w="90"/>
            </w:tcMar>
          </w:tcPr>
          <w:p>
            <w:r>
              <w:rPr>
                <w:b/>
                <w:bCs/>
                <w:color w:val="FFFFFF"/>
                <w:sz w:val="17"/>
                <w:szCs w:val="17"/>
              </w:rPr>
              <w:t xml:space="preserve">Use Case</w:t>
            </w:r>
          </w:p>
        </w:tc>
      </w:tr>
      <w:tr>
        <w:tc>
          <w:tcPr>
            <w:tcW w:type="dxa" w:w="80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Bug 1</w:t>
            </w:r>
          </w:p>
        </w:tc>
        <w:tc>
          <w:tcPr>
            <w:tcW w:type="dxa" w:w="160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Identity Linkage Failure</w:t>
            </w:r>
          </w:p>
        </w:tc>
        <w:tc>
          <w:tcPr>
            <w:tcW w:type="dxa" w:w="170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Device records cannot be linked to patient due to inconsistent ID formats.</w:t>
            </w:r>
          </w:p>
        </w:tc>
        <w:tc>
          <w:tcPr>
            <w:tcW w:type="dxa" w:w="140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No — pipeline reconfiguration required</w:t>
            </w:r>
          </w:p>
        </w:tc>
        <w:tc>
          <w:tcPr>
            <w:tcW w:type="dxa" w:w="156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N/A</w:t>
            </w:r>
          </w:p>
        </w:tc>
        <w:tc>
          <w:tcPr>
            <w:tcW w:type="dxa" w:w="140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Prog. Coord. + Tech Vendor</w:t>
            </w:r>
          </w:p>
        </w:tc>
        <w:tc>
          <w:tcPr>
            <w:tcW w:type="dxa" w:w="90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Diabetes RS</w:t>
            </w:r>
          </w:p>
        </w:tc>
      </w:tr>
      <w:tr>
        <w:tc>
          <w:tcPr>
            <w:tcW w:type="dxa" w:w="80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Bug 2</w:t>
            </w:r>
          </w:p>
        </w:tc>
        <w:tc>
          <w:tcPr>
            <w:tcW w:type="dxa" w:w="160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Device Temporal Density Gap</w:t>
            </w:r>
          </w:p>
        </w:tc>
        <w:tc>
          <w:tcPr>
            <w:tcW w:type="dxa" w:w="170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CGM coverage below 70% threshold; TIR cannot be validly computed.</w:t>
            </w:r>
          </w:p>
        </w:tc>
        <w:tc>
          <w:tcPr>
            <w:tcW w:type="dxa" w:w="140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Partial — AI flags; adherence requires human</w:t>
            </w:r>
          </w:p>
        </w:tc>
        <w:tc>
          <w:tcPr>
            <w:tcW w:type="dxa" w:w="156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Prog. Coord. + PCP/Clinic</w:t>
            </w:r>
          </w:p>
        </w:tc>
        <w:tc>
          <w:tcPr>
            <w:tcW w:type="dxa" w:w="140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PCP/Clinic + Prog. Coord.</w:t>
            </w:r>
          </w:p>
        </w:tc>
        <w:tc>
          <w:tcPr>
            <w:tcW w:type="dxa" w:w="90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Diabetes RS</w:t>
            </w:r>
          </w:p>
        </w:tc>
      </w:tr>
      <w:tr>
        <w:tc>
          <w:tcPr>
            <w:tcW w:type="dxa" w:w="80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Bug 3</w:t>
            </w:r>
          </w:p>
        </w:tc>
        <w:tc>
          <w:tcPr>
            <w:tcW w:type="dxa" w:w="160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Missing Required Covariate</w:t>
            </w:r>
          </w:p>
        </w:tc>
        <w:tc>
          <w:tcPr>
            <w:tcW w:type="dxa" w:w="170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Smoking status absent for HTN patients; required for risk algorithm.</w:t>
            </w:r>
          </w:p>
        </w:tc>
        <w:tc>
          <w:tcPr>
            <w:tcW w:type="dxa" w:w="140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Partial — AI searches structured sources</w:t>
            </w:r>
          </w:p>
        </w:tc>
        <w:tc>
          <w:tcPr>
            <w:tcW w:type="dxa" w:w="156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Prog. Coord. (extraction) or PCP/Clinic</w:t>
            </w:r>
          </w:p>
        </w:tc>
        <w:tc>
          <w:tcPr>
            <w:tcW w:type="dxa" w:w="140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PCP/Clinic + Network/Payer</w:t>
            </w:r>
          </w:p>
        </w:tc>
        <w:tc>
          <w:tcPr>
            <w:tcW w:type="dxa" w:w="90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HTN RS</w:t>
            </w:r>
          </w:p>
        </w:tc>
      </w:tr>
      <w:tr>
        <w:tc>
          <w:tcPr>
            <w:tcW w:type="dxa" w:w="80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Bug 4</w:t>
            </w:r>
          </w:p>
        </w:tc>
        <w:tc>
          <w:tcPr>
            <w:tcW w:type="dxa" w:w="160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Invalid Terminology Code</w:t>
            </w:r>
          </w:p>
        </w:tc>
        <w:tc>
          <w:tcPr>
            <w:tcW w:type="dxa" w:w="170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Medication/condition records contain unmappable RxNorm / ICD-10 codes.</w:t>
            </w:r>
          </w:p>
        </w:tc>
        <w:tc>
          <w:tcPr>
            <w:tcW w:type="dxa" w:w="140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Yes — AI maps with confidence score</w:t>
            </w:r>
          </w:p>
        </w:tc>
        <w:tc>
          <w:tcPr>
            <w:tcW w:type="dxa" w:w="156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Program Coordinator (data team)</w:t>
            </w:r>
          </w:p>
        </w:tc>
        <w:tc>
          <w:tcPr>
            <w:tcW w:type="dxa" w:w="140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Tech Vendor (systematic)</w:t>
            </w:r>
          </w:p>
        </w:tc>
        <w:tc>
          <w:tcPr>
            <w:tcW w:type="dxa" w:w="90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Care Coord.</w:t>
            </w:r>
          </w:p>
        </w:tc>
      </w:tr>
      <w:tr>
        <w:tc>
          <w:tcPr>
            <w:tcW w:type="dxa" w:w="80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Bug 5a</w:t>
            </w:r>
          </w:p>
        </w:tc>
        <w:tc>
          <w:tcPr>
            <w:tcW w:type="dxa" w:w="160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Date Format Error (auto)</w:t>
            </w:r>
          </w:p>
        </w:tc>
        <w:tc>
          <w:tcPr>
            <w:tcW w:type="dxa" w:w="170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Encounter dates in MM/DD/YYYY; unambiguous normalization possible.</w:t>
            </w:r>
          </w:p>
        </w:tc>
        <w:tc>
          <w:tcPr>
            <w:tcW w:type="dxa" w:w="140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Yes — deterministic normalization</w:t>
            </w:r>
          </w:p>
        </w:tc>
        <w:tc>
          <w:tcPr>
            <w:tcW w:type="dxa" w:w="156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Prog. Coord. (batch approval)</w:t>
            </w:r>
          </w:p>
        </w:tc>
        <w:tc>
          <w:tcPr>
            <w:tcW w:type="dxa" w:w="140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Prog. Coord. + Tech Vendor</w:t>
            </w:r>
          </w:p>
        </w:tc>
        <w:tc>
          <w:tcPr>
            <w:tcW w:type="dxa" w:w="90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VBC Reporting</w:t>
            </w:r>
          </w:p>
        </w:tc>
      </w:tr>
      <w:tr>
        <w:tc>
          <w:tcPr>
            <w:tcW w:type="dxa" w:w="80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Bug 5b</w:t>
            </w:r>
          </w:p>
        </w:tc>
        <w:tc>
          <w:tcPr>
            <w:tcW w:type="dxa" w:w="160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Date Format Error (ambiguous)</w:t>
            </w:r>
          </w:p>
        </w:tc>
        <w:tc>
          <w:tcPr>
            <w:tcW w:type="dxa" w:w="170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Day/month transposed; source record confirmation required.</w:t>
            </w:r>
          </w:p>
        </w:tc>
        <w:tc>
          <w:tcPr>
            <w:tcW w:type="dxa" w:w="140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No — source confirmation required</w:t>
            </w:r>
          </w:p>
        </w:tc>
        <w:tc>
          <w:tcPr>
            <w:tcW w:type="dxa" w:w="156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PCP/Clinic or Regional Data Node</w:t>
            </w:r>
          </w:p>
        </w:tc>
        <w:tc>
          <w:tcPr>
            <w:tcW w:type="dxa" w:w="140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PCP/Clinic + Data Node</w:t>
            </w:r>
          </w:p>
        </w:tc>
        <w:tc>
          <w:tcPr>
            <w:tcW w:type="dxa" w:w="90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VBC Reporting</w:t>
            </w:r>
          </w:p>
        </w:tc>
      </w:tr>
      <w:tr>
        <w:tc>
          <w:tcPr>
            <w:tcW w:type="dxa" w:w="80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Bug 6</w:t>
            </w:r>
          </w:p>
        </w:tc>
        <w:tc>
          <w:tcPr>
            <w:tcW w:type="dxa" w:w="160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Derived Metric Concordance Failure</w:t>
            </w:r>
          </w:p>
        </w:tc>
        <w:tc>
          <w:tcPr>
            <w:tcW w:type="dxa" w:w="170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Device-reported TIR ≠ TIR recomputed from raw CGM data.</w:t>
            </w:r>
          </w:p>
        </w:tc>
        <w:tc>
          <w:tcPr>
            <w:tcW w:type="dxa" w:w="140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Yes — system recomputes and proposes replacement</w:t>
            </w:r>
          </w:p>
        </w:tc>
        <w:tc>
          <w:tcPr>
            <w:tcW w:type="dxa" w:w="156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Prog. Coord.; escalate to Specialist if needed</w:t>
            </w:r>
          </w:p>
        </w:tc>
        <w:tc>
          <w:tcPr>
            <w:tcW w:type="dxa" w:w="140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Prog. Coord. + Tech Vendor</w:t>
            </w:r>
          </w:p>
        </w:tc>
        <w:tc>
          <w:tcPr>
            <w:tcW w:type="dxa" w:w="90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Diabetes RS</w:t>
            </w:r>
          </w:p>
        </w:tc>
      </w:tr>
      <w:tr>
        <w:tc>
          <w:tcPr>
            <w:tcW w:type="dxa" w:w="80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w:t>
            </w:r>
          </w:p>
        </w:tc>
        <w:tc>
          <w:tcPr>
            <w:tcW w:type="dxa" w:w="160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Provider Input Error</w:t>
            </w:r>
          </w:p>
        </w:tc>
        <w:tc>
          <w:tcPr>
            <w:tcW w:type="dxa" w:w="170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Implausible or mistyped value (e.g., HbA1c = 81.3%).</w:t>
            </w:r>
          </w:p>
        </w:tc>
        <w:tc>
          <w:tcPr>
            <w:tcW w:type="dxa" w:w="140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Partial — AI suggests unit correction</w:t>
            </w:r>
          </w:p>
        </w:tc>
        <w:tc>
          <w:tcPr>
            <w:tcW w:type="dxa" w:w="156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Clinical reviewer (PCP/Clinic or Prog. Coord.)</w:t>
            </w:r>
          </w:p>
        </w:tc>
        <w:tc>
          <w:tcPr>
            <w:tcW w:type="dxa" w:w="140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PCP/Clinic (training)</w:t>
            </w:r>
          </w:p>
        </w:tc>
        <w:tc>
          <w:tcPr>
            <w:tcW w:type="dxa" w:w="90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Any</w:t>
            </w:r>
          </w:p>
        </w:tc>
      </w:tr>
      <w:tr>
        <w:tc>
          <w:tcPr>
            <w:tcW w:type="dxa" w:w="80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w:t>
            </w:r>
          </w:p>
        </w:tc>
        <w:tc>
          <w:tcPr>
            <w:tcW w:type="dxa" w:w="160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EHR Configuration Error</w:t>
            </w:r>
          </w:p>
        </w:tc>
        <w:tc>
          <w:tcPr>
            <w:tcW w:type="dxa" w:w="170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Incorrect LOINC codes or malformed CCD/HL7 messages.</w:t>
            </w:r>
          </w:p>
        </w:tc>
        <w:tc>
          <w:tcPr>
            <w:tcW w:type="dxa" w:w="140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No — vendor system update required</w:t>
            </w:r>
          </w:p>
        </w:tc>
        <w:tc>
          <w:tcPr>
            <w:tcW w:type="dxa" w:w="156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N/A</w:t>
            </w:r>
          </w:p>
        </w:tc>
        <w:tc>
          <w:tcPr>
            <w:tcW w:type="dxa" w:w="140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Technology Vendor</w:t>
            </w:r>
          </w:p>
        </w:tc>
        <w:tc>
          <w:tcPr>
            <w:tcW w:type="dxa" w:w="900"/>
            <w:tcBorders>
              <w:top w:val="single" w:color="BBCCDD" w:sz="2"/>
              <w:left w:val="single" w:color="BBCCDD" w:sz="2"/>
              <w:bottom w:val="single" w:color="BBCCDD" w:sz="2"/>
              <w:right w:val="single" w:color="BBCCDD" w:sz="2"/>
            </w:tcBorders>
            <w:shd w:fill="F5F8FC" w:val="clear"/>
            <w:tcMar>
              <w:top w:type="dxa" w:w="70"/>
              <w:left w:type="dxa" w:w="90"/>
              <w:bottom w:type="dxa" w:w="70"/>
              <w:right w:type="dxa" w:w="90"/>
            </w:tcMar>
          </w:tcPr>
          <w:p>
            <w:r>
              <w:rPr>
                <w:color w:val="1A2E4A"/>
                <w:sz w:val="17"/>
                <w:szCs w:val="17"/>
              </w:rPr>
              <w:t xml:space="preserve">Any</w:t>
            </w:r>
          </w:p>
        </w:tc>
      </w:tr>
      <w:tr>
        <w:tc>
          <w:tcPr>
            <w:tcW w:type="dxa" w:w="80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w:t>
            </w:r>
          </w:p>
        </w:tc>
        <w:tc>
          <w:tcPr>
            <w:tcW w:type="dxa" w:w="160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Transmission Failure</w:t>
            </w:r>
          </w:p>
        </w:tc>
        <w:tc>
          <w:tcPr>
            <w:tcW w:type="dxa" w:w="170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Clinic unable to send feed. Outdated EHR or missing interface license.</w:t>
            </w:r>
          </w:p>
        </w:tc>
        <w:tc>
          <w:tcPr>
            <w:tcW w:type="dxa" w:w="140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No — infrastructure action required</w:t>
            </w:r>
          </w:p>
        </w:tc>
        <w:tc>
          <w:tcPr>
            <w:tcW w:type="dxa" w:w="156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N/A</w:t>
            </w:r>
          </w:p>
        </w:tc>
        <w:tc>
          <w:tcPr>
            <w:tcW w:type="dxa" w:w="140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Tech Vendor + Data Node</w:t>
            </w:r>
          </w:p>
        </w:tc>
        <w:tc>
          <w:tcPr>
            <w:tcW w:type="dxa" w:w="900"/>
            <w:tcBorders>
              <w:top w:val="single" w:color="BBCCDD" w:sz="2"/>
              <w:left w:val="single" w:color="BBCCDD" w:sz="2"/>
              <w:bottom w:val="single" w:color="BBCCDD" w:sz="2"/>
              <w:right w:val="single" w:color="BBCCDD" w:sz="2"/>
            </w:tcBorders>
            <w:shd w:fill="FFFFFF" w:val="clear"/>
            <w:tcMar>
              <w:top w:type="dxa" w:w="70"/>
              <w:left w:type="dxa" w:w="90"/>
              <w:bottom w:type="dxa" w:w="70"/>
              <w:right w:type="dxa" w:w="90"/>
            </w:tcMar>
          </w:tcPr>
          <w:p>
            <w:r>
              <w:rPr>
                <w:color w:val="1A2E4A"/>
                <w:sz w:val="17"/>
                <w:szCs w:val="17"/>
              </w:rPr>
              <w:t xml:space="preserve">Any</w:t>
            </w:r>
          </w:p>
        </w:tc>
      </w:tr>
    </w:tbl>
    <w:p>
      <w:pPr>
        <w:spacing w:after="80"/>
      </w:pPr>
      <w:r>
        <w:t xml:space="preserve"/>
      </w:r>
    </w:p>
    <w:p>
      <w:pPr>
        <w:pBdr>
          <w:bottom w:val="single" w:color="D0DCE8" w:sz="4" w:space="1"/>
        </w:pBdr>
        <w:spacing w:after="120" w:before="120"/>
      </w:pPr>
      <w:r>
        <w:t xml:space="preserve"/>
      </w:r>
    </w:p>
    <w:p>
      <w:pPr>
        <w:pStyle w:val="Heading2"/>
      </w:pPr>
      <w:r>
        <w:t xml:space="preserve">Relationship to Other Documents</w:t>
      </w:r>
    </w:p>
    <w:p>
      <w:pPr>
        <w:spacing w:after="100"/>
      </w:pPr>
      <w:r>
        <w:rPr>
          <w:b/>
          <w:bCs/>
        </w:rPr>
        <w:t xml:space="preserve">Operational Governance Framework </w:t>
      </w:r>
      <w:r>
        <w:t xml:space="preserve">— defines the seven functional roles and the governance phases referenced throughout this document. This document provides the task-level detail within that framework.</w:t>
      </w:r>
    </w:p>
    <w:p>
      <w:pPr>
        <w:spacing w:after="80"/>
      </w:pPr>
      <w:r>
        <w:t xml:space="preserve"/>
      </w:r>
    </w:p>
    <w:p>
      <w:pPr>
        <w:spacing w:after="100"/>
      </w:pPr>
      <w:r>
        <w:rPr>
          <w:b/>
          <w:bCs/>
        </w:rPr>
        <w:t xml:space="preserve">Technical Specification </w:t>
      </w:r>
      <w:r>
        <w:t xml:space="preserve">— defines the check registry and check names that classify each phenotype.</w:t>
      </w:r>
    </w:p>
    <w:p>
      <w:pPr>
        <w:spacing w:after="80"/>
      </w:pPr>
      <w:r>
        <w:t xml:space="preserve"/>
      </w:r>
    </w:p>
    <w:p>
      <w:pPr>
        <w:spacing w:after="100"/>
      </w:pPr>
      <w:r>
        <w:rPr>
          <w:b/>
          <w:bCs/>
        </w:rPr>
        <w:t xml:space="preserve">Synthetic Dataset Specification </w:t>
      </w:r>
      <w:r>
        <w:t xml:space="preserve">— defines the six bugs seeded in Dataset B that correspond to the phenotypes above.</w:t>
      </w:r>
    </w:p>
    <w:p>
      <w:pPr>
        <w:spacing w:after="80"/>
      </w:pPr>
      <w:r>
        <w:t xml:space="preserve"/>
      </w:r>
    </w:p>
    <w:p>
      <w:pPr>
        <w:spacing w:after="100"/>
      </w:pPr>
      <w:r>
        <w:rPr>
          <w:b/>
          <w:bCs/>
        </w:rPr>
        <w:t xml:space="preserve">Operational Care Model </w:t>
      </w:r>
      <w:r>
        <w:t xml:space="preserve">— describes how the Primary Care Site and Specialty Partner translate data signals into clinical action, including the care coordination handoff.</w:t>
      </w:r>
    </w:p>
    <w:sectPr>
      <w:pgSz w:w="12240" w:h="15840" w:orient="portrait"/>
      <w:pgMar w:top="144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600" w:hanging="300"/>
      </w:pPr>
    </w:lvl>
  </w:abstractNum>
  <w:abstractNum w:abstractNumId="3" w15:restartNumberingAfterBreak="0">
    <w:multiLevelType w:val="hybridMultilevel"/>
    <w:lvl w:ilvl="0" w15:tentative="1">
      <w:start w:val="1"/>
      <w:numFmt w:val="bullet"/>
      <w:lvlText w:val="•"/>
      <w:lvlJc w:val="left"/>
      <w:pPr>
        <w:spacing w:after="60"/>
        <w:ind w:left="600" w:hanging="300"/>
      </w:pPr>
    </w:lvl>
  </w:abstractNum>
  <w:abstractNum w:abstractNumId="4" w15:restartNumberingAfterBreak="0">
    <w:multiLevelType w:val="hybridMultilevel"/>
    <w:lvl w:ilvl="0" w15:tentative="1">
      <w:start w:val="1"/>
      <w:numFmt w:val="bullet"/>
      <w:lvlText w:val="•"/>
      <w:lvlJc w:val="left"/>
      <w:pPr>
        <w:spacing w:after="60"/>
        <w:ind w:left="6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80" w:before="200"/>
      <w:outlineLvl w:val="1"/>
    </w:pPr>
    <w:rPr>
      <w:rFonts w:ascii="Arial" w:cs="Arial" w:eastAsia="Arial" w:hAnsi="Arial"/>
      <w:b/>
      <w:bCs/>
      <w:color w:val="2E5F9E"/>
      <w:sz w:val="26"/>
      <w:szCs w:val="26"/>
    </w:rPr>
  </w:style>
  <w:style w:type="paragraph" w:styleId="Heading3">
    <w:name w:val="Heading 3"/>
    <w:basedOn w:val="Normal"/>
    <w:next w:val="Normal"/>
    <w:qFormat/>
    <w:pPr>
      <w:spacing w:after="60" w:before="14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2026-04-01T02:41:46.956Z</dcterms:created>
  <dcterms:modified xsi:type="dcterms:W3CDTF">2026-04-01T02:41:46.956Z</dcterms:modified>
</cp:coreProperties>
</file>

<file path=docProps/custom.xml><?xml version="1.0" encoding="utf-8"?>
<Properties xmlns="http://schemas.openxmlformats.org/officeDocument/2006/custom-properties" xmlns:vt="http://schemas.openxmlformats.org/officeDocument/2006/docPropsVTypes"/>
</file>