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CKM Data Readiness — Technical Specification</w:t>
      </w:r>
    </w:p>
    <w:p>
      <w:pPr>
        <w:spacing w:after="160"/>
      </w:pPr>
      <w:r>
        <w:rPr>
          <w:color w:val="555555"/>
          <w:sz w:val="24"/>
          <w:szCs w:val="24"/>
        </w:rPr>
        <w:t xml:space="preserve">Check Framework, Scoring Model, and Remediation Logic</w:t>
      </w:r>
    </w:p>
    <w:p>
      <w:pPr>
        <w:spacing w:after="80"/>
      </w:pPr>
      <w:r>
        <w:t xml:space="preserve"/>
      </w:r>
    </w:p>
    <w:p>
      <w:pPr>
        <w:spacing w:after="100"/>
      </w:pPr>
      <w:r>
        <w:t xml:space="preserve">This document is a companion to the Methodology Architecture document. It contains the full technical implementation of the check-based evaluation framework. The check registry, scoring formulas, priority weights, and variable tagging model in this document are the authoritative reference for implementation of the readiness methodology and POC demo.</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8020" w:sz="4"/>
              <w:left w:val="single" w:color="C08020" w:sz="8"/>
              <w:bottom w:val="single" w:color="C08020" w:sz="4"/>
              <w:right w:val="single" w:color="C08020" w:sz="4"/>
            </w:tcBorders>
            <w:shd w:fill="FDF6E8" w:val="clear"/>
            <w:tcMar>
              <w:top w:type="dxa" w:w="120"/>
              <w:left w:type="dxa" w:w="200"/>
              <w:bottom w:type="dxa" w:w="120"/>
              <w:right w:type="dxa" w:w="200"/>
            </w:tcMar>
          </w:tcPr>
          <w:p>
            <w:pPr>
              <w:spacing w:after="60"/>
            </w:pPr>
            <w:r>
              <w:rPr>
                <w:b/>
                <w:bCs/>
                <w:color w:val="1F3864"/>
                <w:sz w:val="20"/>
                <w:szCs w:val="20"/>
              </w:rPr>
              <w:t xml:space="preserve">Status</w:t>
            </w:r>
          </w:p>
          <w:p>
            <w:pPr>
              <w:spacing w:after="40"/>
              <w:ind w:left="160" w:hanging="160"/>
            </w:pPr>
            <w:r>
              <w:rPr>
                <w:color w:val="333333"/>
                <w:sz w:val="20"/>
                <w:szCs w:val="20"/>
              </w:rPr>
              <w:t xml:space="preserve">•  This document reflects the framework as collaboratively developed with academic data quality partners.</w:t>
            </w:r>
          </w:p>
          <w:p>
            <w:pPr>
              <w:spacing w:after="40"/>
              <w:ind w:left="160" w:hanging="160"/>
            </w:pPr>
            <w:r>
              <w:rPr>
                <w:color w:val="333333"/>
                <w:sz w:val="20"/>
                <w:szCs w:val="20"/>
              </w:rPr>
              <w:t xml:space="preserve">•  Variable tagging and device-specific checks have been added to support device data evaluation.</w:t>
            </w:r>
          </w:p>
          <w:p>
            <w:pPr>
              <w:spacing w:after="40"/>
              <w:ind w:left="160" w:hanging="160"/>
            </w:pPr>
            <w:r>
              <w:rPr>
                <w:color w:val="333333"/>
                <w:sz w:val="20"/>
                <w:szCs w:val="20"/>
              </w:rPr>
              <w:t xml:space="preserve">•  Fit-for-purpose scoring is defined at the use-case level, not the variable level.</w:t>
            </w:r>
          </w:p>
          <w:p>
            <w:pPr>
              <w:spacing w:after="40"/>
              <w:ind w:left="160" w:hanging="160"/>
            </w:pPr>
            <w:r>
              <w:rPr>
                <w:color w:val="333333"/>
                <w:sz w:val="20"/>
                <w:szCs w:val="20"/>
              </w:rPr>
              <w:t xml:space="preserve">•  Final scoring thresholds and use-case variable requirements are subject to ongoing alignment.</w:t>
            </w:r>
          </w:p>
        </w:tc>
      </w:tr>
    </w:tbl>
    <w:p>
      <w:pPr>
        <w:spacing w:after="80"/>
      </w:pPr>
      <w:r>
        <w:t xml:space="preserve"/>
      </w:r>
    </w:p>
    <w:p>
      <w:pPr>
        <w:pStyle w:val="Heading2"/>
      </w:pPr>
      <w:r>
        <w:t xml:space="preserve">1. Check Framework Overview</w:t>
      </w:r>
    </w:p>
    <w:p>
      <w:pPr>
        <w:spacing w:after="100"/>
      </w:pPr>
      <w:r>
        <w:t xml:space="preserve">The readiness methodology is operationalized through a registry of checks. Each check evaluates a specific property of a variable — technical, semantic, or fitness-related — and contributes to variable-level readiness scoring and use-case-level fitness evaluation. Checks are the atomic unit of readiness evaluation: they produce a scored result that is weighted by priority and rolled up into variable profiles and ultimately use-case fitness decisions.</w:t>
      </w:r>
    </w:p>
    <w:p>
      <w:pPr>
        <w:spacing w:after="80"/>
      </w:pPr>
      <w:r>
        <w:t xml:space="preserve"/>
      </w:r>
    </w:p>
    <w:p>
      <w:pPr>
        <w:spacing w:after="100"/>
      </w:pPr>
      <w:r>
        <w:t xml:space="preserve">Checks are characterized along five dimensions:</w:t>
      </w:r>
    </w:p>
    <w:p>
      <w:pPr>
        <w:pStyle w:val="ListParagraph"/>
        <w:numPr>
          <w:ilvl w:val="0"/>
          <w:numId w:val="2"/>
        </w:numPr>
      </w:pPr>
      <w:r>
        <w:t xml:space="preserve">Variable — the clinical variable the check applies to (e.g., Blood Pressure, CGM, Weight)</w:t>
      </w:r>
    </w:p>
    <w:p>
      <w:pPr>
        <w:pStyle w:val="ListParagraph"/>
        <w:numPr>
          <w:ilvl w:val="0"/>
          <w:numId w:val="2"/>
        </w:numPr>
      </w:pPr>
      <w:r>
        <w:t xml:space="preserve">Property type — whether the check evaluates a technical, semantic, or use-case fitness property of that variable</w:t>
      </w:r>
    </w:p>
    <w:p>
      <w:pPr>
        <w:pStyle w:val="ListParagraph"/>
        <w:numPr>
          <w:ilvl w:val="0"/>
          <w:numId w:val="2"/>
        </w:numPr>
      </w:pPr>
      <w:r>
        <w:t xml:space="preserve">Dimension — single data snapshot or across multiple refreshes over time</w:t>
      </w:r>
    </w:p>
    <w:p>
      <w:pPr>
        <w:pStyle w:val="ListParagraph"/>
        <w:numPr>
          <w:ilvl w:val="0"/>
          <w:numId w:val="2"/>
        </w:numPr>
      </w:pPr>
      <w:r>
        <w:t xml:space="preserve">Check category — conformance, completeness, interoperability, plausibility, concordance, or persistence</w:t>
      </w:r>
    </w:p>
    <w:p>
      <w:pPr>
        <w:pStyle w:val="ListParagraph"/>
        <w:numPr>
          <w:ilvl w:val="0"/>
          <w:numId w:val="2"/>
        </w:numPr>
      </w:pPr>
      <w:r>
        <w:t xml:space="preserve">Check purpose — structural, semantic, or data fitness (fit-for-use)</w:t>
      </w:r>
    </w:p>
    <w:p>
      <w:pPr>
        <w:spacing w:after="80"/>
      </w:pPr>
      <w:r>
        <w:t xml:space="preserve"/>
      </w:r>
    </w:p>
    <w:p>
      <w:pPr>
        <w:spacing w:after="100"/>
      </w:pPr>
      <w:r>
        <w:t xml:space="preserve">Variable tagging is the key organizing mechanism. By tagging each check to a variable, the system produces a per-variable readiness profile (Technical score + Readiness score) that feeds directly into use-case fitness evaluation.</w:t>
      </w:r>
    </w:p>
    <w:p>
      <w:pPr>
        <w:spacing w:after="80"/>
      </w:pPr>
      <w:r>
        <w:t xml:space="preserve"/>
      </w:r>
    </w:p>
    <w:p>
      <w:pPr>
        <w:spacing w:after="100"/>
      </w:pPr>
      <w:r>
        <w:t xml:space="preserve">Temporal checks (e.g., density, persistence, derived metric validity) are evaluated within defined analysis windows that are specified per use case and may vary based on clinical context or care team preference — for example, a 14-day rolling window for CGM-based risk stratification as a common default. Windows are implementation parameters, not fixed values, and should be configurable by the care team operating the system.</w:t>
      </w:r>
    </w:p>
    <w:p>
      <w:pPr>
        <w:spacing w:after="80"/>
      </w:pPr>
      <w:r>
        <w:t xml:space="preserve"/>
      </w:r>
    </w:p>
    <w:p>
      <w:pPr>
        <w:pStyle w:val="Heading2"/>
      </w:pPr>
      <w:r>
        <w:t xml:space="preserve">2. Check Registry — EHR and Clinical Data</w:t>
      </w:r>
    </w:p>
    <w:p>
      <w:pPr>
        <w:spacing w:after="80"/>
      </w:pPr>
      <w:r>
        <w:t xml:space="preserve"/>
      </w:r>
    </w:p>
    <w:p>
      <w:pPr>
        <w:pStyle w:val="Heading3"/>
      </w:pPr>
      <w:r>
        <w:t xml:space="preserve">Table 1 — Check Type Reference</w:t>
      </w:r>
    </w:p>
    <w:p>
      <w:pPr>
        <w:spacing w:after="100"/>
      </w:pPr>
      <w:r>
        <w:t xml:space="preserve">Defines all EHR and clinical data checks by variable scope, property type, dimension, category, and purpose. Use-case level evaluation metrics are grouped separately at the bottom. Pipeline layers are implementation references indicating where in the technical pipeline a check is applied — they do not define the primary structure of evaluation, which remains variable-level and use-case-level.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0"/>
        <w:gridCol w:w="1400"/>
        <w:gridCol w:w="1360"/>
        <w:gridCol w:w="1300"/>
        <w:gridCol w:w="1600"/>
        <w:gridCol w:w="1180"/>
        <w:gridCol w:w="1260"/>
      </w:tblGrid>
      <w:tr>
        <w:trPr>
          <w:tblHeader/>
        </w:trPr>
        <w:tc>
          <w:tcPr>
            <w:tcW w:type="dxa" w:w="12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Type</w:t>
            </w:r>
          </w:p>
        </w:tc>
        <w:tc>
          <w:tcPr>
            <w:tcW w:type="dxa" w:w="1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Pipeline Layer</w:t>
            </w:r>
          </w:p>
        </w:tc>
        <w:tc>
          <w:tcPr>
            <w:tcW w:type="dxa" w:w="13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Applies To (Variable)</w:t>
            </w:r>
          </w:p>
        </w:tc>
        <w:tc>
          <w:tcPr>
            <w:tcW w:type="dxa" w:w="13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Dimension</w:t>
            </w:r>
          </w:p>
        </w:tc>
        <w:tc>
          <w:tcPr>
            <w:tcW w:type="dxa" w:w="16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Category</w:t>
            </w:r>
          </w:p>
        </w:tc>
        <w:tc>
          <w:tcPr>
            <w:tcW w:type="dxa" w:w="118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Name (Short)</w:t>
            </w:r>
          </w:p>
        </w:tc>
        <w:tc>
          <w:tcPr>
            <w:tcW w:type="dxa" w:w="12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Purpose</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Not-null constraints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1: Data Ingestion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Any variable</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Conformance</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Stability across refreshes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1: Data Ingestion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Any variable</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Multiple Snapshots</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Persistence</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layer1_stability</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Expected standards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2: Data Source Representation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Any variable</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Conformance</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layer2_value_standards</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Numeric values in range</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2: Data Source Representation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Numeric variables</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Conformance</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layer2_ranges_numeric</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Mapped values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3: Terminology Harmonization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Coded variables</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Interoperability</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layer3_mapped_values</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Source values represented</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3: Terminology Harmonization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Coded variables</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Interoperability</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layer3_src_values</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Patient identities linked</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4: Identity Resolution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All variables</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Multiple Snapshots</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Interoperability</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Deduplication</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4: Identity Resolution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All variables</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Multiple Snapshots</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Completeness</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layer4_deduplication</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Date concordance</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5: Semantic Harmonization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Encounter-linked vars</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Concordance</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layer5_date_concordance</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Semantic</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Value plausibility</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 5: Semantic Harmonization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Numeric variables</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Over Time</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Plausibility</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layer5_value_plausibility</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Semantic</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Denominator readiness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Use-Case Level Evaluation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Use-case specific</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Completeness</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layer6_denom_riskstrat</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Data Fitness</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Stability across refreshes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Use-Case Level Evaluation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Use-case specific</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Multiple Snapshots</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Persistence</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layer6_stability</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Data Fitness</w:t>
            </w:r>
          </w:p>
        </w:tc>
      </w:tr>
      <w:tr>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Value plausibility</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Use-Case Level Evaluation</w:t>
            </w:r>
          </w:p>
        </w:tc>
        <w:tc>
          <w:tcPr>
            <w:tcW w:type="dxa" w:w="1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Use-case specific</w:t>
            </w:r>
          </w:p>
        </w:tc>
        <w:tc>
          <w:tcPr>
            <w:tcW w:type="dxa" w:w="13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6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Plausibility</w:t>
            </w:r>
          </w:p>
        </w:tc>
        <w:tc>
          <w:tcPr>
            <w:tcW w:type="dxa" w:w="118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layer6_value_plausibility</w:t>
            </w:r>
          </w:p>
        </w:tc>
        <w:tc>
          <w:tcPr>
            <w:tcW w:type="dxa" w:w="12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Data Fitness</w:t>
            </w:r>
          </w:p>
        </w:tc>
      </w:tr>
    </w:tbl>
    <w:p>
      <w:pPr>
        <w:spacing w:after="80"/>
      </w:pPr>
      <w:r>
        <w:t xml:space="preserve"/>
      </w:r>
    </w:p>
    <w:p>
      <w:pPr>
        <w:pStyle w:val="Heading3"/>
      </w:pPr>
      <w:r>
        <w:t xml:space="preserve">Table 2 — Check Descriptions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Name (Short)</w:t>
            </w:r>
          </w:p>
        </w:tc>
        <w:tc>
          <w:tcPr>
            <w:tcW w:type="dxa" w:w="71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Description</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Fields during ingestion meet requirements for not-null constraints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layer1_stability</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Current data are comparable to previous to ensure consistency between submissions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layer2_value_standards</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Field values are conformant to source standards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layer2_ranges_numeric</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Numeric ranges are within acceptable range from source data</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layer3_mapped_values</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Mapped values from source are non-null values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layer3_src_values</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Source values are carried forward with mapped values to enable debugging</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Patients can be linked across multiple data sources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layer4_deduplication</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Patient records are deduplicated</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layer5_date_concordance</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Dates of clinical facts are concordant with visit dates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layer5_value_plausibility</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Values are consistent for patients over time (no sudden drops or additions)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layer6_denom_riskstrat</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Proportion of patients at a site that meet utilization criteria for denominator</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layer6_stability</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Patient data are persistent across refreshes or new data streams</w:t>
            </w:r>
          </w:p>
        </w:tc>
      </w:tr>
      <w:tr>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layer6_value_plausibility</w:t>
            </w:r>
          </w:p>
        </w:tc>
        <w:tc>
          <w:tcPr>
            <w:tcW w:type="dxa" w:w="71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Patient data contain plausible numeric values for analysis of interest</w:t>
            </w:r>
          </w:p>
        </w:tc>
      </w:tr>
    </w:tbl>
    <w:p>
      <w:pPr>
        <w:spacing w:after="80"/>
      </w:pPr>
      <w:r>
        <w:t xml:space="preserve"/>
      </w:r>
    </w:p>
    <w:p>
      <w:pPr>
        <w:pStyle w:val="Heading2"/>
      </w:pPr>
      <w:r>
        <w:t xml:space="preserve">3. Variable-Level Application (Table 3)</w:t>
      </w:r>
    </w:p>
    <w:p>
      <w:pPr>
        <w:spacing w:after="100"/>
      </w:pPr>
      <w:r>
        <w:t xml:space="preserve">When checks are applied, each is tagged to a specific variable and data element. Check Name (Full) combines the short check name with the variable and specific field being evaluated. This enables the system to produce a per-variable readiness profile. Examples include both EHR variables (Blood Pressure) and device variables (CGM Glucose, Weight).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560"/>
        <w:gridCol w:w="1400"/>
        <w:gridCol w:w="1000"/>
      </w:tblGrid>
      <w:tr>
        <w:trPr>
          <w:tblHeader/>
        </w:trPr>
        <w:tc>
          <w:tcPr>
            <w:tcW w:type="dxa" w:w="18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Variable</w:t>
            </w:r>
          </w:p>
        </w:tc>
        <w:tc>
          <w:tcPr>
            <w:tcW w:type="dxa" w:w="18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Application</w:t>
            </w:r>
          </w:p>
        </w:tc>
        <w:tc>
          <w:tcPr>
            <w:tcW w:type="dxa" w:w="18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Name (Short)</w:t>
            </w:r>
          </w:p>
        </w:tc>
        <w:tc>
          <w:tcPr>
            <w:tcW w:type="dxa" w:w="15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Name (Full)</w:t>
            </w:r>
          </w:p>
        </w:tc>
        <w:tc>
          <w:tcPr>
            <w:tcW w:type="dxa" w:w="1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Result</w:t>
            </w:r>
          </w:p>
        </w:tc>
        <w:tc>
          <w:tcPr>
            <w:tcW w:type="dxa" w:w="10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Threshold</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Blood Pressure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Condition table: dates</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layer1_notnull_fields_bp_dates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25/30</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30/30</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Blood Pressure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Identity linking</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layer4_patient_ids_bp</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18/25</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25/25</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Blood Pressure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Temporal coverage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layer5_value_plausibility</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layer5_value_plausibility_bp</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0.71</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0.85</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Glucose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Ingestion: not-null</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layer1_notnull_fields_cgm</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28/30</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30/30</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Glucose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Patient-device linkage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layer4_patient_ids_cgm</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20/28</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28/28</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Glucose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Temporal density (14d)</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device_temporal_density</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device_temporal_density_cgm_14d</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0.64</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0.70</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Weight</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Ingestion: not-null</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layer1_notnull_fields_weight</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30/30</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30/30</w:t>
            </w:r>
          </w:p>
        </w:tc>
      </w:tr>
      <w:tr>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Weight</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Rate-of-change plausibility</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layer5_value_plausibility</w:t>
            </w:r>
          </w:p>
        </w:tc>
        <w:tc>
          <w:tcPr>
            <w:tcW w:type="dxa" w:w="1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layer5_value_plausibility_wt</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0.88</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0.85</w:t>
            </w:r>
          </w:p>
        </w:tc>
      </w:tr>
    </w:tbl>
    <w:p>
      <w:pPr>
        <w:spacing w:after="80"/>
      </w:pPr>
      <w:r>
        <w:t xml:space="preserve"/>
      </w:r>
    </w:p>
    <w:p>
      <w:pPr>
        <w:pStyle w:val="Heading2"/>
      </w:pPr>
      <w:r>
        <w:t xml:space="preserve">4. Scoring and Remediation Output (Table 4)</w:t>
      </w:r>
    </w:p>
    <w:p>
      <w:pPr>
        <w:spacing w:after="100"/>
      </w:pPr>
      <w:r>
        <w:t xml:space="preserve">Each check result is scored between 0 and 1, assigned a priority, and linked to remediation guidance. Priority reflects impact on use-case fitness.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800"/>
        <w:gridCol w:w="1000"/>
        <w:gridCol w:w="2200"/>
        <w:gridCol w:w="2360"/>
      </w:tblGrid>
      <w:tr>
        <w:trPr>
          <w:tblHeader/>
        </w:trPr>
        <w:tc>
          <w:tcPr>
            <w:tcW w:type="dxa" w:w="20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Name (Full)</w:t>
            </w:r>
          </w:p>
        </w:tc>
        <w:tc>
          <w:tcPr>
            <w:tcW w:type="dxa" w:w="10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Result</w:t>
            </w:r>
          </w:p>
        </w:tc>
        <w:tc>
          <w:tcPr>
            <w:tcW w:type="dxa" w:w="8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Score</w:t>
            </w:r>
          </w:p>
        </w:tc>
        <w:tc>
          <w:tcPr>
            <w:tcW w:type="dxa" w:w="10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Priority</w:t>
            </w:r>
          </w:p>
        </w:tc>
        <w:tc>
          <w:tcPr>
            <w:tcW w:type="dxa" w:w="22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Suggested Remediation</w:t>
            </w:r>
          </w:p>
        </w:tc>
        <w:tc>
          <w:tcPr>
            <w:tcW w:type="dxa" w:w="23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Suggested Next Steps</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layer1_notnull_fields_bp_dates</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25/30</w:t>
            </w:r>
          </w:p>
        </w:tc>
        <w:tc>
          <w:tcPr>
            <w:tcW w:type="dxa" w:w="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0.83</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High</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Identify transmission or source system error</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Review date fields over time</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layer4_patient_ids_bp</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18/25</w:t>
            </w:r>
          </w:p>
        </w:tc>
        <w:tc>
          <w:tcPr>
            <w:tcW w:type="dxa" w:w="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0.72</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High</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Improve identity matching across EHR and device</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Audit patient ID linkage rules</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layer5_value_plausibility_bp</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0.71</w:t>
            </w:r>
          </w:p>
        </w:tc>
        <w:tc>
          <w:tcPr>
            <w:tcW w:type="dxa" w:w="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0.71</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Medium</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Increase temporal BP measurement frequency</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Incorporate device feed to supplement EHR</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layer4_patient_ids_cgm</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20/28</w:t>
            </w:r>
          </w:p>
        </w:tc>
        <w:tc>
          <w:tcPr>
            <w:tcW w:type="dxa" w:w="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0.71</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High</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Standardize patient ID handling in device ingestion</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Audit device-to-patient mapping logic</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device_temporal_density_cgm_14d</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0.64</w:t>
            </w:r>
          </w:p>
        </w:tc>
        <w:tc>
          <w:tcPr>
            <w:tcW w:type="dxa" w:w="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0.64</w:t>
            </w:r>
          </w:p>
        </w:tc>
        <w:tc>
          <w:tcPr>
            <w:tcW w:type="dxa" w:w="1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High</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Below temporal density threshold for risk use case</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Assess device adherence; flag low-coverage patients</w:t>
            </w:r>
          </w:p>
        </w:tc>
      </w:tr>
    </w:tbl>
    <w:p>
      <w:pPr>
        <w:spacing w:after="80"/>
      </w:pPr>
      <w:r>
        <w:t xml:space="preserve"/>
      </w:r>
    </w:p>
    <w:p>
      <w:pPr>
        <w:pStyle w:val="Heading2"/>
      </w:pPr>
      <w:r>
        <w:t xml:space="preserve">5. Priority Weights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Priority</w:t>
            </w:r>
          </w:p>
        </w:tc>
        <w:tc>
          <w:tcPr>
            <w:tcW w:type="dxa" w:w="18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Weight</w:t>
            </w:r>
          </w:p>
        </w:tc>
        <w:tc>
          <w:tcPr>
            <w:tcW w:type="dxa" w:w="55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Description</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High</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1.0</w:t>
            </w:r>
          </w:p>
        </w:tc>
        <w:tc>
          <w:tcPr>
            <w:tcW w:type="dxa" w:w="5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Check failure directly blocks one or more use cases</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Medium</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0.7</w:t>
            </w:r>
          </w:p>
        </w:tc>
        <w:tc>
          <w:tcPr>
            <w:tcW w:type="dxa" w:w="5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Check failure degrades quality but does not fully block use</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Low</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0.3</w:t>
            </w:r>
          </w:p>
        </w:tc>
        <w:tc>
          <w:tcPr>
            <w:tcW w:type="dxa" w:w="5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Minor gap with limited operational impact</w:t>
            </w:r>
          </w:p>
        </w:tc>
      </w:tr>
    </w:tbl>
    <w:p>
      <w:pPr>
        <w:spacing w:after="80"/>
      </w:pPr>
      <w:r>
        <w:t xml:space="preserve"/>
      </w:r>
    </w:p>
    <w:p>
      <w:pPr>
        <w:pStyle w:val="Heading2"/>
      </w:pPr>
      <w:r>
        <w:t xml:space="preserve">6. Scoring Domains</w:t>
      </w:r>
    </w:p>
    <w:p>
      <w:pPr>
        <w:spacing w:after="100"/>
      </w:pPr>
      <w:r>
        <w:t xml:space="preserve">Checks are grouped into three scoring domains. Domain scores aggregate the weighted results of their constituent checks. Scores roll up from check → domain → variable profile → use-case fitness.</w:t>
      </w:r>
    </w:p>
    <w:p>
      <w:pPr>
        <w:spacing w:after="80"/>
      </w:pPr>
      <w:r>
        <w:t xml:space="preserve"/>
      </w:r>
    </w:p>
    <w:p>
      <w:pPr>
        <w:spacing w:after="100"/>
      </w:pPr>
      <w:r>
        <w:t xml:space="preserve">Scoring domains are implementation-level constructs and do not define the primary organizing structure of the methodology, which remains variable-level evaluation and use-case-level fitness.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400"/>
        <w:gridCol w:w="2360"/>
      </w:tblGrid>
      <w:tr>
        <w:trPr>
          <w:tblHeader/>
        </w:trPr>
        <w:tc>
          <w:tcPr>
            <w:tcW w:type="dxa" w:w="2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Scoring Domain</w:t>
            </w:r>
          </w:p>
        </w:tc>
        <w:tc>
          <w:tcPr>
            <w:tcW w:type="dxa" w:w="22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Purpose</w:t>
            </w:r>
          </w:p>
        </w:tc>
        <w:tc>
          <w:tcPr>
            <w:tcW w:type="dxa" w:w="2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Check Category</w:t>
            </w:r>
          </w:p>
        </w:tc>
        <w:tc>
          <w:tcPr>
            <w:tcW w:type="dxa" w:w="23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Dimension</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 Readiness</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Structural</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Conformance, Completeness, Interoperability</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 and multiple snapshots</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Semantic Harmonization</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Semantic</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Concordance, Plausibility</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 and over time</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Data Fitness</w:t>
            </w:r>
          </w:p>
        </w:tc>
        <w:tc>
          <w:tcPr>
            <w:tcW w:type="dxa" w:w="22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Data Fitness</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Completeness, Persistence, Plausibility</w:t>
            </w:r>
          </w:p>
        </w:tc>
        <w:tc>
          <w:tcPr>
            <w:tcW w:type="dxa" w:w="23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 and multiple snapshots</w:t>
            </w:r>
          </w:p>
        </w:tc>
      </w:tr>
    </w:tbl>
    <w:p>
      <w:pPr>
        <w:spacing w:after="80"/>
      </w:pPr>
      <w:r>
        <w:t xml:space="preserve"/>
      </w:r>
    </w:p>
    <w:p>
      <w:pPr>
        <w:pStyle w:val="Heading2"/>
      </w:pPr>
      <w:r>
        <w:t xml:space="preserve">7. Scoring Formulas</w:t>
      </w:r>
    </w:p>
    <w:p>
      <w:pPr>
        <w:spacing w:after="80"/>
      </w:pPr>
      <w:r>
        <w:t xml:space="preserve"/>
      </w:r>
    </w:p>
    <w:p>
      <w:pPr>
        <w:pStyle w:val="Heading3"/>
      </w:pPr>
      <w:r>
        <w:t xml:space="preserve">Domain Score</w:t>
      </w:r>
    </w:p>
    <w:p>
      <w:pPr>
        <w:spacing w:after="80" w:before="80"/>
        <w:ind w:left="720"/>
      </w:pPr>
      <w:r>
        <w:rPr>
          <w:rFonts w:ascii="Courier New" w:cs="Courier New" w:eastAsia="Courier New" w:hAnsi="Courier New"/>
          <w:b/>
          <w:bCs/>
          <w:color w:val="1F3864"/>
          <w:sz w:val="24"/>
          <w:szCs w:val="24"/>
        </w:rPr>
        <w:t xml:space="preserve">DQ₀ = Σ [ (wtₖ × Scoreₖ) / MaxScoreₖ ]</w:t>
      </w:r>
    </w:p>
    <w:p>
      <w:pPr>
        <w:spacing w:after="80"/>
      </w:pPr>
      <w:r>
        <w:t xml:space="preserve"/>
      </w:r>
    </w:p>
    <w:p>
      <w:pPr>
        <w:pStyle w:val="ListParagraph"/>
        <w:numPr>
          <w:ilvl w:val="0"/>
          <w:numId w:val="3"/>
        </w:numPr>
      </w:pPr>
      <w:r>
        <w:t xml:space="preserve">DQ₀ = data quality score for the domain</w:t>
      </w:r>
    </w:p>
    <w:p>
      <w:pPr>
        <w:pStyle w:val="ListParagraph"/>
        <w:numPr>
          <w:ilvl w:val="0"/>
          <w:numId w:val="3"/>
        </w:numPr>
      </w:pPr>
      <w:r>
        <w:t xml:space="preserve">wtₖ = priority weight of check k (1.0, 0.7, or 0.3)</w:t>
      </w:r>
    </w:p>
    <w:p>
      <w:pPr>
        <w:pStyle w:val="ListParagraph"/>
        <w:numPr>
          <w:ilvl w:val="0"/>
          <w:numId w:val="3"/>
        </w:numPr>
      </w:pPr>
      <w:r>
        <w:t xml:space="preserve">Scoreₖ = result of check k</w:t>
      </w:r>
    </w:p>
    <w:p>
      <w:pPr>
        <w:pStyle w:val="ListParagraph"/>
        <w:numPr>
          <w:ilvl w:val="0"/>
          <w:numId w:val="3"/>
        </w:numPr>
      </w:pPr>
      <w:r>
        <w:t xml:space="preserve">MaxScoreₖ = maximum possible score for check k</w:t>
      </w:r>
    </w:p>
    <w:p>
      <w:pPr>
        <w:spacing w:after="80"/>
      </w:pPr>
      <w:r>
        <w:t xml:space="preserve"/>
      </w:r>
    </w:p>
    <w:p>
      <w:pPr>
        <w:pStyle w:val="Heading3"/>
      </w:pPr>
      <w:r>
        <w:t xml:space="preserve">Overall Readiness Score</w:t>
      </w:r>
    </w:p>
    <w:p>
      <w:pPr>
        <w:spacing w:after="80" w:before="80"/>
        <w:ind w:left="720"/>
      </w:pPr>
      <w:r>
        <w:rPr>
          <w:rFonts w:ascii="Courier New" w:cs="Courier New" w:eastAsia="Courier New" w:hAnsi="Courier New"/>
          <w:b/>
          <w:bCs/>
          <w:color w:val="1F3864"/>
          <w:sz w:val="24"/>
          <w:szCs w:val="24"/>
        </w:rPr>
        <w:t xml:space="preserve">DQₜₒₜ = Σ [ prᴰ × DQᴰ ]</w:t>
      </w:r>
    </w:p>
    <w:p>
      <w:pPr>
        <w:spacing w:after="80"/>
      </w:pPr>
      <w:r>
        <w:t xml:space="preserve"/>
      </w:r>
    </w:p>
    <w:p>
      <w:pPr>
        <w:pStyle w:val="ListParagraph"/>
        <w:numPr>
          <w:ilvl w:val="0"/>
          <w:numId w:val="4"/>
        </w:numPr>
      </w:pPr>
      <w:r>
        <w:t xml:space="preserve">prᴰ = priority weight assigned to domain D</w:t>
      </w:r>
    </w:p>
    <w:p>
      <w:pPr>
        <w:pStyle w:val="ListParagraph"/>
        <w:numPr>
          <w:ilvl w:val="0"/>
          <w:numId w:val="4"/>
        </w:numPr>
      </w:pPr>
      <w:r>
        <w:t xml:space="preserve">Domain weights may be varied by use case context</w:t>
      </w:r>
    </w:p>
    <w:p>
      <w:pPr>
        <w:spacing w:after="80"/>
      </w:pPr>
      <w:r>
        <w:t xml:space="preserve"/>
      </w:r>
    </w:p>
    <w:p>
      <w:pPr>
        <w:pStyle w:val="Heading2"/>
      </w:pPr>
      <w:r>
        <w:t xml:space="preserve">8. Fit-for-Purpose Evaluation (Use-Case Level)</w:t>
      </w:r>
    </w:p>
    <w:p>
      <w:pPr>
        <w:spacing w:after="100"/>
      </w:pPr>
      <w:r>
        <w:t xml:space="preserve">Fit-for-purpose is computed at the use-case level by aggregating the variable profiles of all required variables for that use case. A use case is blocked if one or more critical variables fall below their minimum thresholds.</w:t>
      </w:r>
    </w:p>
    <w:p>
      <w:pPr>
        <w:spacing w:after="80"/>
      </w:pPr>
      <w:r>
        <w:t xml:space="preserve"/>
      </w:r>
    </w:p>
    <w:p>
      <w:pPr>
        <w:spacing w:after="100"/>
      </w:pPr>
      <w:r>
        <w:t xml:space="preserve">The use-case level evaluation metrics (layer6_* checks in the registry) are distinct from variable-level pipeline checks. They are not another pipeline layer — they are aggregation metrics that operate across the full variable set required by a use case and determine whether that use case is operationally viable.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Use Case</w:t>
            </w:r>
          </w:p>
        </w:tc>
        <w:tc>
          <w:tcPr>
            <w:tcW w:type="dxa" w:w="2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Status</w:t>
            </w:r>
          </w:p>
        </w:tc>
        <w:tc>
          <w:tcPr>
            <w:tcW w:type="dxa" w:w="45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Key Variable Blockers (Example)</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Hypertension Risk Stratification</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NOT READY → PARTIALLY READY</w:t>
            </w:r>
          </w:p>
        </w:tc>
        <w:tc>
          <w:tcPr>
            <w:tcW w:type="dxa" w:w="4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BP identity linkage, temporal coverage gaps, missing smoking status</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Diabetes Risk Stratification</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NOT READY → PARTIALLY READY</w:t>
            </w:r>
          </w:p>
        </w:tc>
        <w:tc>
          <w:tcPr>
            <w:tcW w:type="dxa" w:w="4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temporal density below threshold, patient-device linkage gaps</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Heart Failure Monitoring</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PARTIALLY READY</w:t>
            </w:r>
          </w:p>
        </w:tc>
        <w:tc>
          <w:tcPr>
            <w:tcW w:type="dxa" w:w="4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Weight device feed integration, identity resolution</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Care Coordination</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PARTIALLY READY</w:t>
            </w:r>
          </w:p>
        </w:tc>
        <w:tc>
          <w:tcPr>
            <w:tcW w:type="dxa" w:w="4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Multi-variable identity resolution, device feed integration</w:t>
            </w:r>
          </w:p>
        </w:tc>
      </w:tr>
      <w:tr>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VBC Reporting</w:t>
            </w:r>
          </w:p>
        </w:tc>
        <w:tc>
          <w:tcPr>
            <w:tcW w:type="dxa" w:w="2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NOT READY</w:t>
            </w:r>
          </w:p>
        </w:tc>
        <w:tc>
          <w:tcPr>
            <w:tcW w:type="dxa" w:w="45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Data completeness, denominator readiness, encounter data gaps</w:t>
            </w:r>
          </w:p>
        </w:tc>
      </w:tr>
    </w:tbl>
    <w:p>
      <w:pPr>
        <w:spacing w:after="80"/>
      </w:pPr>
      <w:r>
        <w:t xml:space="preserve"/>
      </w:r>
    </w:p>
    <w:p>
      <w:pPr>
        <w:spacing w:after="100"/>
      </w:pPr>
      <w:r>
        <w:t xml:space="preserve">Final use-case variable requirements and minimum readiness thresholds are defined per condition plug-in and are subject to alignment with clinical partners.</w:t>
      </w:r>
    </w:p>
    <w:p>
      <w:pPr>
        <w:spacing w:after="80"/>
      </w:pPr>
      <w:r>
        <w:t xml:space="preserve"/>
      </w:r>
    </w:p>
    <w:p>
      <w:pPr>
        <w:pStyle w:val="Heading2"/>
      </w:pPr>
      <w:r>
        <w:t xml:space="preserve">9. Device-Specific Check Registry</w:t>
      </w:r>
    </w:p>
    <w:p>
      <w:pPr>
        <w:spacing w:after="100"/>
      </w:pPr>
      <w:r>
        <w:t xml:space="preserve">Device variables (CGM glucose, connected weight scale, home BP cuff) use the same variable-level evaluation framework as EHR data but require additional checks specific to time series data. These checks are defined in full in the companion Device Data Model &amp; Readiness Extension document. The table below summarizes the device check registry for reference.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400"/>
        <w:gridCol w:w="1400"/>
        <w:gridCol w:w="2760"/>
      </w:tblGrid>
      <w:tr>
        <w:trPr>
          <w:tblHeader/>
        </w:trPr>
        <w:tc>
          <w:tcPr>
            <w:tcW w:type="dxa" w:w="200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Check Name (Short)</w:t>
            </w:r>
          </w:p>
        </w:tc>
        <w:tc>
          <w:tcPr>
            <w:tcW w:type="dxa" w:w="180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Applies To</w:t>
            </w:r>
          </w:p>
        </w:tc>
        <w:tc>
          <w:tcPr>
            <w:tcW w:type="dxa" w:w="140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Dimension</w:t>
            </w:r>
          </w:p>
        </w:tc>
        <w:tc>
          <w:tcPr>
            <w:tcW w:type="dxa" w:w="140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Category</w:t>
            </w:r>
          </w:p>
        </w:tc>
        <w:tc>
          <w:tcPr>
            <w:tcW w:type="dxa" w:w="2760"/>
            <w:tcBorders>
              <w:top w:val="single" w:color="2C5282" w:sz="4"/>
              <w:left w:val="single" w:color="2C5282" w:sz="4"/>
              <w:bottom w:val="single" w:color="2C5282" w:sz="4"/>
              <w:right w:val="single" w:color="2C5282" w:sz="4"/>
            </w:tcBorders>
            <w:shd w:fill="2A7A6F" w:val="clear"/>
            <w:tcMar>
              <w:top w:type="dxa" w:w="80"/>
              <w:left w:type="dxa" w:w="120"/>
              <w:bottom w:type="dxa" w:w="80"/>
              <w:right w:type="dxa" w:w="120"/>
            </w:tcMar>
          </w:tcPr>
          <w:p>
            <w:r>
              <w:rPr>
                <w:b/>
                <w:bCs/>
                <w:color w:val="FFFFFF"/>
                <w:sz w:val="19"/>
                <w:szCs w:val="19"/>
              </w:rPr>
              <w:t xml:space="preserve">Description</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device_ingestion_completeness</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Scale, BP cuff</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Conformance</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 data records meet not-null requirements for all required fields</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device_timestamp_normalization</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Scale, BP cuff</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Conformance</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UTC and local timestamps are present and correctly parsed; timezone normalization is applied</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device_unit_normalization</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Scale, BP cuff</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Conformance</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Measurement values are normalized to standard units (mmol/L or mg/dL, kg or lbs, mmHg)</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device_patient_linkage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Scale, BP cuff</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Multiple Snapshots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Interoperability</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 records are reliably linked to the correct patient across sources</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device_duplicate_detection</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Scale, BP cuff</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Multiple Snapshots</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Completeness</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Duplicate records from overlapping device feeds are detected and removed</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device_plausibility_range</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Scale, BP cuff</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Plausibility</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Values fall within expected physiologic ranges for the measurement type</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device_temporal_density</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 Scale</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Over Time</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Persistence</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 of expected readings present over a defined window meets minimum threshold</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device_timestamp_monotonic</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Over Time</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Concordance</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Timestamps are monotonically increasing within a patient session (no out-of-order readings)</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device_timezone_alignment</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Over Time</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Concordance</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UTC and local timestamps are consistent; timezone offsets are applied correctly</w:t>
            </w:r>
          </w:p>
        </w:tc>
      </w:tr>
      <w:tr>
        <w:tc>
          <w:tcPr>
            <w:tcW w:type="dxa" w:w="20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device_derived_metric_consistency</w:t>
            </w:r>
          </w:p>
        </w:tc>
        <w:tc>
          <w:tcPr>
            <w:tcW w:type="dxa" w:w="18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CGM</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Single Snapshot</w:t>
            </w:r>
          </w:p>
        </w:tc>
        <w:tc>
          <w:tcPr>
            <w:tcW w:type="dxa" w:w="140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Concordance</w:t>
            </w:r>
          </w:p>
        </w:tc>
        <w:tc>
          <w:tcPr>
            <w:tcW w:type="dxa" w:w="2760"/>
            <w:tcBorders>
              <w:top w:val="single" w:color="BBCCDD" w:sz="2"/>
              <w:left w:val="single" w:color="BBCCDD" w:sz="2"/>
              <w:bottom w:val="single" w:color="BBCCDD" w:sz="2"/>
              <w:right w:val="single" w:color="BBCCDD" w:sz="2"/>
            </w:tcBorders>
            <w:shd w:fill="F5F8FC" w:val="clear"/>
            <w:tcMar>
              <w:top w:type="dxa" w:w="80"/>
              <w:left w:type="dxa" w:w="120"/>
              <w:bottom w:type="dxa" w:w="80"/>
              <w:right w:type="dxa" w:w="120"/>
            </w:tcMar>
          </w:tcPr>
          <w:p>
            <w:r>
              <w:rPr>
                <w:color w:val="1A2E4A"/>
                <w:sz w:val="19"/>
                <w:szCs w:val="19"/>
              </w:rPr>
              <w:t xml:space="preserve">Derived metrics (TIR, GMI, variability) are recomputed from raw data and consistent across manufacturers</w:t>
            </w:r>
          </w:p>
        </w:tc>
      </w:tr>
    </w:tbl>
    <w:p>
      <w:pPr>
        <w:spacing w:after="80"/>
      </w:pPr>
      <w:r>
        <w:t xml:space="preserve"/>
      </w:r>
    </w:p>
    <w:p>
      <w:pPr>
        <w:spacing w:after="100"/>
      </w:pPr>
      <w:r>
        <w:t xml:space="preserve">Device checks integrate seamlessly with EHR checks and are evaluated within the same variable-level scoring model. Device check results feed into variable profiles alongside EHR checks, and those profiles feed into use-case fitness evaluation in the same way.</w:t>
      </w:r>
    </w:p>
    <w:p>
      <w:pPr>
        <w:spacing w:after="80"/>
      </w:pPr>
      <w:r>
        <w:t xml:space="preserve"/>
      </w:r>
    </w:p>
    <w:p>
      <w:pPr>
        <w:spacing w:after="100"/>
      </w:pPr>
      <w:r>
        <w:t xml:space="preserve">Derived metrics such as TIR and GMI are computed outputs of the raw device data — they are not used as input variables for readiness evaluation. Their validity depends on the underlying variable passing temporal density, plausibility, and concordance checks first.</w:t>
      </w:r>
    </w:p>
    <w:p>
      <w:pPr>
        <w:spacing w:after="80"/>
      </w:pPr>
      <w:r>
        <w:t xml:space="preserve"/>
      </w:r>
    </w:p>
    <w:p>
      <w:pPr>
        <w:pStyle w:val="Heading2"/>
      </w:pPr>
      <w:r>
        <w:t xml:space="preserve">10. Progressive Disclosure Model</w:t>
      </w:r>
    </w:p>
    <w:p>
      <w:pPr>
        <w:spacing w:after="100"/>
      </w:pPr>
      <w:r>
        <w:t xml:space="preserve">The scoring architecture supports three levels of output detail:</w:t>
      </w:r>
    </w:p>
    <w:p>
      <w:pPr>
        <w:pStyle w:val="ListParagraph"/>
        <w:numPr>
          <w:ilvl w:val="0"/>
          <w:numId w:val="5"/>
        </w:numPr>
      </w:pPr>
      <w:r>
        <w:t xml:space="preserve">Use-case readiness status (Ready / Partially Ready / Not Ready) — for clinical and operational audiences</w:t>
      </w:r>
    </w:p>
    <w:p>
      <w:pPr>
        <w:pStyle w:val="ListParagraph"/>
        <w:numPr>
          <w:ilvl w:val="0"/>
          <w:numId w:val="5"/>
        </w:numPr>
      </w:pPr>
      <w:r>
        <w:t xml:space="preserve">Variable scores and domain breakdown — for program managers</w:t>
      </w:r>
    </w:p>
    <w:p>
      <w:pPr>
        <w:pStyle w:val="ListParagraph"/>
        <w:numPr>
          <w:ilvl w:val="0"/>
          <w:numId w:val="5"/>
        </w:numPr>
      </w:pPr>
      <w:r>
        <w:t xml:space="preserve">Individual check results and remediation steps — for data infrastructure teams</w:t>
      </w:r>
    </w:p>
    <w:p>
      <w:pPr>
        <w:spacing w:after="80"/>
      </w:pPr>
      <w:r>
        <w:t xml:space="preserve"/>
      </w:r>
    </w:p>
    <w:p>
      <w:pPr>
        <w:spacing w:after="100"/>
      </w:pPr>
      <w:r>
        <w:t xml:space="preserve">Agentic AI capabilities may support automated remediation summary generation from failed check patterns. This is a planned future capability.</w:t>
      </w:r>
    </w:p>
    <w:p>
      <w:pPr>
        <w:spacing w:after="80"/>
      </w:pPr>
      <w:r>
        <w:t xml:space="preserve"/>
      </w:r>
    </w:p>
    <w:p>
      <w:pPr>
        <w:pStyle w:val="Heading2"/>
      </w:pPr>
      <w:r>
        <w:t xml:space="preserve">11.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9E" w:sz="4"/>
              <w:left w:val="single" w:color="2E5F9E" w:sz="8"/>
              <w:bottom w:val="single" w:color="2E5F9E" w:sz="4"/>
              <w:right w:val="single" w:color="2E5F9E" w:sz="4"/>
            </w:tcBorders>
            <w:shd w:fill="EEF4FB" w:val="clear"/>
            <w:tcMar>
              <w:top w:type="dxa" w:w="120"/>
              <w:left w:type="dxa" w:w="200"/>
              <w:bottom w:type="dxa" w:w="120"/>
              <w:right w:type="dxa" w:w="200"/>
            </w:tcMar>
          </w:tcPr>
          <w:p>
            <w:pPr>
              <w:spacing w:after="60"/>
            </w:pPr>
            <w:r>
              <w:rPr>
                <w:b/>
                <w:bCs/>
                <w:color w:val="1F3864"/>
                <w:sz w:val="20"/>
                <w:szCs w:val="20"/>
              </w:rPr>
              <w:t xml:space="preserve">Pending alignment</w:t>
            </w:r>
          </w:p>
          <w:p>
            <w:pPr>
              <w:spacing w:after="40"/>
              <w:ind w:left="160" w:hanging="160"/>
            </w:pPr>
            <w:r>
              <w:rPr>
                <w:color w:val="333333"/>
                <w:sz w:val="20"/>
                <w:szCs w:val="20"/>
              </w:rPr>
              <w:t xml:space="preserve">•  Final variable requirements per use case (which variables are critical vs. supplementary)</w:t>
            </w:r>
          </w:p>
          <w:p>
            <w:pPr>
              <w:spacing w:after="40"/>
              <w:ind w:left="160" w:hanging="160"/>
            </w:pPr>
            <w:r>
              <w:rPr>
                <w:color w:val="333333"/>
                <w:sz w:val="20"/>
                <w:szCs w:val="20"/>
              </w:rPr>
              <w:t xml:space="preserve">•  Minimum readiness thresholds per variable per use case</w:t>
            </w:r>
          </w:p>
          <w:p>
            <w:pPr>
              <w:spacing w:after="40"/>
              <w:ind w:left="160" w:hanging="160"/>
            </w:pPr>
            <w:r>
              <w:rPr>
                <w:color w:val="333333"/>
                <w:sz w:val="20"/>
                <w:szCs w:val="20"/>
              </w:rPr>
              <w:t xml:space="preserve">•  Domain priority weights by operational context</w:t>
            </w:r>
          </w:p>
          <w:p>
            <w:pPr>
              <w:spacing w:after="40"/>
              <w:ind w:left="160" w:hanging="160"/>
            </w:pPr>
            <w:r>
              <w:rPr>
                <w:color w:val="333333"/>
                <w:sz w:val="20"/>
                <w:szCs w:val="20"/>
              </w:rPr>
              <w:t xml:space="preserve">•  Scope of use-case level evaluation metrics beyond risk stratification</w:t>
            </w:r>
          </w:p>
          <w:p>
            <w:pPr>
              <w:spacing w:after="40"/>
              <w:ind w:left="160" w:hanging="160"/>
            </w:pPr>
            <w:r>
              <w:rPr>
                <w:color w:val="333333"/>
                <w:sz w:val="20"/>
                <w:szCs w:val="20"/>
              </w:rPr>
              <w:t xml:space="preserve">•  Temporal density thresholds for device variables by use case</w:t>
            </w:r>
          </w:p>
        </w:tc>
      </w:tr>
    </w:tbl>
    <w:sectPr>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600" w:hanging="300"/>
      </w:pPr>
    </w:lvl>
  </w:abstractNum>
  <w:abstractNum w:abstractNumId="3" w15:restartNumberingAfterBreak="0">
    <w:multiLevelType w:val="hybridMultilevel"/>
    <w:lvl w:ilvl="0" w15:tentative="1">
      <w:start w:val="1"/>
      <w:numFmt w:val="bullet"/>
      <w:lvlText w:val="•"/>
      <w:lvlJc w:val="left"/>
      <w:pPr>
        <w:spacing w:after="60"/>
        <w:ind w:left="600" w:hanging="300"/>
      </w:pPr>
    </w:lvl>
  </w:abstractNum>
  <w:abstractNum w:abstractNumId="4" w15:restartNumberingAfterBreak="0">
    <w:multiLevelType w:val="hybridMultilevel"/>
    <w:lvl w:ilvl="0" w15:tentative="1">
      <w:start w:val="1"/>
      <w:numFmt w:val="bullet"/>
      <w:lvlText w:val="•"/>
      <w:lvlJc w:val="left"/>
      <w:pPr>
        <w:spacing w:after="60"/>
        <w:ind w:left="600" w:hanging="300"/>
      </w:pPr>
    </w:lvl>
  </w:abstractNum>
  <w:abstractNum w:abstractNumId="5" w15:restartNumberingAfterBreak="0">
    <w:multiLevelType w:val="hybridMultilevel"/>
    <w:lvl w:ilvl="0" w15:tentative="1">
      <w:start w:val="1"/>
      <w:numFmt w:val="bullet"/>
      <w:lvlText w:val="•"/>
      <w:lvlJc w:val="left"/>
      <w:pPr>
        <w:spacing w:after="60"/>
        <w:ind w:left="600" w:hanging="300"/>
      </w:pPr>
    </w:lvl>
  </w:abstractNum>
  <w:abstractNum w:abstractNumId="6" w15:restartNumberingAfterBreak="0">
    <w:multiLevelType w:val="hybridMultilevel"/>
    <w:lvl w:ilvl="0" w15:tentative="1">
      <w:start w:val="1"/>
      <w:numFmt w:val="bullet"/>
      <w:lvlText w:val="•"/>
      <w:lvlJc w:val="left"/>
      <w:pPr>
        <w:spacing w:after="60"/>
        <w:ind w:left="600" w:hanging="300"/>
      </w:pPr>
    </w:lvl>
  </w:abstractNum>
  <w:abstractNum w:abstractNumId="7" w15:restartNumberingAfterBreak="0">
    <w:multiLevelType w:val="hybridMultilevel"/>
    <w:lvl w:ilvl="0" w15:tentative="1">
      <w:start w:val="1"/>
      <w:numFmt w:val="bullet"/>
      <w:lvlText w:val="•"/>
      <w:lvlJc w:val="left"/>
      <w:pPr>
        <w:spacing w:after="60"/>
        <w:ind w:left="600" w:hanging="300"/>
      </w:pPr>
    </w:lvl>
  </w:abstractNum>
  <w:abstractNum w:abstractNumId="8" w15:restartNumberingAfterBreak="0">
    <w:multiLevelType w:val="hybridMultilevel"/>
    <w:lvl w:ilvl="0" w15:tentative="1">
      <w:start w:val="1"/>
      <w:numFmt w:val="decimal"/>
      <w:lvlText w:val="%1."/>
      <w:lvlJc w:val="left"/>
      <w:pPr>
        <w:spacing w:after="60"/>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5F9E"/>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2026-03-30T15:16:35.820Z</dcterms:created>
  <dcterms:modified xsi:type="dcterms:W3CDTF">2026-03-30T15:16:35.821Z</dcterms:modified>
</cp:coreProperties>
</file>

<file path=docProps/custom.xml><?xml version="1.0" encoding="utf-8"?>
<Properties xmlns="http://schemas.openxmlformats.org/officeDocument/2006/custom-properties" xmlns:vt="http://schemas.openxmlformats.org/officeDocument/2006/docPropsVTypes"/>
</file>