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5EBE0" w14:textId="77777777" w:rsidR="00EB57EF" w:rsidRDefault="00000000">
      <w:pPr>
        <w:pStyle w:val="Heading1"/>
      </w:pPr>
      <w:r>
        <w:t>Methodology Architecture</w:t>
      </w:r>
    </w:p>
    <w:p w14:paraId="3F76B23D" w14:textId="77777777" w:rsidR="00EB57EF" w:rsidRDefault="00000000">
      <w:pPr>
        <w:spacing w:after="160"/>
      </w:pPr>
      <w:r>
        <w:rPr>
          <w:color w:val="555555"/>
          <w:sz w:val="24"/>
          <w:szCs w:val="24"/>
        </w:rPr>
        <w:t>CKM Data Readiness Infrastructure Pilot</w:t>
      </w:r>
    </w:p>
    <w:p w14:paraId="47A09B09" w14:textId="77777777" w:rsidR="00EB57EF" w:rsidRDefault="00EB57EF">
      <w:pPr>
        <w:spacing w:after="80"/>
      </w:pPr>
    </w:p>
    <w:p w14:paraId="7768900B" w14:textId="77777777" w:rsidR="00EB57EF" w:rsidRDefault="00000000">
      <w:pPr>
        <w:pStyle w:val="Heading2"/>
      </w:pPr>
      <w:r>
        <w:t>Purpose</w:t>
      </w:r>
    </w:p>
    <w:p w14:paraId="016AE5CB" w14:textId="77777777" w:rsidR="00EB57EF" w:rsidRDefault="00000000">
      <w:pPr>
        <w:spacing w:after="100"/>
      </w:pPr>
      <w:r>
        <w:t>The CKM Data Readiness methodology evaluates whether available clinical data is fit for purpose for specific operational programs. Rather than producing abstract data quality metrics, it answers a concrete operational question: can a given site run a specific clinical program with its current data — and if not, what needs to change?</w:t>
      </w:r>
    </w:p>
    <w:p w14:paraId="7CFE5085" w14:textId="77777777" w:rsidR="00EB57EF" w:rsidRDefault="00000000">
      <w:pPr>
        <w:spacing w:after="100"/>
      </w:pPr>
      <w:r>
        <w:t>This document provides the narrative architecture and worked examples for the methodology. The canonical object model — Variable, Condition Module, and Use Case Specification — is defined in the Architecture Specification (v1.2, April 2026), which is the authoritative reference for implementation and clinical collaboration.</w:t>
      </w:r>
    </w:p>
    <w:p w14:paraId="4363EBDD" w14:textId="77777777" w:rsidR="00EB57EF" w:rsidRDefault="00EB57EF">
      <w:pPr>
        <w:spacing w:after="80"/>
      </w:pPr>
    </w:p>
    <w:p w14:paraId="6B5C51BA" w14:textId="77777777" w:rsidR="00EB57EF" w:rsidRDefault="00000000">
      <w:pPr>
        <w:spacing w:after="100"/>
      </w:pPr>
      <w:r>
        <w:t>The methodology is structured around three stages: evaluating each clinical variable, assessing whether the full set of variables required by a use case is ready, and generating targeted remediation guidance when it is not.</w:t>
      </w:r>
    </w:p>
    <w:p w14:paraId="4FB8419C" w14:textId="77777777" w:rsidR="00EB57EF" w:rsidRDefault="00EB57EF">
      <w:pPr>
        <w:spacing w:after="80"/>
      </w:pPr>
    </w:p>
    <w:p w14:paraId="6AB9CCDE" w14:textId="77777777" w:rsidR="00EB57EF" w:rsidRDefault="00000000">
      <w:pPr>
        <w:pStyle w:val="Heading2"/>
      </w:pPr>
      <w:r>
        <w:t>Core Model</w:t>
      </w:r>
    </w:p>
    <w:p w14:paraId="74F560A0"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EB57EF" w14:paraId="2943FA76" w14:textId="77777777">
        <w:tblPrEx>
          <w:tblCellMar>
            <w:top w:w="0" w:type="dxa"/>
            <w:bottom w:w="0" w:type="dxa"/>
          </w:tblCellMar>
        </w:tblPrEx>
        <w:tc>
          <w:tcPr>
            <w:tcW w:w="3000" w:type="dxa"/>
            <w:tcBorders>
              <w:top w:val="single" w:sz="4" w:space="0" w:color="2E5F9E"/>
              <w:left w:val="single" w:sz="4" w:space="0" w:color="2E5F9E"/>
              <w:bottom w:val="none" w:sz="0" w:space="0" w:color="2E5F9E"/>
              <w:right w:val="single" w:sz="4" w:space="0" w:color="2E5F9E"/>
            </w:tcBorders>
            <w:shd w:val="clear" w:color="auto" w:fill="2E5F9E"/>
            <w:tcMar>
              <w:top w:w="100" w:type="dxa"/>
              <w:left w:w="140" w:type="dxa"/>
              <w:bottom w:w="80" w:type="dxa"/>
              <w:right w:w="140" w:type="dxa"/>
            </w:tcMar>
          </w:tcPr>
          <w:p w14:paraId="0488BD42" w14:textId="77777777" w:rsidR="00EB57EF" w:rsidRDefault="00000000">
            <w:r>
              <w:rPr>
                <w:b/>
                <w:bCs/>
                <w:color w:val="FFFFFF"/>
                <w:sz w:val="20"/>
                <w:szCs w:val="20"/>
              </w:rPr>
              <w:t>1. Variable-Level Evaluation</w:t>
            </w:r>
          </w:p>
        </w:tc>
        <w:tc>
          <w:tcPr>
            <w:tcW w:w="3000" w:type="dxa"/>
            <w:tcBorders>
              <w:top w:val="single" w:sz="4" w:space="0" w:color="2A7A6F"/>
              <w:left w:val="single" w:sz="4" w:space="0" w:color="2A7A6F"/>
              <w:bottom w:val="none" w:sz="0" w:space="0" w:color="2A7A6F"/>
              <w:right w:val="single" w:sz="4" w:space="0" w:color="2A7A6F"/>
            </w:tcBorders>
            <w:shd w:val="clear" w:color="auto" w:fill="2A7A6F"/>
            <w:tcMar>
              <w:top w:w="100" w:type="dxa"/>
              <w:left w:w="140" w:type="dxa"/>
              <w:bottom w:w="80" w:type="dxa"/>
              <w:right w:w="140" w:type="dxa"/>
            </w:tcMar>
          </w:tcPr>
          <w:p w14:paraId="0CD14C72" w14:textId="77777777" w:rsidR="00EB57EF" w:rsidRDefault="00000000">
            <w:r>
              <w:rPr>
                <w:b/>
                <w:bCs/>
                <w:color w:val="FFFFFF"/>
                <w:sz w:val="20"/>
                <w:szCs w:val="20"/>
              </w:rPr>
              <w:t>2. Use-Case Evaluation</w:t>
            </w:r>
          </w:p>
        </w:tc>
        <w:tc>
          <w:tcPr>
            <w:tcW w:w="3360" w:type="dxa"/>
            <w:tcBorders>
              <w:top w:val="single" w:sz="4" w:space="0" w:color="6A4CA0"/>
              <w:left w:val="single" w:sz="4" w:space="0" w:color="6A4CA0"/>
              <w:bottom w:val="none" w:sz="0" w:space="0" w:color="6A4CA0"/>
              <w:right w:val="single" w:sz="4" w:space="0" w:color="6A4CA0"/>
            </w:tcBorders>
            <w:shd w:val="clear" w:color="auto" w:fill="6A4CA0"/>
            <w:tcMar>
              <w:top w:w="100" w:type="dxa"/>
              <w:left w:w="140" w:type="dxa"/>
              <w:bottom w:w="80" w:type="dxa"/>
              <w:right w:w="140" w:type="dxa"/>
            </w:tcMar>
          </w:tcPr>
          <w:p w14:paraId="546E5F1F" w14:textId="77777777" w:rsidR="00EB57EF" w:rsidRDefault="00000000">
            <w:r>
              <w:rPr>
                <w:b/>
                <w:bCs/>
                <w:color w:val="FFFFFF"/>
                <w:sz w:val="20"/>
                <w:szCs w:val="20"/>
              </w:rPr>
              <w:t>3. Remediation and Iteration</w:t>
            </w:r>
          </w:p>
        </w:tc>
      </w:tr>
      <w:tr w:rsidR="00EB57EF" w14:paraId="6F9C7765" w14:textId="77777777">
        <w:tblPrEx>
          <w:tblCellMar>
            <w:top w:w="0" w:type="dxa"/>
            <w:bottom w:w="0" w:type="dxa"/>
          </w:tblCellMar>
        </w:tblPrEx>
        <w:tc>
          <w:tcPr>
            <w:tcW w:w="3000" w:type="dxa"/>
            <w:tcBorders>
              <w:top w:val="none" w:sz="0" w:space="0" w:color="2E5F9E"/>
              <w:left w:val="single" w:sz="4" w:space="0" w:color="2E5F9E"/>
              <w:bottom w:val="single" w:sz="4" w:space="0" w:color="2E5F9E"/>
              <w:right w:val="single" w:sz="4" w:space="0" w:color="2E5F9E"/>
            </w:tcBorders>
            <w:shd w:val="clear" w:color="auto" w:fill="EEF4FB"/>
            <w:tcMar>
              <w:top w:w="80" w:type="dxa"/>
              <w:left w:w="140" w:type="dxa"/>
              <w:bottom w:w="100" w:type="dxa"/>
              <w:right w:w="140" w:type="dxa"/>
            </w:tcMar>
          </w:tcPr>
          <w:p w14:paraId="2FEC3E4F" w14:textId="77777777" w:rsidR="00EB57EF" w:rsidRDefault="00000000">
            <w:pPr>
              <w:spacing w:after="50"/>
              <w:ind w:left="160" w:hanging="160"/>
            </w:pPr>
            <w:r>
              <w:rPr>
                <w:color w:val="333333"/>
                <w:sz w:val="19"/>
                <w:szCs w:val="19"/>
              </w:rPr>
              <w:t>•  Technical: ingestion, mapping, identity resolution</w:t>
            </w:r>
          </w:p>
          <w:p w14:paraId="151F3471" w14:textId="77777777" w:rsidR="00EB57EF" w:rsidRDefault="00000000">
            <w:pPr>
              <w:spacing w:after="50"/>
              <w:ind w:left="160" w:hanging="160"/>
            </w:pPr>
            <w:r>
              <w:rPr>
                <w:color w:val="333333"/>
                <w:sz w:val="19"/>
                <w:szCs w:val="19"/>
              </w:rPr>
              <w:t>•  Readiness (plausibility, temporal consistency, concordance)</w:t>
            </w:r>
          </w:p>
        </w:tc>
        <w:tc>
          <w:tcPr>
            <w:tcW w:w="3000" w:type="dxa"/>
            <w:tcBorders>
              <w:top w:val="none" w:sz="0" w:space="0" w:color="2A7A6F"/>
              <w:left w:val="single" w:sz="4" w:space="0" w:color="2A7A6F"/>
              <w:bottom w:val="single" w:sz="4" w:space="0" w:color="2A7A6F"/>
              <w:right w:val="single" w:sz="4" w:space="0" w:color="2A7A6F"/>
            </w:tcBorders>
            <w:shd w:val="clear" w:color="auto" w:fill="EAF4F1"/>
            <w:tcMar>
              <w:top w:w="80" w:type="dxa"/>
              <w:left w:w="140" w:type="dxa"/>
              <w:bottom w:w="100" w:type="dxa"/>
              <w:right w:w="140" w:type="dxa"/>
            </w:tcMar>
          </w:tcPr>
          <w:p w14:paraId="692BA16C" w14:textId="77777777" w:rsidR="00EB57EF" w:rsidRDefault="00000000">
            <w:pPr>
              <w:spacing w:after="50"/>
              <w:ind w:left="160" w:hanging="160"/>
            </w:pPr>
            <w:r>
              <w:rPr>
                <w:color w:val="333333"/>
                <w:sz w:val="19"/>
                <w:szCs w:val="19"/>
              </w:rPr>
              <w:t>•  Fit-for-purpose computed across required variables</w:t>
            </w:r>
          </w:p>
          <w:p w14:paraId="49DCAC49" w14:textId="77777777" w:rsidR="00EB57EF" w:rsidRDefault="00000000">
            <w:pPr>
              <w:spacing w:after="50"/>
              <w:ind w:left="160" w:hanging="160"/>
            </w:pPr>
            <w:r>
              <w:rPr>
                <w:color w:val="333333"/>
                <w:sz w:val="19"/>
                <w:szCs w:val="19"/>
              </w:rPr>
              <w:t>•  Use case blocked if one or more critical variables are not ready</w:t>
            </w:r>
          </w:p>
        </w:tc>
        <w:tc>
          <w:tcPr>
            <w:tcW w:w="3360" w:type="dxa"/>
            <w:tcBorders>
              <w:top w:val="none" w:sz="0" w:space="0" w:color="6A4CA0"/>
              <w:left w:val="single" w:sz="4" w:space="0" w:color="6A4CA0"/>
              <w:bottom w:val="single" w:sz="4" w:space="0" w:color="6A4CA0"/>
              <w:right w:val="single" w:sz="4" w:space="0" w:color="6A4CA0"/>
            </w:tcBorders>
            <w:shd w:val="clear" w:color="auto" w:fill="F3EEF8"/>
            <w:tcMar>
              <w:top w:w="80" w:type="dxa"/>
              <w:left w:w="140" w:type="dxa"/>
              <w:bottom w:w="100" w:type="dxa"/>
              <w:right w:w="140" w:type="dxa"/>
            </w:tcMar>
          </w:tcPr>
          <w:p w14:paraId="31CA569F" w14:textId="77777777" w:rsidR="00EB57EF" w:rsidRDefault="00000000">
            <w:pPr>
              <w:spacing w:after="50"/>
              <w:ind w:left="160" w:hanging="160"/>
            </w:pPr>
            <w:r>
              <w:rPr>
                <w:color w:val="333333"/>
                <w:sz w:val="19"/>
                <w:szCs w:val="19"/>
              </w:rPr>
              <w:t>•  Scoring identifies specific blockers</w:t>
            </w:r>
          </w:p>
          <w:p w14:paraId="3A69CD08" w14:textId="77777777" w:rsidR="00EB57EF" w:rsidRDefault="00000000">
            <w:pPr>
              <w:spacing w:after="50"/>
              <w:ind w:left="160" w:hanging="160"/>
            </w:pPr>
            <w:r>
              <w:rPr>
                <w:color w:val="333333"/>
                <w:sz w:val="19"/>
                <w:szCs w:val="19"/>
              </w:rPr>
              <w:t>•  Remediation targets variables or pipeline steps</w:t>
            </w:r>
          </w:p>
          <w:p w14:paraId="07EB7963" w14:textId="77777777" w:rsidR="00EB57EF" w:rsidRDefault="00000000">
            <w:pPr>
              <w:spacing w:after="50"/>
              <w:ind w:left="160" w:hanging="160"/>
            </w:pPr>
            <w:r>
              <w:rPr>
                <w:color w:val="333333"/>
                <w:sz w:val="19"/>
                <w:szCs w:val="19"/>
              </w:rPr>
              <w:t>•  Capability unlocked after re-scoring</w:t>
            </w:r>
          </w:p>
        </w:tc>
      </w:tr>
    </w:tbl>
    <w:p w14:paraId="609D52E1" w14:textId="77777777" w:rsidR="00EB57EF" w:rsidRDefault="00EB57EF">
      <w:pPr>
        <w:spacing w:after="80"/>
      </w:pPr>
    </w:p>
    <w:p w14:paraId="0E815EE1" w14:textId="77777777" w:rsidR="00EB57EF" w:rsidRDefault="00000000">
      <w:pPr>
        <w:spacing w:after="100"/>
      </w:pPr>
      <w:r>
        <w:t>Note: The technical pipeline (ingestion, harmonization, identity resolution) is a precondition for variable-level evaluation. Depending on regional infrastructure maturity, some pipeline steps may already be in place at the regional aggregation node. Oros modules are deployed only where gaps exist.</w:t>
      </w:r>
    </w:p>
    <w:p w14:paraId="142188C0" w14:textId="77777777" w:rsidR="00EB57EF" w:rsidRDefault="00EB57EF">
      <w:pPr>
        <w:spacing w:after="80"/>
      </w:pPr>
    </w:p>
    <w:p w14:paraId="6587EB44" w14:textId="77777777" w:rsidR="00EB57EF" w:rsidRDefault="00EB57EF">
      <w:pPr>
        <w:pBdr>
          <w:bottom w:val="single" w:sz="4" w:space="1" w:color="D0DCE8"/>
        </w:pBdr>
        <w:spacing w:before="120" w:after="120"/>
      </w:pPr>
    </w:p>
    <w:p w14:paraId="2A596E6A" w14:textId="77777777" w:rsidR="00EB57EF" w:rsidRDefault="00000000">
      <w:pPr>
        <w:pStyle w:val="Heading2"/>
      </w:pPr>
      <w:r>
        <w:t>Object Model</w:t>
      </w:r>
    </w:p>
    <w:p w14:paraId="43EDA2C3" w14:textId="77777777" w:rsidR="00EB57EF" w:rsidRDefault="00000000">
      <w:pPr>
        <w:spacing w:after="100"/>
      </w:pPr>
      <w:r>
        <w:t>The three stages of the methodology are implemented through three objects. The full object model is defined in the Architecture Specification (v1.2, April 2026). A brief summary follows for reference.</w:t>
      </w:r>
    </w:p>
    <w:p w14:paraId="0E89ECE8" w14:textId="77777777" w:rsidR="00EB57EF" w:rsidRDefault="00000000">
      <w:pPr>
        <w:spacing w:after="100"/>
      </w:pPr>
      <w:r>
        <w:rPr>
          <w:b/>
        </w:rPr>
        <w:t>Variable Library</w:t>
      </w:r>
      <w:r>
        <w:t xml:space="preserve"> — a shared, reusable library of clinical data elements defined independently of any condition or use case. Each variable carries its code sets, implementation logic (how to extract it from raw data), data sources, and default data quality checks that apply regardless of use case. Variables are defined once and referenced by any condition that needs them. </w:t>
        <w:lastRenderedPageBreak/>
        <w:t>Smoking status, for example, is defined once and used by diabetes, hypertension, and any future condition.</w:t>
      </w:r>
    </w:p>
    <w:p w14:paraId="5C52407E" w14:textId="77777777" w:rsidR="00EB57EF" w:rsidRDefault="00000000">
      <w:pPr>
        <w:spacing w:after="100"/>
      </w:pPr>
      <w:r>
        <w:rPr>
          <w:b/>
        </w:rPr>
        <w:t>Condition Module</w:t>
      </w:r>
      <w:r>
        <w:t xml:space="preserve"> — the organizing layer for a clinical condition. It references the relevant variables from the shared library and scopes the use cases supported. It does not own execution logic. It is implemented as a config file in the repository and is the governance artifact reviewed before a condition is incorporated into the platform. It is also the fundable deliverable that condition-specific contributors and funders can point to.</w:t>
      </w:r>
    </w:p>
    <w:p w14:paraId="5A811529" w14:textId="77777777" w:rsidR="00EB57EF" w:rsidRDefault="00000000">
      <w:pPr>
        <w:spacing w:after="100"/>
      </w:pPr>
      <w:r>
        <w:rPr>
          <w:b/>
        </w:rPr>
        <w:t>Use Case Specification</w:t>
      </w:r>
      <w:r>
        <w:t xml:space="preserve"> — the core operational object and the unit of execution in the system. All readiness evaluation, blocking logic, and output generation occur at this level. Each Use Case Specification defines: the population eligible for this use case (denominator rules, inclusion/exclusion criteria), which variables are required or optional, how each variable is applied (thresholds, recency, completeness), how variables combine into outputs (computation logic), and what the use case produces. This is the fit-for-purpose layer.</w:t>
      </w:r>
    </w:p>
    <w:p w14:paraId="2515BB9C" w14:textId="77777777" w:rsidR="00EB57EF" w:rsidRDefault="00000000">
      <w:pPr>
        <w:spacing w:after="100"/>
      </w:pPr>
      <w:r>
        <w:t>Two-level logic separation: variable implementation logic (how to extract the variable from raw data) lives in the Variable definition. Use-case computation logic (how variables combine and what thresholds apply for a specific use case) lives in the Use Case Specification. This keeps variables clean and reusable across all conditions and ensures use-case-specific requirements do not fragment shared definitions.</w:t>
      </w:r>
    </w:p>
    <w:p w14:paraId="4DCB10DC" w14:textId="77777777" w:rsidR="00EB57EF" w:rsidRDefault="00EB57EF">
      <w:pPr>
        <w:spacing w:after="80"/>
      </w:pPr>
    </w:p>
    <w:p w14:paraId="0252A2D0" w14:textId="77777777" w:rsidR="00EB57EF" w:rsidRDefault="00EB57EF">
      <w:pPr>
        <w:pBdr>
          <w:bottom w:val="single" w:sz="4" w:space="1" w:color="D0DCE8"/>
        </w:pBdr>
        <w:spacing w:before="120" w:after="120"/>
      </w:pPr>
    </w:p>
    <w:p w14:paraId="373CC5B4" w14:textId="77777777" w:rsidR="00EB57EF" w:rsidRDefault="00000000">
      <w:pPr>
        <w:pStyle w:val="Heading2"/>
      </w:pPr>
      <w:r>
        <w:t>1. Variable-Level Evaluation</w:t>
      </w:r>
    </w:p>
    <w:p w14:paraId="31795074" w14:textId="77777777" w:rsidR="00EB57EF" w:rsidRDefault="00000000">
      <w:pPr>
        <w:spacing w:after="100"/>
      </w:pPr>
      <w:r>
        <w:t>Each clinical variable relevant to a use case is evaluated independently across two dimensions before use-case fitness is assessed.</w:t>
      </w:r>
    </w:p>
    <w:p w14:paraId="16103641" w14:textId="77777777" w:rsidR="00EB57EF" w:rsidRDefault="00EB57EF">
      <w:pPr>
        <w:spacing w:after="80"/>
      </w:pPr>
    </w:p>
    <w:p w14:paraId="06FE135D" w14:textId="77777777" w:rsidR="00EB57EF" w:rsidRDefault="00000000">
      <w:pPr>
        <w:pStyle w:val="Heading3"/>
      </w:pPr>
      <w:r>
        <w:t>Technical Evaluation</w:t>
      </w:r>
    </w:p>
    <w:p w14:paraId="5C398FA8" w14:textId="77777777" w:rsidR="00EB57EF" w:rsidRDefault="00000000">
      <w:pPr>
        <w:spacing w:after="100"/>
      </w:pPr>
      <w:r>
        <w:t>Technical evaluation determines whether the variable's data has been correctly ingested, mapped, and linked to patients. Key checks include:</w:t>
      </w:r>
    </w:p>
    <w:p w14:paraId="2748F4B4" w14:textId="77777777" w:rsidR="00EB57EF" w:rsidRDefault="00000000">
      <w:pPr>
        <w:pStyle w:val="ListParagraph"/>
        <w:numPr>
          <w:ilvl w:val="0"/>
          <w:numId w:val="2"/>
        </w:numPr>
      </w:pPr>
      <w:r>
        <w:t>Ingestion — is data arriving reliably from the source (EHR, device, lab)?</w:t>
      </w:r>
    </w:p>
    <w:p w14:paraId="34E05A9C" w14:textId="77777777" w:rsidR="00EB57EF" w:rsidRDefault="00000000">
      <w:pPr>
        <w:pStyle w:val="ListParagraph"/>
        <w:numPr>
          <w:ilvl w:val="0"/>
          <w:numId w:val="2"/>
        </w:numPr>
      </w:pPr>
      <w:r>
        <w:t>Mapping — are values mapped to standard terminology (e.g., LOINC, SNOMED)?</w:t>
      </w:r>
    </w:p>
    <w:p w14:paraId="1E00D583" w14:textId="77777777" w:rsidR="00EB57EF" w:rsidRDefault="00000000">
      <w:pPr>
        <w:pStyle w:val="ListParagraph"/>
        <w:numPr>
          <w:ilvl w:val="0"/>
          <w:numId w:val="2"/>
        </w:numPr>
      </w:pPr>
      <w:r>
        <w:t>Identity resolution — can records be reliably linked to the correct patient across sources?</w:t>
      </w:r>
    </w:p>
    <w:p w14:paraId="210BB6F8" w14:textId="77777777" w:rsidR="00EB57EF" w:rsidRDefault="00000000">
      <w:pPr>
        <w:pStyle w:val="ListParagraph"/>
        <w:numPr>
          <w:ilvl w:val="0"/>
          <w:numId w:val="2"/>
        </w:numPr>
      </w:pPr>
      <w:r>
        <w:t>Stability — is data consistent across repeated submissions over time?</w:t>
      </w:r>
    </w:p>
    <w:p w14:paraId="5976FA4B" w14:textId="77777777" w:rsidR="00EB57EF" w:rsidRDefault="00EB57EF">
      <w:pPr>
        <w:spacing w:after="80"/>
      </w:pPr>
    </w:p>
    <w:p w14:paraId="446D03E9" w14:textId="77777777" w:rsidR="00EB57EF" w:rsidRDefault="00000000">
      <w:pPr>
        <w:pStyle w:val="Heading3"/>
      </w:pPr>
      <w:r>
        <w:t>Readiness Evaluation</w:t>
      </w:r>
    </w:p>
    <w:p w14:paraId="253BD45E" w14:textId="77777777" w:rsidR="00EB57EF" w:rsidRDefault="00000000">
      <w:pPr>
        <w:spacing w:after="100"/>
      </w:pPr>
      <w:r>
        <w:t>Readiness evaluation determines whether the variable's values are clinically usable. Key checks include:</w:t>
      </w:r>
    </w:p>
    <w:p w14:paraId="034EE202" w14:textId="77777777" w:rsidR="00EB57EF" w:rsidRDefault="00000000">
      <w:pPr>
        <w:pStyle w:val="ListParagraph"/>
        <w:numPr>
          <w:ilvl w:val="0"/>
          <w:numId w:val="3"/>
        </w:numPr>
      </w:pPr>
      <w:r>
        <w:t>Plausibility — do values fall within expected clinical ranges?</w:t>
      </w:r>
    </w:p>
    <w:p w14:paraId="044121A0" w14:textId="77777777" w:rsidR="00EB57EF" w:rsidRDefault="00000000">
      <w:pPr>
        <w:pStyle w:val="ListParagraph"/>
        <w:numPr>
          <w:ilvl w:val="0"/>
          <w:numId w:val="3"/>
        </w:numPr>
      </w:pPr>
      <w:r>
        <w:t>Temporal consistency — is coverage sufficient and are gaps acceptable for the intended use?</w:t>
      </w:r>
    </w:p>
    <w:p w14:paraId="51B3A1C3" w14:textId="77777777" w:rsidR="00EB57EF" w:rsidRDefault="00000000">
      <w:pPr>
        <w:pStyle w:val="ListParagraph"/>
        <w:numPr>
          <w:ilvl w:val="0"/>
          <w:numId w:val="3"/>
        </w:numPr>
      </w:pPr>
      <w:r>
        <w:t>Concordance — do dates and values align coherently across related records?</w:t>
      </w:r>
    </w:p>
    <w:p w14:paraId="73518DE0" w14:textId="77777777" w:rsidR="00EB57EF" w:rsidRDefault="00EB57EF">
      <w:pPr>
        <w:spacing w:after="80"/>
      </w:pPr>
    </w:p>
    <w:p w14:paraId="1ABCACFC" w14:textId="77777777" w:rsidR="00EB57EF" w:rsidRDefault="00000000">
      <w:pPr>
        <w:spacing w:after="100"/>
      </w:pPr>
      <w:r>
        <w:t>Each dimension produces a score (Technical score, Readiness score) and a set of flagged issues. These scores are inputs to use-case evaluation — they do not determine fitness independently.</w:t>
      </w:r>
    </w:p>
    <w:p w14:paraId="5344F485" w14:textId="77777777" w:rsidR="00EB57EF" w:rsidRDefault="00EB57EF">
      <w:pPr>
        <w:spacing w:after="80"/>
      </w:pPr>
    </w:p>
    <w:p w14:paraId="17657C45" w14:textId="77777777" w:rsidR="00EB57EF" w:rsidRDefault="00EB57EF">
      <w:pPr>
        <w:pBdr>
          <w:bottom w:val="single" w:sz="4" w:space="1" w:color="D0DCE8"/>
        </w:pBdr>
        <w:spacing w:before="120" w:after="120"/>
      </w:pPr>
    </w:p>
    <w:p w14:paraId="2B5D1066" w14:textId="77777777" w:rsidR="00EB57EF" w:rsidRDefault="00000000">
      <w:pPr>
        <w:pStyle w:val="Heading2"/>
      </w:pPr>
      <w:r>
        <w:t>2. Use-Case Evaluation — Fit-for-Purpose</w:t>
      </w:r>
    </w:p>
    <w:p w14:paraId="2C4AEEC6" w14:textId="77777777" w:rsidR="00EB57EF" w:rsidRDefault="00000000">
      <w:pPr>
        <w:spacing w:after="100"/>
      </w:pPr>
      <w:r>
        <w:t>Fit-for-purpose is computed at the use-case level, not the variable level. Each Use Case Specification defines a required set of variables, the population eligible for evaluation, and a minimum readiness threshold for each variable. The use case is ready only when all critical variables meet their thresholds for patients who meet the population definition.</w:t>
      </w:r>
    </w:p>
    <w:p w14:paraId="51B6F3FA" w14:textId="77777777" w:rsidR="00EB57EF" w:rsidRDefault="00000000">
      <w:pPr>
        <w:spacing w:after="100"/>
      </w:pPr>
      <w:r>
        <w:t>Population Definition is the entry gate to every use case. It captures the eligibility and denominator rules that determine which patients are included in evaluation for that use case — for example, minimum encounter requirements, active diagnosis criteria, reporting period constraints, and inclusion/exclusion criteria. Population Definition is distinct from variable-level data quality checks: a patient may have high-quality BP data but still not qualify for a hypertension reporting use case if they do not meet denominator criteria.</w:t>
      </w:r>
    </w:p>
    <w:p w14:paraId="72BA93AF" w14:textId="77777777" w:rsidR="00EB57EF" w:rsidRDefault="00EB57EF">
      <w:pPr>
        <w:spacing w:after="80"/>
      </w:pPr>
    </w:p>
    <w:p w14:paraId="7AC0A6EB" w14:textId="77777777" w:rsidR="00EB57EF" w:rsidRDefault="00000000">
      <w:pPr>
        <w:spacing w:after="100"/>
      </w:pPr>
      <w:r>
        <w:t>The three operational contexts evaluated in the pilot are:</w:t>
      </w:r>
    </w:p>
    <w:p w14:paraId="4BD0796F" w14:textId="77777777" w:rsidR="00EB57EF" w:rsidRDefault="00000000">
      <w:pPr>
        <w:pStyle w:val="ListParagraph"/>
        <w:numPr>
          <w:ilvl w:val="0"/>
          <w:numId w:val="4"/>
        </w:numPr>
      </w:pPr>
      <w:r>
        <w:t>Risk Stratification — identify patients at elevated clinical risk using available data streams</w:t>
      </w:r>
    </w:p>
    <w:p w14:paraId="17CF7F1A" w14:textId="77777777" w:rsidR="00EB57EF" w:rsidRDefault="00000000">
      <w:pPr>
        <w:pStyle w:val="ListParagraph"/>
        <w:numPr>
          <w:ilvl w:val="0"/>
          <w:numId w:val="4"/>
        </w:numPr>
      </w:pPr>
      <w:r>
        <w:t>Care Coordination — support proactive outreach, medication review, and specialist escalation</w:t>
      </w:r>
    </w:p>
    <w:p w14:paraId="0E4BD1E1" w14:textId="77777777" w:rsidR="00EB57EF" w:rsidRDefault="00000000">
      <w:pPr>
        <w:pStyle w:val="ListParagraph"/>
        <w:numPr>
          <w:ilvl w:val="0"/>
          <w:numId w:val="4"/>
        </w:numPr>
      </w:pPr>
      <w:r>
        <w:t>Clinical Quality + VBC Reporting — produce reliable data for clinical quality and value-based care programs, including HEDIS, NCQA quality measures, quality improvement programs, and CMS and other VBC reporting requirements</w:t>
      </w:r>
    </w:p>
    <w:p w14:paraId="0DBF5884" w14:textId="77777777" w:rsidR="00EB57EF" w:rsidRDefault="00EB57EF">
      <w:pPr>
        <w:spacing w:after="80"/>
      </w:pPr>
    </w:p>
    <w:p w14:paraId="00B38724" w14:textId="77777777" w:rsidR="00EB57EF" w:rsidRDefault="00000000">
      <w:pPr>
        <w:spacing w:after="100"/>
      </w:pPr>
      <w:r>
        <w:t>For each use case, the methodology produces: a readiness status (Ready / Partially Ready / Not Ready), the specific variables that are blocking readiness, and the remediation steps that would unlock capability.</w:t>
      </w:r>
    </w:p>
    <w:p w14:paraId="025412A0" w14:textId="77777777" w:rsidR="00EB57EF" w:rsidRDefault="00EB57EF">
      <w:pPr>
        <w:spacing w:after="80"/>
      </w:pPr>
    </w:p>
    <w:p w14:paraId="6E5B2D7C" w14:textId="77777777" w:rsidR="00EB57EF" w:rsidRDefault="00EB57EF">
      <w:pPr>
        <w:pBdr>
          <w:bottom w:val="single" w:sz="4" w:space="1" w:color="D0DCE8"/>
        </w:pBdr>
        <w:spacing w:before="120" w:after="120"/>
      </w:pPr>
    </w:p>
    <w:p w14:paraId="3AECDD93" w14:textId="77777777" w:rsidR="00EB57EF" w:rsidRDefault="00000000">
      <w:pPr>
        <w:pStyle w:val="Heading2"/>
      </w:pPr>
      <w:r>
        <w:t>3. Worked Example — Blood Pressure and Hypertension Risk Stratification</w:t>
      </w:r>
    </w:p>
    <w:p w14:paraId="2BFD34BC" w14:textId="77777777" w:rsidR="00EB57EF" w:rsidRDefault="00000000">
      <w:pPr>
        <w:spacing w:after="80"/>
      </w:pPr>
      <w:r>
        <w:rPr>
          <w:i/>
        </w:rPr>
        <w:t>Note: This Blood Pressure / Hypertension example illustrates the methodology and remains valid as a worked example. The June 25 demo leads with the Diabetes / CGM worked example in Section 5, consistent with the Diabetes-first demonstration scope (see June 25 POC Scope Lock).</w:t>
      </w:r>
    </w:p>
    <w:p w14:paraId="2BDCCC17" w14:textId="77777777" w:rsidR="00EB57EF" w:rsidRDefault="00000000">
      <w:pPr>
        <w:pStyle w:val="Heading3"/>
      </w:pPr>
      <w:r>
        <w:t>Variable: Blood Pressure (Systolic / Diastolic)</w:t>
      </w:r>
    </w:p>
    <w:p w14:paraId="508E663F"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2C2D006" w14:textId="77777777">
        <w:tblPrEx>
          <w:tblCellMar>
            <w:top w:w="0" w:type="dxa"/>
            <w:bottom w:w="0" w:type="dxa"/>
          </w:tblCellMar>
        </w:tblPrEx>
        <w:tc>
          <w:tcPr>
            <w:tcW w:w="9360" w:type="dxa"/>
            <w:tcBorders>
              <w:top w:val="single" w:sz="4" w:space="0" w:color="2C5282"/>
              <w:left w:val="single" w:sz="8" w:space="0" w:color="2C5282"/>
              <w:bottom w:val="single" w:sz="4" w:space="0" w:color="2C5282"/>
              <w:right w:val="single" w:sz="4" w:space="0" w:color="2C5282"/>
            </w:tcBorders>
            <w:shd w:val="clear" w:color="auto" w:fill="EEF2F8"/>
            <w:tcMar>
              <w:top w:w="120" w:type="dxa"/>
              <w:left w:w="200" w:type="dxa"/>
              <w:bottom w:w="120" w:type="dxa"/>
              <w:right w:w="200" w:type="dxa"/>
            </w:tcMar>
          </w:tcPr>
          <w:p w14:paraId="01F55B34" w14:textId="77777777" w:rsidR="00EB57EF" w:rsidRDefault="00000000">
            <w:pPr>
              <w:spacing w:after="60"/>
            </w:pPr>
            <w:r>
              <w:rPr>
                <w:b/>
                <w:bCs/>
                <w:color w:val="1F3864"/>
                <w:sz w:val="20"/>
                <w:szCs w:val="20"/>
              </w:rPr>
              <w:t>Technical Evaluation</w:t>
            </w:r>
          </w:p>
          <w:p w14:paraId="3CB884FA" w14:textId="77777777" w:rsidR="00EB57EF" w:rsidRDefault="00000000">
            <w:pPr>
              <w:spacing w:after="40"/>
              <w:ind w:left="160" w:hanging="160"/>
            </w:pPr>
            <w:r>
              <w:rPr>
                <w:color w:val="333333"/>
                <w:sz w:val="20"/>
                <w:szCs w:val="20"/>
              </w:rPr>
              <w:t>•  BP values are ingested from EHR and device feeds</w:t>
            </w:r>
          </w:p>
          <w:p w14:paraId="0DD22F4F" w14:textId="77777777" w:rsidR="00EB57EF" w:rsidRDefault="00000000">
            <w:pPr>
              <w:spacing w:after="40"/>
              <w:ind w:left="160" w:hanging="160"/>
            </w:pPr>
            <w:r>
              <w:rPr>
                <w:color w:val="333333"/>
                <w:sz w:val="20"/>
                <w:szCs w:val="20"/>
              </w:rPr>
              <w:t>•  Systolic and diastolic values are mapped to standard terminology (LOINC)</w:t>
            </w:r>
          </w:p>
          <w:p w14:paraId="536DB4ED" w14:textId="77777777" w:rsidR="00EB57EF" w:rsidRDefault="00000000">
            <w:pPr>
              <w:spacing w:after="40"/>
              <w:ind w:left="160" w:hanging="160"/>
            </w:pPr>
            <w:r>
              <w:rPr>
                <w:color w:val="333333"/>
                <w:sz w:val="20"/>
                <w:szCs w:val="20"/>
              </w:rPr>
              <w:t>•  Some records fail to link to the correct patient due to inconsistent identifiers across sources</w:t>
            </w:r>
          </w:p>
        </w:tc>
      </w:tr>
    </w:tbl>
    <w:p w14:paraId="76B34D8B"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2E0E63B3" w14:textId="77777777">
        <w:tblPrEx>
          <w:tblCellMar>
            <w:top w:w="0" w:type="dxa"/>
            <w:bottom w:w="0" w:type="dxa"/>
          </w:tblCellMar>
        </w:tblPrEx>
        <w:tc>
          <w:tcPr>
            <w:tcW w:w="9360" w:type="dxa"/>
            <w:tcBorders>
              <w:top w:val="single" w:sz="4" w:space="0" w:color="4A80B0"/>
              <w:left w:val="single" w:sz="8" w:space="0" w:color="4A80B0"/>
              <w:bottom w:val="single" w:sz="4" w:space="0" w:color="4A80B0"/>
              <w:right w:val="single" w:sz="4" w:space="0" w:color="4A80B0"/>
            </w:tcBorders>
            <w:shd w:val="clear" w:color="auto" w:fill="EBF4FB"/>
            <w:tcMar>
              <w:top w:w="120" w:type="dxa"/>
              <w:left w:w="200" w:type="dxa"/>
              <w:bottom w:w="120" w:type="dxa"/>
              <w:right w:w="200" w:type="dxa"/>
            </w:tcMar>
          </w:tcPr>
          <w:p w14:paraId="57B2C5C1" w14:textId="77777777" w:rsidR="00EB57EF" w:rsidRDefault="00000000">
            <w:pPr>
              <w:spacing w:after="60"/>
            </w:pPr>
            <w:r>
              <w:rPr>
                <w:b/>
                <w:bCs/>
                <w:color w:val="1F3864"/>
                <w:sz w:val="20"/>
                <w:szCs w:val="20"/>
              </w:rPr>
              <w:t>Readiness Evaluation</w:t>
            </w:r>
          </w:p>
          <w:p w14:paraId="00596B7D" w14:textId="77777777" w:rsidR="00EB57EF" w:rsidRDefault="00000000">
            <w:pPr>
              <w:spacing w:after="40"/>
              <w:ind w:left="160" w:hanging="160"/>
            </w:pPr>
            <w:r>
              <w:rPr>
                <w:color w:val="333333"/>
                <w:sz w:val="20"/>
                <w:szCs w:val="20"/>
              </w:rPr>
              <w:t>•  Most BP values fall within plausible clinical ranges</w:t>
            </w:r>
          </w:p>
          <w:p w14:paraId="017D3CE2" w14:textId="77777777" w:rsidR="00EB57EF" w:rsidRDefault="00000000">
            <w:pPr>
              <w:spacing w:after="40"/>
              <w:ind w:left="160" w:hanging="160"/>
            </w:pPr>
            <w:r>
              <w:rPr>
                <w:color w:val="333333"/>
                <w:sz w:val="20"/>
                <w:szCs w:val="20"/>
              </w:rPr>
              <w:t>•  Temporal coverage is inconsistent — large gaps between measurements for many patients</w:t>
            </w:r>
          </w:p>
          <w:p w14:paraId="3C954C7F" w14:textId="77777777" w:rsidR="00EB57EF" w:rsidRDefault="00000000">
            <w:pPr>
              <w:spacing w:after="40"/>
              <w:ind w:left="160" w:hanging="160"/>
            </w:pPr>
            <w:r>
              <w:rPr>
                <w:color w:val="333333"/>
                <w:sz w:val="20"/>
                <w:szCs w:val="20"/>
              </w:rPr>
              <w:t>•  Some timestamps are misaligned with encounter records</w:t>
            </w:r>
          </w:p>
          <w:p w14:paraId="46A4744C" w14:textId="77777777" w:rsidR="00EB57EF" w:rsidRDefault="00000000">
            <w:pPr>
              <w:spacing w:before="80"/>
            </w:pPr>
            <w:r>
              <w:rPr>
                <w:b/>
                <w:bCs/>
                <w:color w:val="1F3864"/>
                <w:sz w:val="20"/>
                <w:szCs w:val="20"/>
              </w:rPr>
              <w:t xml:space="preserve">Summary: </w:t>
            </w:r>
            <w:r>
              <w:rPr>
                <w:color w:val="333333"/>
                <w:sz w:val="20"/>
                <w:szCs w:val="20"/>
              </w:rPr>
              <w:t>Technical score: moderate (identity linkage issues). Readiness score: moderate (plausible values, insufficient temporal coverage).</w:t>
            </w:r>
          </w:p>
        </w:tc>
      </w:tr>
    </w:tbl>
    <w:p w14:paraId="79138691" w14:textId="77777777" w:rsidR="00EB57EF" w:rsidRDefault="00EB57EF">
      <w:pPr>
        <w:spacing w:after="80"/>
      </w:pPr>
    </w:p>
    <w:p w14:paraId="7D1E5FE2" w14:textId="77777777" w:rsidR="00EB57EF" w:rsidRDefault="00000000">
      <w:pPr>
        <w:pStyle w:val="Heading3"/>
      </w:pPr>
      <w:r>
        <w:lastRenderedPageBreak/>
        <w:t>Use Case: Hypertension Risk Stratification</w:t>
      </w:r>
    </w:p>
    <w:p w14:paraId="11516102" w14:textId="77777777" w:rsidR="00EB57EF" w:rsidRDefault="00000000">
      <w:pPr>
        <w:spacing w:after="100"/>
      </w:pPr>
      <w:r>
        <w:t>Objective: identify patients at risk of hypertension or likely undiagnosed hypertension using longitudinal clinical data.</w:t>
      </w:r>
    </w:p>
    <w:p w14:paraId="7A033F99" w14:textId="77777777" w:rsidR="00EB57EF" w:rsidRDefault="00EB57EF">
      <w:pPr>
        <w:spacing w:after="80"/>
      </w:pPr>
    </w:p>
    <w:p w14:paraId="69ABC16C" w14:textId="77777777" w:rsidR="00EB57EF" w:rsidRDefault="00000000">
      <w:pPr>
        <w:spacing w:after="100"/>
      </w:pPr>
      <w:r>
        <w:t>Required variables: Blood pressure (systolic/diastolic), Age, Sex, Smoking status, Medication data (antihypertensives), Diabetes status. Optional: cholesterol measures.</w:t>
      </w:r>
    </w:p>
    <w:p w14:paraId="7D283B33"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45BFA648" w14:textId="77777777">
        <w:tblPrEx>
          <w:tblCellMar>
            <w:top w:w="0" w:type="dxa"/>
            <w:bottom w:w="0" w:type="dxa"/>
          </w:tblCellMar>
        </w:tblPrEx>
        <w:tc>
          <w:tcPr>
            <w:tcW w:w="9360" w:type="dxa"/>
            <w:tcBorders>
              <w:top w:val="single" w:sz="4" w:space="0" w:color="C0392B"/>
              <w:left w:val="single" w:sz="8" w:space="0" w:color="C0392B"/>
              <w:bottom w:val="single" w:sz="4" w:space="0" w:color="C0392B"/>
              <w:right w:val="single" w:sz="4" w:space="0" w:color="C0392B"/>
            </w:tcBorders>
            <w:shd w:val="clear" w:color="auto" w:fill="FDE8E8"/>
            <w:tcMar>
              <w:top w:w="120" w:type="dxa"/>
              <w:left w:w="200" w:type="dxa"/>
              <w:bottom w:w="120" w:type="dxa"/>
              <w:right w:w="200" w:type="dxa"/>
            </w:tcMar>
          </w:tcPr>
          <w:p w14:paraId="0B74141C" w14:textId="77777777" w:rsidR="00EB57EF" w:rsidRDefault="00000000">
            <w:pPr>
              <w:spacing w:after="60"/>
            </w:pPr>
            <w:r>
              <w:rPr>
                <w:b/>
                <w:bCs/>
                <w:color w:val="1F3864"/>
                <w:sz w:val="20"/>
                <w:szCs w:val="20"/>
              </w:rPr>
              <w:t>Before Remediation</w:t>
            </w:r>
          </w:p>
          <w:p w14:paraId="7F341DF5" w14:textId="77777777" w:rsidR="00EB57EF" w:rsidRDefault="00000000">
            <w:pPr>
              <w:spacing w:after="40"/>
              <w:ind w:left="160" w:hanging="160"/>
            </w:pPr>
            <w:r>
              <w:rPr>
                <w:color w:val="333333"/>
                <w:sz w:val="20"/>
                <w:szCs w:val="20"/>
              </w:rPr>
              <w:t>•  BP data is incomplete and temporally sparse</w:t>
            </w:r>
          </w:p>
          <w:p w14:paraId="0D6E2B28" w14:textId="77777777" w:rsidR="00EB57EF" w:rsidRDefault="00000000">
            <w:pPr>
              <w:spacing w:after="40"/>
              <w:ind w:left="160" w:hanging="160"/>
            </w:pPr>
            <w:r>
              <w:rPr>
                <w:color w:val="333333"/>
                <w:sz w:val="20"/>
                <w:szCs w:val="20"/>
              </w:rPr>
              <w:t>•  Patient identity mismatches reduce longitudinal continuity</w:t>
            </w:r>
          </w:p>
          <w:p w14:paraId="567A4744" w14:textId="77777777" w:rsidR="00EB57EF" w:rsidRDefault="00000000">
            <w:pPr>
              <w:spacing w:after="40"/>
              <w:ind w:left="160" w:hanging="160"/>
            </w:pPr>
            <w:r>
              <w:rPr>
                <w:color w:val="333333"/>
                <w:sz w:val="20"/>
                <w:szCs w:val="20"/>
              </w:rPr>
              <w:t>•  Smoking status missing for a portion of patients</w:t>
            </w:r>
          </w:p>
          <w:p w14:paraId="2C0CDC36" w14:textId="77777777" w:rsidR="00EB57EF" w:rsidRDefault="00000000">
            <w:pPr>
              <w:spacing w:after="40"/>
              <w:ind w:left="160" w:hanging="160"/>
            </w:pPr>
            <w:r>
              <w:rPr>
                <w:color w:val="333333"/>
                <w:sz w:val="20"/>
                <w:szCs w:val="20"/>
              </w:rPr>
              <w:t>•  Blockers: insufficient BP coverage, identity linkage issues, missing key covariates</w:t>
            </w:r>
          </w:p>
          <w:p w14:paraId="0468DBA9" w14:textId="77777777" w:rsidR="00EB57EF" w:rsidRDefault="00000000">
            <w:pPr>
              <w:spacing w:before="80"/>
            </w:pPr>
            <w:r>
              <w:rPr>
                <w:b/>
                <w:bCs/>
                <w:color w:val="1F3864"/>
                <w:sz w:val="20"/>
                <w:szCs w:val="20"/>
              </w:rPr>
              <w:t xml:space="preserve">Result: </w:t>
            </w:r>
            <w:r>
              <w:rPr>
                <w:color w:val="333333"/>
                <w:sz w:val="20"/>
                <w:szCs w:val="20"/>
              </w:rPr>
              <w:t>Hypertension Risk Stratification — NOT READY</w:t>
            </w:r>
          </w:p>
        </w:tc>
      </w:tr>
    </w:tbl>
    <w:p w14:paraId="645AE15C"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00E93CDA" w14:textId="77777777">
        <w:tblPrEx>
          <w:tblCellMar>
            <w:top w:w="0" w:type="dxa"/>
            <w:bottom w:w="0" w:type="dxa"/>
          </w:tblCellMar>
        </w:tblPrEx>
        <w:tc>
          <w:tcPr>
            <w:tcW w:w="9360" w:type="dxa"/>
            <w:tcBorders>
              <w:top w:val="single" w:sz="4" w:space="0" w:color="C08020"/>
              <w:left w:val="single" w:sz="8" w:space="0" w:color="C08020"/>
              <w:bottom w:val="single" w:sz="4" w:space="0" w:color="C08020"/>
              <w:right w:val="single" w:sz="4" w:space="0" w:color="C08020"/>
            </w:tcBorders>
            <w:shd w:val="clear" w:color="auto" w:fill="FDF6E8"/>
            <w:tcMar>
              <w:top w:w="120" w:type="dxa"/>
              <w:left w:w="200" w:type="dxa"/>
              <w:bottom w:w="120" w:type="dxa"/>
              <w:right w:w="200" w:type="dxa"/>
            </w:tcMar>
          </w:tcPr>
          <w:p w14:paraId="0D847206" w14:textId="77777777" w:rsidR="00EB57EF" w:rsidRDefault="00000000">
            <w:pPr>
              <w:spacing w:after="60"/>
            </w:pPr>
            <w:r>
              <w:rPr>
                <w:b/>
                <w:bCs/>
                <w:color w:val="1F3864"/>
                <w:sz w:val="20"/>
                <w:szCs w:val="20"/>
              </w:rPr>
              <w:t>Remediation Actions</w:t>
            </w:r>
          </w:p>
          <w:p w14:paraId="2D16FD5D" w14:textId="77777777" w:rsidR="00EB57EF" w:rsidRDefault="00000000">
            <w:pPr>
              <w:spacing w:after="40"/>
              <w:ind w:left="160" w:hanging="160"/>
            </w:pPr>
            <w:r>
              <w:rPr>
                <w:color w:val="333333"/>
                <w:sz w:val="20"/>
                <w:szCs w:val="20"/>
              </w:rPr>
              <w:t>•  Improve patient identity matching across EHR and device sources</w:t>
            </w:r>
          </w:p>
          <w:p w14:paraId="6602A091" w14:textId="77777777" w:rsidR="00EB57EF" w:rsidRDefault="00000000">
            <w:pPr>
              <w:spacing w:after="40"/>
              <w:ind w:left="160" w:hanging="160"/>
            </w:pPr>
            <w:r>
              <w:rPr>
                <w:color w:val="333333"/>
                <w:sz w:val="20"/>
                <w:szCs w:val="20"/>
              </w:rPr>
              <w:t>•  Increase BP completeness by incorporating additional device feeds</w:t>
            </w:r>
          </w:p>
          <w:p w14:paraId="0DD6B4F8" w14:textId="77777777" w:rsidR="00EB57EF" w:rsidRDefault="00000000">
            <w:pPr>
              <w:spacing w:after="40"/>
              <w:ind w:left="160" w:hanging="160"/>
            </w:pPr>
            <w:r>
              <w:rPr>
                <w:color w:val="333333"/>
                <w:sz w:val="20"/>
                <w:szCs w:val="20"/>
              </w:rPr>
              <w:t>•  Address missing smoking status through supplemental data sources where available</w:t>
            </w:r>
          </w:p>
        </w:tc>
      </w:tr>
    </w:tbl>
    <w:p w14:paraId="0ED037DD"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7972DCE" w14:textId="77777777">
        <w:tblPrEx>
          <w:tblCellMar>
            <w:top w:w="0" w:type="dxa"/>
            <w:bottom w:w="0" w:type="dxa"/>
          </w:tblCellMar>
        </w:tblPrEx>
        <w:tc>
          <w:tcPr>
            <w:tcW w:w="9360" w:type="dxa"/>
            <w:tcBorders>
              <w:top w:val="single" w:sz="4" w:space="0" w:color="2A7A6F"/>
              <w:left w:val="single" w:sz="8" w:space="0" w:color="2A7A6F"/>
              <w:bottom w:val="single" w:sz="4" w:space="0" w:color="2A7A6F"/>
              <w:right w:val="single" w:sz="4" w:space="0" w:color="2A7A6F"/>
            </w:tcBorders>
            <w:shd w:val="clear" w:color="auto" w:fill="EAF4F1"/>
            <w:tcMar>
              <w:top w:w="120" w:type="dxa"/>
              <w:left w:w="200" w:type="dxa"/>
              <w:bottom w:w="120" w:type="dxa"/>
              <w:right w:w="200" w:type="dxa"/>
            </w:tcMar>
          </w:tcPr>
          <w:p w14:paraId="64FBC365" w14:textId="77777777" w:rsidR="00EB57EF" w:rsidRDefault="00000000">
            <w:pPr>
              <w:spacing w:after="60"/>
            </w:pPr>
            <w:r>
              <w:rPr>
                <w:b/>
                <w:bCs/>
                <w:color w:val="1F3864"/>
                <w:sz w:val="20"/>
                <w:szCs w:val="20"/>
              </w:rPr>
              <w:t>After Remediation</w:t>
            </w:r>
          </w:p>
          <w:p w14:paraId="2983E22E" w14:textId="77777777" w:rsidR="00EB57EF" w:rsidRDefault="00000000">
            <w:pPr>
              <w:spacing w:after="40"/>
              <w:ind w:left="160" w:hanging="160"/>
            </w:pPr>
            <w:r>
              <w:rPr>
                <w:color w:val="333333"/>
                <w:sz w:val="20"/>
                <w:szCs w:val="20"/>
              </w:rPr>
              <w:t>•  Improved patient-level longitudinal records</w:t>
            </w:r>
          </w:p>
          <w:p w14:paraId="4388D0D5" w14:textId="77777777" w:rsidR="00EB57EF" w:rsidRDefault="00000000">
            <w:pPr>
              <w:spacing w:after="40"/>
              <w:ind w:left="160" w:hanging="160"/>
            </w:pPr>
            <w:r>
              <w:rPr>
                <w:color w:val="333333"/>
                <w:sz w:val="20"/>
                <w:szCs w:val="20"/>
              </w:rPr>
              <w:t>•  Increased BP coverage and temporal density</w:t>
            </w:r>
          </w:p>
          <w:p w14:paraId="72C05836" w14:textId="77777777" w:rsidR="00EB57EF" w:rsidRDefault="00000000">
            <w:pPr>
              <w:spacing w:after="40"/>
              <w:ind w:left="160" w:hanging="160"/>
            </w:pPr>
            <w:r>
              <w:rPr>
                <w:color w:val="333333"/>
                <w:sz w:val="20"/>
                <w:szCs w:val="20"/>
              </w:rPr>
              <w:t>•  Partial recovery of missing covariates</w:t>
            </w:r>
          </w:p>
          <w:p w14:paraId="580511D7" w14:textId="77777777" w:rsidR="00EB57EF" w:rsidRDefault="00000000">
            <w:pPr>
              <w:spacing w:after="40"/>
              <w:ind w:left="160" w:hanging="160"/>
            </w:pPr>
            <w:r>
              <w:rPr>
                <w:color w:val="333333"/>
                <w:sz w:val="20"/>
                <w:szCs w:val="20"/>
              </w:rPr>
              <w:t>•  Capability unlocked: ability to run hypertension risk algorithms and identify high-risk or undiagnosed patients</w:t>
            </w:r>
          </w:p>
          <w:p w14:paraId="558A5978" w14:textId="77777777" w:rsidR="00EB57EF" w:rsidRDefault="00000000">
            <w:pPr>
              <w:spacing w:before="80"/>
            </w:pPr>
            <w:r>
              <w:rPr>
                <w:b/>
                <w:bCs/>
                <w:color w:val="1F3864"/>
                <w:sz w:val="20"/>
                <w:szCs w:val="20"/>
              </w:rPr>
              <w:t xml:space="preserve">Result: </w:t>
            </w:r>
            <w:r>
              <w:rPr>
                <w:color w:val="333333"/>
                <w:sz w:val="20"/>
                <w:szCs w:val="20"/>
              </w:rPr>
              <w:t>Hypertension Risk Stratification — PARTIALLY READY → READY (depending on site thresholds)</w:t>
            </w:r>
          </w:p>
        </w:tc>
      </w:tr>
    </w:tbl>
    <w:p w14:paraId="3DC5102D" w14:textId="77777777" w:rsidR="00EB57EF" w:rsidRDefault="00EB57EF">
      <w:pPr>
        <w:spacing w:after="80"/>
      </w:pPr>
    </w:p>
    <w:p w14:paraId="4C0A6E1B" w14:textId="77777777" w:rsidR="00EB57EF" w:rsidRDefault="00EB57EF">
      <w:pPr>
        <w:pBdr>
          <w:bottom w:val="single" w:sz="4" w:space="1" w:color="D0DCE8"/>
        </w:pBdr>
        <w:spacing w:before="120" w:after="120"/>
      </w:pPr>
    </w:p>
    <w:p w14:paraId="472EE0E4" w14:textId="77777777" w:rsidR="00EB57EF" w:rsidRDefault="00000000">
      <w:pPr>
        <w:pStyle w:val="Heading2"/>
      </w:pPr>
      <w:r>
        <w:t>4. Remediation and Iteration</w:t>
      </w:r>
    </w:p>
    <w:p w14:paraId="6C7677EC" w14:textId="77777777" w:rsidR="00EB57EF" w:rsidRDefault="00000000">
      <w:pPr>
        <w:spacing w:after="100"/>
      </w:pPr>
      <w:r>
        <w:t>The methodology is designed for iterative improvement, not one-time assessment. When a use case is blocked, the system generates targeted remediation guidance for the specific variables and checks that are failing.</w:t>
      </w:r>
    </w:p>
    <w:p w14:paraId="17E3848F" w14:textId="77777777" w:rsidR="00EB57EF" w:rsidRDefault="00EB57EF">
      <w:pPr>
        <w:spacing w:after="80"/>
      </w:pPr>
    </w:p>
    <w:p w14:paraId="0E61241D" w14:textId="77777777" w:rsidR="00EB57EF" w:rsidRDefault="00000000">
      <w:pPr>
        <w:spacing w:after="100"/>
      </w:pPr>
      <w:r>
        <w:t>For each identified gap, the methodology provides:</w:t>
      </w:r>
    </w:p>
    <w:p w14:paraId="3FB32EEC" w14:textId="77777777" w:rsidR="00EB57EF" w:rsidRDefault="00000000">
      <w:pPr>
        <w:pStyle w:val="ListParagraph"/>
        <w:numPr>
          <w:ilvl w:val="0"/>
          <w:numId w:val="5"/>
        </w:numPr>
      </w:pPr>
      <w:r>
        <w:t>The variable and check that is failing</w:t>
      </w:r>
    </w:p>
    <w:p w14:paraId="581BEB06" w14:textId="77777777" w:rsidR="00EB57EF" w:rsidRDefault="00000000">
      <w:pPr>
        <w:pStyle w:val="ListParagraph"/>
        <w:numPr>
          <w:ilvl w:val="0"/>
          <w:numId w:val="5"/>
        </w:numPr>
      </w:pPr>
      <w:r>
        <w:t>The likely root cause (transmission failure, source system issue, terminology mapping error, workflow gap)</w:t>
      </w:r>
    </w:p>
    <w:p w14:paraId="42143679" w14:textId="77777777" w:rsidR="00EB57EF" w:rsidRDefault="00000000">
      <w:pPr>
        <w:pStyle w:val="ListParagraph"/>
        <w:numPr>
          <w:ilvl w:val="0"/>
          <w:numId w:val="5"/>
        </w:numPr>
      </w:pPr>
      <w:r>
        <w:t>The responsible actor or system layer, as defined in the governance framework</w:t>
      </w:r>
    </w:p>
    <w:p w14:paraId="1C7A8C03" w14:textId="77777777" w:rsidR="00EB57EF" w:rsidRDefault="00000000">
      <w:pPr>
        <w:pStyle w:val="ListParagraph"/>
        <w:numPr>
          <w:ilvl w:val="0"/>
          <w:numId w:val="5"/>
        </w:numPr>
      </w:pPr>
      <w:r>
        <w:t>A suggested next remediation step</w:t>
      </w:r>
    </w:p>
    <w:p w14:paraId="245A1094" w14:textId="77777777" w:rsidR="00EB57EF" w:rsidRDefault="00EB57EF">
      <w:pPr>
        <w:spacing w:after="80"/>
      </w:pPr>
    </w:p>
    <w:p w14:paraId="2E3ACE2A" w14:textId="77777777" w:rsidR="00EB57EF" w:rsidRDefault="00000000">
      <w:pPr>
        <w:spacing w:after="100"/>
      </w:pPr>
      <w:r>
        <w:lastRenderedPageBreak/>
        <w:t>After remediation, variables are re-scored and use-case fitness is re-evaluated. The system tracks progress over time, showing which capabilities have been unlocked and what remains blocked.</w:t>
      </w:r>
    </w:p>
    <w:p w14:paraId="2103F747" w14:textId="77777777" w:rsidR="00EB57EF" w:rsidRDefault="00EB57EF">
      <w:pPr>
        <w:spacing w:after="80"/>
      </w:pPr>
    </w:p>
    <w:p w14:paraId="3032265A" w14:textId="77777777" w:rsidR="00EB57EF" w:rsidRDefault="00EB57EF">
      <w:pPr>
        <w:pBdr>
          <w:bottom w:val="single" w:sz="4" w:space="1" w:color="D0DCE8"/>
        </w:pBdr>
        <w:spacing w:before="120" w:after="120"/>
      </w:pPr>
    </w:p>
    <w:p w14:paraId="0EF61015" w14:textId="77777777" w:rsidR="00EB57EF" w:rsidRDefault="00000000">
      <w:pPr>
        <w:pStyle w:val="Heading2"/>
      </w:pPr>
      <w:r>
        <w:t>5. Extension: Device and Wearable Data</w:t>
      </w:r>
    </w:p>
    <w:p w14:paraId="10D3B0C0" w14:textId="77777777" w:rsidR="00EB57EF" w:rsidRDefault="00000000">
      <w:pPr>
        <w:spacing w:after="100"/>
      </w:pPr>
      <w:r>
        <w:t>Device-derived data — CGM readings, connected weight scales, home blood pressure monitors — follows the same variable-level and use-case evaluation model as EHR data. Device variables introduce additional readiness requirements specific to time series data: temporal density, cross-manufacturer consistency, and reproducibility of derived metrics from raw data.</w:t>
      </w:r>
    </w:p>
    <w:p w14:paraId="2430754B" w14:textId="77777777" w:rsidR="00EB57EF" w:rsidRDefault="00EB57EF">
      <w:pPr>
        <w:spacing w:after="80"/>
      </w:pPr>
    </w:p>
    <w:p w14:paraId="721072EB" w14:textId="77777777" w:rsidR="00EB57EF" w:rsidRDefault="00000000">
      <w:pPr>
        <w:spacing w:after="100"/>
      </w:pPr>
      <w:r>
        <w:t>In rural settings where EHR data is incomplete, inconsistent, or delayed, device data provides an early operational path for risk identification. This enables staged deployment: device-based signals support initial use cases while broader data infrastructure matures.</w:t>
      </w:r>
    </w:p>
    <w:p w14:paraId="7C1595CE"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0597FF89" w14:textId="77777777">
        <w:tblPrEx>
          <w:tblCellMar>
            <w:top w:w="0" w:type="dxa"/>
            <w:bottom w:w="0" w:type="dxa"/>
          </w:tblCellMar>
        </w:tblPrEx>
        <w:tc>
          <w:tcPr>
            <w:tcW w:w="9360" w:type="dxa"/>
            <w:tcBorders>
              <w:top w:val="single" w:sz="4" w:space="0" w:color="2A7A6F"/>
              <w:left w:val="single" w:sz="12" w:space="0" w:color="2A7A6F"/>
              <w:bottom w:val="single" w:sz="4" w:space="0" w:color="2A7A6F"/>
              <w:right w:val="single" w:sz="4" w:space="0" w:color="2A7A6F"/>
            </w:tcBorders>
            <w:shd w:val="clear" w:color="auto" w:fill="EAF4F1"/>
            <w:tcMar>
              <w:top w:w="120" w:type="dxa"/>
              <w:left w:w="200" w:type="dxa"/>
              <w:bottom w:w="120" w:type="dxa"/>
              <w:right w:w="200" w:type="dxa"/>
            </w:tcMar>
          </w:tcPr>
          <w:p w14:paraId="63210A60" w14:textId="77777777" w:rsidR="00EB57EF" w:rsidRDefault="00000000">
            <w:r>
              <w:rPr>
                <w:b/>
                <w:bCs/>
                <w:color w:val="1F3864"/>
              </w:rPr>
              <w:t>Device data enables early operational capability in constrained environments — supporting risk stratification and remote monitoring before full EHR integration is in place.</w:t>
            </w:r>
          </w:p>
        </w:tc>
      </w:tr>
    </w:tbl>
    <w:p w14:paraId="3332EB82" w14:textId="77777777" w:rsidR="00EB57EF" w:rsidRDefault="00EB57EF">
      <w:pPr>
        <w:spacing w:after="80"/>
      </w:pPr>
    </w:p>
    <w:p w14:paraId="4381B1AB" w14:textId="77777777" w:rsidR="00EB57EF" w:rsidRDefault="00000000">
      <w:pPr>
        <w:pStyle w:val="Heading3"/>
      </w:pPr>
      <w:r>
        <w:t>Variable: CGM Glucose Time Series</w:t>
      </w:r>
    </w:p>
    <w:p w14:paraId="6189C5FC"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49AF9443" w14:textId="77777777">
        <w:tblPrEx>
          <w:tblCellMar>
            <w:top w:w="0" w:type="dxa"/>
            <w:bottom w:w="0" w:type="dxa"/>
          </w:tblCellMar>
        </w:tblPrEx>
        <w:tc>
          <w:tcPr>
            <w:tcW w:w="9360" w:type="dxa"/>
            <w:tcBorders>
              <w:top w:val="single" w:sz="4" w:space="0" w:color="2C5282"/>
              <w:left w:val="single" w:sz="8" w:space="0" w:color="2C5282"/>
              <w:bottom w:val="single" w:sz="4" w:space="0" w:color="2C5282"/>
              <w:right w:val="single" w:sz="4" w:space="0" w:color="2C5282"/>
            </w:tcBorders>
            <w:shd w:val="clear" w:color="auto" w:fill="EEF2F8"/>
            <w:tcMar>
              <w:top w:w="120" w:type="dxa"/>
              <w:left w:w="200" w:type="dxa"/>
              <w:bottom w:w="120" w:type="dxa"/>
              <w:right w:w="200" w:type="dxa"/>
            </w:tcMar>
          </w:tcPr>
          <w:p w14:paraId="7D7D3EB8" w14:textId="77777777" w:rsidR="00EB57EF" w:rsidRDefault="00000000">
            <w:pPr>
              <w:spacing w:after="60"/>
            </w:pPr>
            <w:r>
              <w:rPr>
                <w:b/>
                <w:bCs/>
                <w:color w:val="1F3864"/>
                <w:sz w:val="20"/>
                <w:szCs w:val="20"/>
              </w:rPr>
              <w:t>Technical Evaluation</w:t>
            </w:r>
          </w:p>
          <w:p w14:paraId="48DC0172" w14:textId="77777777" w:rsidR="00EB57EF" w:rsidRDefault="00000000">
            <w:pPr>
              <w:spacing w:after="40"/>
              <w:ind w:left="160" w:hanging="160"/>
            </w:pPr>
            <w:r>
              <w:rPr>
                <w:color w:val="333333"/>
                <w:sz w:val="20"/>
                <w:szCs w:val="20"/>
              </w:rPr>
              <w:t>•  CGM readings are ingested from device API or file feed (e.g., Dexcom, Abbott)</w:t>
            </w:r>
          </w:p>
          <w:p w14:paraId="3B303BC5" w14:textId="77777777" w:rsidR="00EB57EF" w:rsidRDefault="00000000">
            <w:pPr>
              <w:spacing w:after="40"/>
              <w:ind w:left="160" w:hanging="160"/>
            </w:pPr>
            <w:r>
              <w:rPr>
                <w:color w:val="333333"/>
                <w:sz w:val="20"/>
                <w:szCs w:val="20"/>
              </w:rPr>
              <w:t>•  Glucose values are tagged with UTC and local timestamps; timezone normalization is applied</w:t>
            </w:r>
          </w:p>
          <w:p w14:paraId="4471C7BD" w14:textId="77777777" w:rsidR="00EB57EF" w:rsidRDefault="00000000">
            <w:pPr>
              <w:spacing w:after="40"/>
              <w:ind w:left="160" w:hanging="160"/>
            </w:pPr>
            <w:r>
              <w:rPr>
                <w:color w:val="333333"/>
                <w:sz w:val="20"/>
                <w:szCs w:val="20"/>
              </w:rPr>
              <w:t>•  Patient-device linkage is confirmed via patient_id — inconsistent identifiers can cause linkage failures</w:t>
            </w:r>
          </w:p>
          <w:p w14:paraId="5C0868F6" w14:textId="77777777" w:rsidR="00EB57EF" w:rsidRDefault="00000000">
            <w:pPr>
              <w:spacing w:after="40"/>
              <w:ind w:left="160" w:hanging="160"/>
            </w:pPr>
            <w:r>
              <w:rPr>
                <w:color w:val="333333"/>
                <w:sz w:val="20"/>
                <w:szCs w:val="20"/>
              </w:rPr>
              <w:t>•  Duplicate detection removes redundant records from overlapping feeds</w:t>
            </w:r>
          </w:p>
        </w:tc>
      </w:tr>
    </w:tbl>
    <w:p w14:paraId="6FD7A195"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B23B9F2" w14:textId="77777777">
        <w:tblPrEx>
          <w:tblCellMar>
            <w:top w:w="0" w:type="dxa"/>
            <w:bottom w:w="0" w:type="dxa"/>
          </w:tblCellMar>
        </w:tblPrEx>
        <w:tc>
          <w:tcPr>
            <w:tcW w:w="9360" w:type="dxa"/>
            <w:tcBorders>
              <w:top w:val="single" w:sz="4" w:space="0" w:color="4A80B0"/>
              <w:left w:val="single" w:sz="8" w:space="0" w:color="4A80B0"/>
              <w:bottom w:val="single" w:sz="4" w:space="0" w:color="4A80B0"/>
              <w:right w:val="single" w:sz="4" w:space="0" w:color="4A80B0"/>
            </w:tcBorders>
            <w:shd w:val="clear" w:color="auto" w:fill="EBF4FB"/>
            <w:tcMar>
              <w:top w:w="120" w:type="dxa"/>
              <w:left w:w="200" w:type="dxa"/>
              <w:bottom w:w="120" w:type="dxa"/>
              <w:right w:w="200" w:type="dxa"/>
            </w:tcMar>
          </w:tcPr>
          <w:p w14:paraId="3E5EC9C4" w14:textId="77777777" w:rsidR="00EB57EF" w:rsidRDefault="00000000">
            <w:pPr>
              <w:spacing w:after="60"/>
            </w:pPr>
            <w:r>
              <w:rPr>
                <w:b/>
                <w:bCs/>
                <w:color w:val="1F3864"/>
                <w:sz w:val="20"/>
                <w:szCs w:val="20"/>
              </w:rPr>
              <w:t>Readiness Evaluation</w:t>
            </w:r>
          </w:p>
          <w:p w14:paraId="556F289D" w14:textId="77777777" w:rsidR="00EB57EF" w:rsidRDefault="00000000">
            <w:pPr>
              <w:spacing w:after="40"/>
              <w:ind w:left="160" w:hanging="160"/>
            </w:pPr>
            <w:r>
              <w:rPr>
                <w:color w:val="333333"/>
                <w:sz w:val="20"/>
                <w:szCs w:val="20"/>
              </w:rPr>
              <w:t>•  Glucose values are checked against physiologic plausibility ranges</w:t>
            </w:r>
          </w:p>
          <w:p w14:paraId="2475E2A8" w14:textId="77777777" w:rsidR="00EB57EF" w:rsidRDefault="00000000">
            <w:pPr>
              <w:spacing w:after="40"/>
              <w:ind w:left="160" w:hanging="160"/>
            </w:pPr>
            <w:r>
              <w:rPr>
                <w:color w:val="333333"/>
                <w:sz w:val="20"/>
                <w:szCs w:val="20"/>
              </w:rPr>
              <w:t>•  Temporal density is assessed: expected sampling frequency (e.g., every 5 minutes) and % coverage over a defined window (e.g., 14 days)</w:t>
            </w:r>
          </w:p>
          <w:p w14:paraId="598515C8" w14:textId="77777777" w:rsidR="00EB57EF" w:rsidRDefault="00000000">
            <w:pPr>
              <w:spacing w:after="40"/>
              <w:ind w:left="160" w:hanging="160"/>
            </w:pPr>
            <w:r>
              <w:rPr>
                <w:color w:val="333333"/>
                <w:sz w:val="20"/>
                <w:szCs w:val="20"/>
              </w:rPr>
              <w:t>•  Timestamps are checked for monotonic ordering and timezone consistency</w:t>
            </w:r>
          </w:p>
          <w:p w14:paraId="61A16FD2" w14:textId="77777777" w:rsidR="00EB57EF" w:rsidRDefault="00000000">
            <w:pPr>
              <w:spacing w:after="40"/>
              <w:ind w:left="160" w:hanging="160"/>
            </w:pPr>
            <w:r>
              <w:rPr>
                <w:color w:val="333333"/>
                <w:sz w:val="20"/>
                <w:szCs w:val="20"/>
              </w:rPr>
              <w:t>•  Derived metrics (TIR, GMI, variability) are recomputed from raw data rather than trusted from device output, to ensure cross-manufacturer consistency</w:t>
            </w:r>
          </w:p>
          <w:p w14:paraId="094BC726" w14:textId="77777777" w:rsidR="00EB57EF" w:rsidRDefault="00000000">
            <w:pPr>
              <w:spacing w:before="80"/>
            </w:pPr>
            <w:r>
              <w:rPr>
                <w:b/>
                <w:bCs/>
                <w:color w:val="1F3864"/>
                <w:sz w:val="20"/>
                <w:szCs w:val="20"/>
              </w:rPr>
              <w:t xml:space="preserve">Summary: </w:t>
            </w:r>
            <w:r>
              <w:rPr>
                <w:color w:val="333333"/>
                <w:sz w:val="20"/>
                <w:szCs w:val="20"/>
              </w:rPr>
              <w:t>Technical score: moderate (patient-device linkage gaps). Readiness score: moderate (plausible values, but temporal coverage below threshold for some patients).</w:t>
            </w:r>
          </w:p>
        </w:tc>
      </w:tr>
    </w:tbl>
    <w:p w14:paraId="64A15B25" w14:textId="77777777" w:rsidR="00EB57EF" w:rsidRDefault="00EB57EF">
      <w:pPr>
        <w:spacing w:after="80"/>
      </w:pPr>
    </w:p>
    <w:p w14:paraId="1D32794E" w14:textId="77777777" w:rsidR="00EB57EF" w:rsidRDefault="00000000">
      <w:pPr>
        <w:pStyle w:val="Heading3"/>
      </w:pPr>
      <w:r>
        <w:t>Use Case: CGM-Based Diabetes Risk Stratification</w:t>
      </w:r>
    </w:p>
    <w:p w14:paraId="3464572A" w14:textId="77777777" w:rsidR="00EB57EF" w:rsidRDefault="00000000">
      <w:pPr>
        <w:spacing w:after="100"/>
      </w:pPr>
      <w:r>
        <w:t>Objective: identify patients with deteriorating glycemic control or at risk of diabetes complications using longitudinal CGM data.</w:t>
      </w:r>
    </w:p>
    <w:p w14:paraId="0870B815" w14:textId="77777777" w:rsidR="00EB57EF" w:rsidRDefault="00EB57EF">
      <w:pPr>
        <w:spacing w:after="80"/>
      </w:pPr>
    </w:p>
    <w:p w14:paraId="6752BE97" w14:textId="77777777" w:rsidR="00EB57EF" w:rsidRDefault="00000000">
      <w:pPr>
        <w:spacing w:after="100"/>
      </w:pPr>
      <w:r>
        <w:lastRenderedPageBreak/>
        <w:t>Variables by pathway: the device pathway (evaluated first) uses the CGM glucose time series; the EHR fallback pathway uses A1C, the clinical default lab measure, which is often missing or stale in target settings and is evaluated when the device pathway does not pass. Both pathways also draw on patient demographics (age, sex), diabetes diagnosis status, and medication data (insulin, metformin). This ordered-pathway sourcing is defined in Section 6 (Data Paths, the Care Model, and Risk Stratification).</w:t>
      </w:r>
    </w:p>
    <w:p w14:paraId="6C669333"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6F95C4EB" w14:textId="77777777">
        <w:tblPrEx>
          <w:tblCellMar>
            <w:top w:w="0" w:type="dxa"/>
            <w:bottom w:w="0" w:type="dxa"/>
          </w:tblCellMar>
        </w:tblPrEx>
        <w:tc>
          <w:tcPr>
            <w:tcW w:w="9360" w:type="dxa"/>
            <w:tcBorders>
              <w:top w:val="single" w:sz="4" w:space="0" w:color="C0392B"/>
              <w:left w:val="single" w:sz="8" w:space="0" w:color="C0392B"/>
              <w:bottom w:val="single" w:sz="4" w:space="0" w:color="C0392B"/>
              <w:right w:val="single" w:sz="4" w:space="0" w:color="C0392B"/>
            </w:tcBorders>
            <w:shd w:val="clear" w:color="auto" w:fill="FDE8E8"/>
            <w:tcMar>
              <w:top w:w="120" w:type="dxa"/>
              <w:left w:w="200" w:type="dxa"/>
              <w:bottom w:w="120" w:type="dxa"/>
              <w:right w:w="200" w:type="dxa"/>
            </w:tcMar>
          </w:tcPr>
          <w:p w14:paraId="3629FE65" w14:textId="77777777" w:rsidR="00EB57EF" w:rsidRDefault="00000000">
            <w:pPr>
              <w:spacing w:after="60"/>
            </w:pPr>
            <w:r>
              <w:rPr>
                <w:b/>
                <w:bCs/>
                <w:color w:val="1F3864"/>
                <w:sz w:val="20"/>
                <w:szCs w:val="20"/>
              </w:rPr>
              <w:t>Before Remediation</w:t>
            </w:r>
          </w:p>
          <w:p w14:paraId="04112DB4" w14:textId="77777777" w:rsidR="00EB57EF" w:rsidRDefault="00000000">
            <w:pPr>
              <w:spacing w:after="40"/>
              <w:ind w:left="160" w:hanging="160"/>
            </w:pPr>
            <w:r>
              <w:rPr>
                <w:color w:val="333333"/>
                <w:sz w:val="20"/>
                <w:szCs w:val="20"/>
              </w:rPr>
              <w:t>•  CGM temporal coverage below threshold for a significant portion of patients (≤70% over 14 days)</w:t>
            </w:r>
          </w:p>
          <w:p w14:paraId="22131108" w14:textId="77777777" w:rsidR="00EB57EF" w:rsidRDefault="00000000">
            <w:pPr>
              <w:spacing w:after="40"/>
              <w:ind w:left="160" w:hanging="160"/>
            </w:pPr>
            <w:r>
              <w:rPr>
                <w:color w:val="333333"/>
                <w:sz w:val="20"/>
                <w:szCs w:val="20"/>
              </w:rPr>
              <w:t>•  Patient-device linkage failures reduce usable population</w:t>
            </w:r>
          </w:p>
          <w:p w14:paraId="5081340D" w14:textId="77777777" w:rsidR="00EB57EF" w:rsidRDefault="00000000">
            <w:pPr>
              <w:spacing w:after="40"/>
              <w:ind w:left="160" w:hanging="160"/>
            </w:pPr>
            <w:r>
              <w:rPr>
                <w:color w:val="333333"/>
                <w:sz w:val="20"/>
                <w:szCs w:val="20"/>
              </w:rPr>
              <w:t>•  Derived metrics (TIR) inconsistent across device manufacturers</w:t>
            </w:r>
          </w:p>
          <w:p w14:paraId="07B6AFE4" w14:textId="77777777" w:rsidR="00EB57EF" w:rsidRDefault="00000000">
            <w:pPr>
              <w:spacing w:after="40"/>
              <w:ind w:left="160" w:hanging="160"/>
            </w:pPr>
            <w:r>
              <w:rPr>
                <w:color w:val="333333"/>
                <w:sz w:val="20"/>
                <w:szCs w:val="20"/>
              </w:rPr>
              <w:t>•  Blockers: insufficient temporal density, identity linkage issues, cross-manufacturer inconsistency</w:t>
            </w:r>
          </w:p>
          <w:p w14:paraId="06867727" w14:textId="77777777" w:rsidR="00EB57EF" w:rsidRDefault="00000000">
            <w:pPr>
              <w:spacing w:before="80"/>
            </w:pPr>
            <w:r>
              <w:rPr>
                <w:b/>
                <w:bCs/>
                <w:color w:val="1F3864"/>
                <w:sz w:val="20"/>
                <w:szCs w:val="20"/>
              </w:rPr>
              <w:t xml:space="preserve">Result: </w:t>
            </w:r>
            <w:r>
              <w:rPr>
                <w:color w:val="333333"/>
                <w:sz w:val="20"/>
                <w:szCs w:val="20"/>
              </w:rPr>
              <w:t>Diabetes Risk Stratification — NOT READY</w:t>
            </w:r>
          </w:p>
        </w:tc>
      </w:tr>
    </w:tbl>
    <w:p w14:paraId="5FB05C96"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6A56122C" w14:textId="77777777">
        <w:tblPrEx>
          <w:tblCellMar>
            <w:top w:w="0" w:type="dxa"/>
            <w:bottom w:w="0" w:type="dxa"/>
          </w:tblCellMar>
        </w:tblPrEx>
        <w:tc>
          <w:tcPr>
            <w:tcW w:w="9360" w:type="dxa"/>
            <w:tcBorders>
              <w:top w:val="single" w:sz="4" w:space="0" w:color="C08020"/>
              <w:left w:val="single" w:sz="8" w:space="0" w:color="C08020"/>
              <w:bottom w:val="single" w:sz="4" w:space="0" w:color="C08020"/>
              <w:right w:val="single" w:sz="4" w:space="0" w:color="C08020"/>
            </w:tcBorders>
            <w:shd w:val="clear" w:color="auto" w:fill="FDF6E8"/>
            <w:tcMar>
              <w:top w:w="120" w:type="dxa"/>
              <w:left w:w="200" w:type="dxa"/>
              <w:bottom w:w="120" w:type="dxa"/>
              <w:right w:w="200" w:type="dxa"/>
            </w:tcMar>
          </w:tcPr>
          <w:p w14:paraId="0BDCD205" w14:textId="77777777" w:rsidR="00EB57EF" w:rsidRDefault="00000000">
            <w:pPr>
              <w:spacing w:after="60"/>
            </w:pPr>
            <w:r>
              <w:rPr>
                <w:b/>
                <w:bCs/>
                <w:color w:val="1F3864"/>
                <w:sz w:val="20"/>
                <w:szCs w:val="20"/>
              </w:rPr>
              <w:t>Remediation Actions</w:t>
            </w:r>
          </w:p>
          <w:p w14:paraId="3171B008" w14:textId="77777777" w:rsidR="00EB57EF" w:rsidRDefault="00000000">
            <w:pPr>
              <w:spacing w:after="40"/>
              <w:ind w:left="160" w:hanging="160"/>
            </w:pPr>
            <w:r>
              <w:rPr>
                <w:color w:val="333333"/>
                <w:sz w:val="20"/>
                <w:szCs w:val="20"/>
              </w:rPr>
              <w:t>•  Improve patient-device linkage by standardizing patient ID handling in device ingestion pipeline</w:t>
            </w:r>
          </w:p>
          <w:p w14:paraId="717AEECE" w14:textId="77777777" w:rsidR="00EB57EF" w:rsidRDefault="00000000">
            <w:pPr>
              <w:spacing w:after="40"/>
              <w:ind w:left="160" w:hanging="160"/>
            </w:pPr>
            <w:r>
              <w:rPr>
                <w:color w:val="333333"/>
                <w:sz w:val="20"/>
                <w:szCs w:val="20"/>
              </w:rPr>
              <w:t>•  Recompute all derived metrics (TIR, GMI) from raw glucose time series to normalize across manufacturers</w:t>
            </w:r>
          </w:p>
          <w:p w14:paraId="1428551E" w14:textId="77777777" w:rsidR="00EB57EF" w:rsidRDefault="00000000">
            <w:pPr>
              <w:spacing w:after="40"/>
              <w:ind w:left="160" w:hanging="160"/>
            </w:pPr>
            <w:r>
              <w:rPr>
                <w:color w:val="333333"/>
                <w:sz w:val="20"/>
                <w:szCs w:val="20"/>
              </w:rPr>
              <w:t>•  Flag patients with insufficient coverage and implement outreach to improve device adherence</w:t>
            </w:r>
          </w:p>
        </w:tc>
      </w:tr>
    </w:tbl>
    <w:p w14:paraId="03041D9F"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7F9DD51" w14:textId="77777777">
        <w:tblPrEx>
          <w:tblCellMar>
            <w:top w:w="0" w:type="dxa"/>
            <w:bottom w:w="0" w:type="dxa"/>
          </w:tblCellMar>
        </w:tblPrEx>
        <w:tc>
          <w:tcPr>
            <w:tcW w:w="9360" w:type="dxa"/>
            <w:tcBorders>
              <w:top w:val="single" w:sz="4" w:space="0" w:color="2A7A6F"/>
              <w:left w:val="single" w:sz="8" w:space="0" w:color="2A7A6F"/>
              <w:bottom w:val="single" w:sz="4" w:space="0" w:color="2A7A6F"/>
              <w:right w:val="single" w:sz="4" w:space="0" w:color="2A7A6F"/>
            </w:tcBorders>
            <w:shd w:val="clear" w:color="auto" w:fill="EAF4F1"/>
            <w:tcMar>
              <w:top w:w="120" w:type="dxa"/>
              <w:left w:w="200" w:type="dxa"/>
              <w:bottom w:w="120" w:type="dxa"/>
              <w:right w:w="200" w:type="dxa"/>
            </w:tcMar>
          </w:tcPr>
          <w:p w14:paraId="4FF104FF" w14:textId="77777777" w:rsidR="00EB57EF" w:rsidRDefault="00000000">
            <w:pPr>
              <w:spacing w:after="60"/>
            </w:pPr>
            <w:r>
              <w:rPr>
                <w:b/>
                <w:bCs/>
                <w:color w:val="1F3864"/>
                <w:sz w:val="20"/>
                <w:szCs w:val="20"/>
              </w:rPr>
              <w:t>After Remediation</w:t>
            </w:r>
          </w:p>
          <w:p w14:paraId="6C59993B" w14:textId="77777777" w:rsidR="00EB57EF" w:rsidRDefault="00000000">
            <w:pPr>
              <w:spacing w:after="40"/>
              <w:ind w:left="160" w:hanging="160"/>
            </w:pPr>
            <w:r>
              <w:rPr>
                <w:color w:val="333333"/>
                <w:sz w:val="20"/>
                <w:szCs w:val="20"/>
              </w:rPr>
              <w:t>•  Improved patient-device linkage increases usable patient population</w:t>
            </w:r>
          </w:p>
          <w:p w14:paraId="4458612C" w14:textId="77777777" w:rsidR="00EB57EF" w:rsidRDefault="00000000">
            <w:pPr>
              <w:spacing w:after="40"/>
              <w:ind w:left="160" w:hanging="160"/>
            </w:pPr>
            <w:r>
              <w:rPr>
                <w:color w:val="333333"/>
                <w:sz w:val="20"/>
                <w:szCs w:val="20"/>
              </w:rPr>
              <w:t>•  Temporal coverage meets threshold for majority of enrolled patients</w:t>
            </w:r>
          </w:p>
          <w:p w14:paraId="0D94AEAD" w14:textId="77777777" w:rsidR="00EB57EF" w:rsidRDefault="00000000">
            <w:pPr>
              <w:spacing w:after="40"/>
              <w:ind w:left="160" w:hanging="160"/>
            </w:pPr>
            <w:r>
              <w:rPr>
                <w:color w:val="333333"/>
                <w:sz w:val="20"/>
                <w:szCs w:val="20"/>
              </w:rPr>
              <w:t>•  Derived metrics are consistent across device types</w:t>
            </w:r>
          </w:p>
          <w:p w14:paraId="1BFDE696" w14:textId="77777777" w:rsidR="00EB57EF" w:rsidRDefault="00000000">
            <w:pPr>
              <w:spacing w:after="40"/>
              <w:ind w:left="160" w:hanging="160"/>
            </w:pPr>
            <w:r>
              <w:rPr>
                <w:color w:val="333333"/>
                <w:sz w:val="20"/>
                <w:szCs w:val="20"/>
              </w:rPr>
              <w:t>•  Capability unlocked: ability to run glycemic control algorithms and identify high-risk patients for care coordination</w:t>
            </w:r>
          </w:p>
          <w:p w14:paraId="7683C3C2" w14:textId="77777777" w:rsidR="00EB57EF" w:rsidRDefault="00000000">
            <w:pPr>
              <w:spacing w:before="80"/>
            </w:pPr>
            <w:r>
              <w:rPr>
                <w:b/>
                <w:bCs/>
                <w:color w:val="1F3864"/>
                <w:sz w:val="20"/>
                <w:szCs w:val="20"/>
              </w:rPr>
              <w:t xml:space="preserve">Result: </w:t>
            </w:r>
            <w:r>
              <w:rPr>
                <w:color w:val="333333"/>
                <w:sz w:val="20"/>
                <w:szCs w:val="20"/>
              </w:rPr>
              <w:t>Diabetes Risk Stratification — PARTIALLY READY → READY (depending on site thresholds)</w:t>
            </w:r>
          </w:p>
        </w:tc>
      </w:tr>
    </w:tbl>
    <w:p w14:paraId="07AC3F3A" w14:textId="77777777" w:rsidR="00EB57EF" w:rsidRDefault="00EB57EF">
      <w:pPr>
        <w:spacing w:after="80"/>
      </w:pPr>
    </w:p>
    <w:p w14:paraId="76023C87" w14:textId="77777777" w:rsidR="00EB57EF" w:rsidRDefault="00000000">
      <w:pPr>
        <w:spacing w:after="100"/>
      </w:pPr>
      <w:r>
        <w:t>The full device event model, device-specific check registry, and concordance logic are documented in the companion Device Data Model &amp; Readiness Extension document.</w:t>
      </w:r>
    </w:p>
    <w:p w14:paraId="4ED90A8B" w14:textId="77777777" w:rsidR="00EB57EF" w:rsidRDefault="00EB57EF">
      <w:pPr>
        <w:spacing w:after="80"/>
      </w:pPr>
    </w:p>
    <w:p w14:paraId="10000001" w14:textId="77777777" w:rsidR="00EB57EF" w:rsidRDefault="00000000">
      <w:pPr>
        <w:pStyle w:val="Heading2"/>
      </w:pPr>
      <w:r>
        <w:t>6. Data Paths, the Care Model, and Risk Stratification</w:t>
      </w:r>
    </w:p>
    <w:p w14:paraId="10000002" w14:textId="77777777" w:rsidR="00EB57EF" w:rsidRDefault="00000000">
      <w:pPr>
        <w:spacing w:before="120" w:after="60"/>
      </w:pPr>
      <w:r>
        <w:rPr>
          <w:b/>
          <w:i/>
        </w:rPr>
        <w:t>The care model (three moments, always human-in-the-loop).</w:t>
      </w:r>
    </w:p>
    <w:p w14:paraId="10000003" w14:textId="77777777" w:rsidR="00EB57EF" w:rsidRDefault="00000000">
      <w:pPr>
        <w:spacing w:after="100"/>
      </w:pPr>
      <w:r>
        <w:t>The CKM care model runs in three moments, and a human is in the loop in all of them; what differs between moments is what the human reacts to, not whether a human is involved. (1) Enrollment is an upstream clinical decision, not a platform function: a patient is enrolled in remote monitoring based on risk through a clinical encounter or established referral pathway and then placed on a device. The platform does not enroll, identify, or decide who to monitor. (2) Weekly stratification review is where the platform operates: once a patient is enrolled and instrumented, clinical staff review a risk-stratification view built on device data on a recurring cadence. The platform orders and surfaces the instrumented population so the human review is targeted and trustworthy; it sorts the list, the clinician decides. (3) Outreach and engagement is a downstream clinical action: a deviation from expectation creates a trigger, and a person acts. Full automation of this loop is out of scope and roadmap-only, pursued only as controlled experiments under IRB and tied to the safe-use-of-AI question; canonical documents frame it as horizon and make no autonomous-action claims.</w:t>
      </w:r>
    </w:p>
    <w:p w14:paraId="10000004" w14:textId="77777777" w:rsidR="00EB57EF" w:rsidRDefault="00EB57EF">
      <w:pPr>
        <w:spacing w:after="80"/>
      </w:pPr>
    </w:p>
    <w:p w14:paraId="10000005" w14:textId="77777777" w:rsidR="00EB57EF" w:rsidRDefault="00000000">
      <w:pPr>
        <w:spacing w:before="120" w:after="60"/>
      </w:pPr>
      <w:r>
        <w:rPr>
          <w:b/>
          <w:i/>
        </w:rPr>
        <w:t>Two data paths serving one care model.</w:t>
      </w:r>
    </w:p>
    <w:p w14:paraId="10000006" w14:textId="77777777" w:rsidR="00EB57EF" w:rsidRDefault="00000000">
      <w:pPr>
        <w:spacing w:after="100"/>
      </w:pPr>
      <w:r>
        <w:t>The platform makes two data paths fit for purpose; they serve different stages of the same care model and are not alternatives or merely sequential. The device path is operational now: device and wearable data (CGM for diabetes, a home blood pressure cuff for hypertension, a connected scale for heart failure) powers the weekly stratification review, letting sites operationalize now even where EHR data is poor, because the device feed is current and sufficient. The EHR path is required for everything downstream: care coordination needs encounter data, medications, and lab values, and clinical quality and value-based care reporting need conformant, complete EHR records — none of which runs on device data. The platform&amp;#x2019;s EHR remediation is what unblocks the downstream coordination-and-reporting half of the model. Device readiness unlocks stratification a site can act on now; EHR readiness unlocks the coordination and reporting that make the care model complete and accountable. This two-sided unlock is what makes the work infrastructure rather than a device-stratification tool.</w:t>
      </w:r>
    </w:p>
    <w:p w14:paraId="10000007" w14:textId="77777777" w:rsidR="00EB57EF" w:rsidRDefault="00EB57EF">
      <w:pPr>
        <w:spacing w:after="80"/>
      </w:pPr>
    </w:p>
    <w:p w14:paraId="10000008" w14:textId="77777777" w:rsidR="00EB57EF" w:rsidRDefault="00000000">
      <w:pPr>
        <w:spacing w:before="120" w:after="60"/>
      </w:pPr>
      <w:r>
        <w:rPr>
          <w:b/>
          <w:i/>
        </w:rPr>
        <w:t>Data sourcing within the device path (ordered pathway, not composite).</w:t>
      </w:r>
    </w:p>
    <w:p w14:paraId="10000009" w14:textId="77777777" w:rsidR="00EB57EF" w:rsidRDefault="00000000">
      <w:pPr>
        <w:spacing w:after="100"/>
      </w:pPr>
      <w:r>
        <w:t>In CKM populations, especially rural and under-resourced settings, the clinically preferred EHR-sourced measure (a lab value or documented vital) is the established default but is frequently missing or stale. For risk stratification the readiness pipeline therefore evaluates an ordered pathway per condition: the device pathway is evaluated first and establishes stratification where device data is sufficient and current; the EHR-sourced measure is the fallback, evaluated when the device pathway does not pass; EHR data-quality issues are surfaced and remediated in parallel. For diabetes the device pathway yields GMI (an A1C proxy), Time-in-Range, and a temporal glycemic trajectory; the A1C fallback uses the lab value. This is an ordered pathway, not a composite blend of device and EHR measures.</w:t>
      </w:r>
    </w:p>
    <w:p w14:paraId="1000000A" w14:textId="77777777" w:rsidR="00EB57EF" w:rsidRDefault="00EB57EF">
      <w:pPr>
        <w:spacing w:after="80"/>
      </w:pPr>
    </w:p>
    <w:p w14:paraId="1000000B" w14:textId="77777777" w:rsidR="00EB57EF" w:rsidRDefault="00000000">
      <w:pPr>
        <w:spacing w:before="120" w:after="60"/>
      </w:pPr>
      <w:r>
        <w:rPr>
          <w:b/>
          <w:i/>
        </w:rPr>
        <w:t>Engine mechanics vs. clinical ranking.</w:t>
      </w:r>
    </w:p>
    <w:p w14:paraId="1000000C" w14:textId="77777777" w:rsidR="00EB57EF" w:rsidRDefault="00000000">
      <w:pPr>
        <w:spacing w:after="100"/>
      </w:pPr>
      <w:r>
        <w:t>The scoring engine implements the ordered pathway as an evaluation sequence per condition (device pathway first, EHR fallback second), recorded in use_case_pathway_results. Pathway names such as cgm_primary and a1c_fallback denote evaluation order, not clinical ranking. The EHR measure is not clinically subordinate to the device measure; it is the clinical default that is often unavailable, which is why the device pathway leads operationally. User-facing and narrative language must reflect this reasoning and must never imply that a device measure is clinically preferred over its EHR-sourced default, nor that the EHR measure is merely &amp;#x201C;optional&amp;#x201D; or &amp;#x201C;supporting.&amp;#x201D;</w:t>
      </w:r>
    </w:p>
    <w:p w14:paraId="10000C01" w14:textId="77777777" w:rsidR="00EB57EF" w:rsidRDefault="00000000">
      <w:pPr>
        <w:spacing w:before="120" w:after="60"/>
      </w:pPr>
      <w:r>
        <w:rPr>
          <w:b/>
          <w:i/>
        </w:rPr>
        <w:t>The two-phase readiness model and the assess, report, respond pipeline.</w:t>
      </w:r>
    </w:p>
    <w:p w14:paraId="10000C02" w14:textId="77777777" w:rsidR="00EB57EF" w:rsidRDefault="00000000">
      <w:pPr>
        <w:spacing w:after="100"/>
      </w:pPr>
      <w:r>
        <w:t>Readiness is assessed in two phases, then reported, then responded to. The two phases answer different questions, and a single sorting test separates them: would changing the use case make this stop being a problem? If no, it is Foundational readiness; if yes, it is Fit-for-purpose readiness. The phases are referred to by name throughout; the parenthetical labels (Phase 1) and (Phase 2) are secondary shorthand only.</w:t>
      </w:r>
    </w:p>
    <w:p w14:paraId="10000C03" w14:textId="77777777" w:rsidR="00EB57EF" w:rsidRDefault="00000000">
      <w:pPr>
        <w:spacing w:after="100"/>
      </w:pPr>
      <w:r>
        <w:rPr>
          <w:b/>
        </w:rPr>
        <w:t>Foundational readiness (Phase 1), use-case-independent.</w:t>
      </w:r>
      <w:r>
        <w:t xml:space="preserve"> Whether the data is technically and structurally sound regardless of the use case it serves. This must hold no matter what. It comprises structural and conformance assessment at the Parse step (is the feed conformant, e.g. HL7v2 meeting USCDI v3, parseable, and structurally intact?) and terminology and format standardization at the Normalize step (codes mapped to standard vocabularies: diagnoses to ICD-10, medications to RxNorm, labs to LOINC, procedures to SNOMED-CT; units, dates, and values standardized to normalized-reference fields). Non-conformant or unparseable feeds are a foundational blocker routed to the source feed owner to reconfigure the feed at the source EHR. Real-world HL7v2 parse-failure rates are meaningfully high, on the order of 5 to 10 percent of messages, so structural conformance is a first-class, high-impact concern, not an edge case.</w:t>
      </w:r>
    </w:p>
    <w:p w14:paraId="10000C04" w14:textId="77777777" w:rsidR="00EB57EF" w:rsidRDefault="00000000">
      <w:pPr>
        <w:spacing w:after="100"/>
      </w:pPr>
      <w:r>
        <w:rPr>
          <w:b/>
        </w:rPr>
        <w:t>Fit-for-purpose readiness (Phase 2), use-case-dependent.</w:t>
      </w:r>
      <w:r>
        <w:t xml:space="preserve"> Given foundationally sound data, whether it is fit for a specific use case, workflow, or research question. Assessed per use case at the Score step: are the required variables present, values plausible, recency requirements met, sufficiency thresholds cleared, and the specific required code sets satisfied? The same valid data can be fit for one use case and not another.</w:t>
      </w:r>
    </w:p>
    <w:p w14:paraId="10000C05" w14:textId="77777777" w:rsidR="00EB57EF" w:rsidRDefault="00000000">
      <w:pPr>
        <w:spacing w:after="100"/>
      </w:pPr>
      <w:r>
        <w:rPr>
          <w:b/>
        </w:rPr>
        <w:t>The pipeline: assess, then report, then respond.</w:t>
      </w:r>
      <w:r>
        <w:t xml:space="preserve"> Each activity is defined by what it does.</w:t>
      </w:r>
    </w:p>
    <w:p w14:paraId="10000C06" w14:textId="77777777" w:rsidR="00EB57EF" w:rsidRDefault="00000000">
      <w:pPr>
        <w:spacing w:after="40"/>
      </w:pPr>
      <w:r>
        <w:rPr>
          <w:i/>
        </w:rPr>
        <w:t>Foundational assessment (Phase 1):</w:t>
      </w:r>
    </w:p>
    <w:p w14:paraId="10000C07" w14:textId="77777777" w:rsidR="00EB57EF" w:rsidRDefault="00000000">
      <w:pPr>
        <w:pStyle w:val="ListParagraph"/>
        <w:numPr>
          <w:ilvl w:val="0"/>
          <w:numId w:val="2"/>
        </w:numPr>
      </w:pPr>
      <w:r>
        <w:rPr>
          <w:b/>
        </w:rPr>
        <w:t>Parse</w:t>
      </w:r>
      <w:r>
        <w:t xml:space="preserve"> — convert the raw feed into a workable structured representation and assess structural and conformance readiness (HL7v2 / USCDI v3 conformance, parseability, structural integrity). Emits foundational structural blockers.</w:t>
      </w:r>
    </w:p>
    <w:p w14:paraId="10000C08" w14:textId="77777777" w:rsidR="00EB57EF" w:rsidRDefault="00000000">
      <w:pPr>
        <w:pStyle w:val="ListParagraph"/>
        <w:numPr>
          <w:ilvl w:val="0"/>
          <w:numId w:val="2"/>
        </w:numPr>
      </w:pPr>
      <w:r>
        <w:rPr>
          <w:b/>
        </w:rPr>
        <w:t>Normalize</w:t>
      </w:r>
      <w:r>
        <w:t xml:space="preserve"> — standardize terminology (codes to standard vocabularies) and format, units, and dates to normalized-reference fields. This is the transform that makes codes and values standard and comparable.</w:t>
      </w:r>
    </w:p>
    <w:p w14:paraId="10000C09" w14:textId="77777777" w:rsidR="00EB57EF" w:rsidRDefault="00000000">
      <w:pPr>
        <w:spacing w:before="80" w:after="40"/>
      </w:pPr>
      <w:r>
        <w:rPr>
          <w:i/>
        </w:rPr>
        <w:t>Fit-for-purpose assessment (Phase 2):</w:t>
      </w:r>
    </w:p>
    <w:p w14:paraId="10000C0A" w14:textId="77777777" w:rsidR="00EB57EF" w:rsidRDefault="00000000">
      <w:pPr>
        <w:pStyle w:val="ListParagraph"/>
        <w:numPr>
          <w:ilvl w:val="0"/>
          <w:numId w:val="2"/>
        </w:numPr>
      </w:pPr>
      <w:r>
        <w:rPr>
          <w:b/>
        </w:rPr>
        <w:t>Score</w:t>
      </w:r>
      <w:r>
        <w:t xml:space="preserve"> — evaluate the foundationally ready data against a specific use case's requirements (completeness, validity, plausibility, recency, sufficiency, device checks, eligibility), producing the readiness verdict and the blockers. Assessed per use case; the deterministic source of truth.</w:t>
      </w:r>
    </w:p>
    <w:p w14:paraId="10000C0B" w14:textId="77777777" w:rsidR="00EB57EF" w:rsidRDefault="00000000">
      <w:pPr>
        <w:spacing w:before="80" w:after="40"/>
      </w:pPr>
      <w:r>
        <w:rPr>
          <w:i/>
        </w:rPr>
        <w:t>Readiness Report (audience-tailored insight delivery):</w:t>
      </w:r>
    </w:p>
    <w:p w14:paraId="10000C0C" w14:textId="77777777" w:rsidR="00EB57EF" w:rsidRDefault="00000000">
      <w:pPr>
        <w:pStyle w:val="ListParagraph"/>
        <w:numPr>
          <w:ilvl w:val="0"/>
          <w:numId w:val="2"/>
        </w:numPr>
      </w:pPr>
      <w:r>
        <w:rPr>
          <w:b/>
        </w:rPr>
        <w:t>Readiness Report</w:t>
      </w:r>
      <w:r>
        <w:t xml:space="preserve"> — translate the verdict and blockers into a role-tailored, actionable form for the person who must act (technical, clinical, administrative, payer), in the language and framing that lets that person operationalize it. Scores alone are not the value; the value is the verdict made usable for the responsible actor. This step is parameterized by audience (the audience_type mechanism: NCQA, ACO, Clinician, Admin, Funder) and is where the platform's output meets the human who must act. Benchmarking a site's readiness against peer institutions of similar size is a future comparative dimension that depends on governed cross-institution aggregation; it is a roadmap item, not a current capability.</w:t>
      </w:r>
    </w:p>
    <w:p w14:paraId="10000C0D" w14:textId="77777777" w:rsidR="00EB57EF" w:rsidRDefault="00000000">
      <w:pPr>
        <w:spacing w:before="80" w:after="40"/>
      </w:pPr>
      <w:r>
        <w:rPr>
          <w:i/>
        </w:rPr>
        <w:t>Response:</w:t>
      </w:r>
    </w:p>
    <w:p w14:paraId="10000C0E" w14:textId="77777777" w:rsidR="00EB57EF" w:rsidRDefault="00000000">
      <w:pPr>
        <w:pStyle w:val="ListParagraph"/>
        <w:numPr>
          <w:ilvl w:val="0"/>
          <w:numId w:val="2"/>
        </w:numPr>
      </w:pPr>
      <w:r>
        <w:rPr>
          <w:b/>
        </w:rPr>
        <w:t>Remediate</w:t>
      </w:r>
      <w:r>
        <w:t xml:space="preserve"> — resolve fixable blockers with human approval and route the rest to the responsible role as work items. The fix for a Foundational readiness issue (e.g. mapping an invalid code to a valid one) is a Foundational-type transform applied here during the response.</w:t>
      </w:r>
    </w:p>
    <w:p w14:paraId="10000C0F" w14:textId="77777777" w:rsidR="00EB57EF" w:rsidRDefault="00000000">
      <w:pPr>
        <w:pStyle w:val="ListParagraph"/>
        <w:numPr>
          <w:ilvl w:val="0"/>
          <w:numId w:val="2"/>
        </w:numPr>
      </w:pPr>
      <w:r>
        <w:rPr>
          <w:b/>
        </w:rPr>
        <w:t>Re-score, then Unlock</w:t>
      </w:r>
      <w:r>
        <w:t xml:space="preserve"> — re-score after remediation and show which capabilities unlock and which blockers persist.</w:t>
      </w:r>
    </w:p>
    <w:p w14:paraId="10000C10" w14:textId="77777777" w:rsidR="00EB57EF" w:rsidRDefault="00000000">
      <w:pPr>
        <w:spacing w:before="80" w:after="100"/>
      </w:pPr>
      <w:r>
        <w:rPr>
          <w:b/>
        </w:rPr>
        <w:t>Transform vs. evaluate (resolving the terminology overlap).</w:t>
      </w:r>
      <w:r>
        <w:t xml:space="preserve"> Terminology work appears in both phases as different operations. Mapping a code to a standard vocabulary is a transform: Normalize, Foundational readiness. Checking whether a code is valid or mappable, or whether the right code is present for a use case's value set, is an evaluation: Score, Fit-for-purpose readiness. Mapping is foundational; validity-and-fitness checking is fit-for-purpose.</w:t>
      </w:r>
    </w:p>
    <w:p w14:paraId="10000C11" w14:textId="77777777" w:rsidR="00EB57EF" w:rsidRDefault="00000000">
      <w:pPr>
        <w:spacing w:after="100"/>
      </w:pPr>
      <w:r>
        <w:rPr>
          <w:b/>
        </w:rPr>
        <w:t>Canonical illustration (recency).</w:t>
      </w:r>
      <w:r>
        <w:t xml:space="preserve"> A valid, correctly coded HbA1c result that is three years old is foundationally perfect (Foundational readiness passes) but not fit for a HEDIS measure requiring an A1c within the measurement year (Fit-for-purpose failure), while perfectly fit for a use case with no recency requirement. Same valid data; fitness depends on the use case. This also underpins the device-first methodology: A1c is often missing or stale, a recency and sufficiency failure, so CGM provides current, sufficient glycemic data plus trajectory.</w:t>
      </w:r>
    </w:p>
    <w:p w14:paraId="10000C12" w14:textId="77777777" w:rsidR="00EB57EF" w:rsidRDefault="00000000">
      <w:pPr>
        <w:spacing w:after="100"/>
      </w:pPr>
      <w:r>
        <w:rPr>
          <w:i/>
        </w:rPr>
        <w:t>Presentation note: this section owns the activities, their phase, and the assess, report, respond structure. Which steps a given demo or interface displays, and how the Readiness Report is visually tailored per audience, is a presentation concern owned by the UI/UX specification.</w:t>
      </w:r>
    </w:p>
    <w:p w14:paraId="1000000D" w14:textId="77777777" w:rsidR="00EB57EF" w:rsidRDefault="00EB57EF">
      <w:pPr>
        <w:spacing w:after="80"/>
      </w:pPr>
    </w:p>
    <w:p w14:paraId="1000000E" w14:textId="77777777" w:rsidR="00EB57EF" w:rsidRDefault="00000000">
      <w:pPr>
        <w:spacing w:before="120" w:after="60"/>
      </w:pPr>
      <w:r>
        <w:rPr>
          <w:b/>
          <w:i/>
        </w:rPr>
        <w:t>Fit-for-purpose is workflow-defined, locally owned, and configurable.</w:t>
      </w:r>
    </w:p>
    <w:p w14:paraId="1000000F" w14:textId="77777777" w:rsidR="00EB57EF" w:rsidRDefault="00000000">
      <w:pPr>
        <w:spacing w:after="100"/>
      </w:pPr>
      <w:r>
        <w:t>What makes data &amp;#x201C;fit for purpose&amp;#x201D; is not a single universal threshold; it is defined by the operational workflow a local clinical team is trying to support, under a set of rules and a care model that team owns. The same data may be fit for one workflow and not another, and the criteria appropriate to a given workflow depend on context: the patient population, the standard of care, the regional reality, and the staffing model on the ground. Some criteria are foundational — anchored to national standards and intended to stay stable across deployments — while others are customizable to local conditions and the practical reality of what data is available. As clinical guidelines and the standard of care evolve, the criteria evolve with them; the platform is designed so that this evolution is a configuration change, not a rebuild.</w:t>
      </w:r>
    </w:p>
    <w:p w14:paraId="10000010" w14:textId="77777777" w:rsidR="00EB57EF" w:rsidRDefault="00000000">
      <w:pPr>
        <w:spacing w:after="100"/>
      </w:pPr>
      <w:r>
        <w:t>This is realized through the config-driven architecture: fit-for-purpose criteria, thresholds, weights, and value sets live in versioned condition-module configuration loaded into the scoring engine, not embedded in engine or interface logic. (See the Condition Module Schema and the config-driven scoring architecture for the mechanism.) Because criteria are versioned configuration, they can be updated as understanding improves and as guidelines shift, and different deployments can hold different criteria for the same capability without code changes. The platform does not impose what fit-for-purpose means; it determines whether a population&amp;#x2019;s data can support a given workflow under the agreed-upon criteria, identifies what blocks it, and routes remediation to the responsible role.</w:t>
      </w:r>
    </w:p>
    <w:p w14:paraId="10000011" w14:textId="77777777" w:rsidR="00EB57EF" w:rsidRDefault="00000000">
      <w:pPr>
        <w:spacing w:after="100"/>
      </w:pPr>
      <w:r>
        <w:t>Example of the contextual judgment this accommodates: for a diabetic patient with no device feed but a recent A1C, whether the data is fit for risk stratification depends on the configured criterion. A deployment whose standard of care treats device-based monitoring as required (e.g., for clinical profiles where that is the consensus) may treat the absence of a device feed as a readiness gap; another deployment may treat a current A1C as sufficient to establish baseline glycemic control. Both are legitimate; which applies is a configured, revisable criterion the local team owns, not a property of the platform. (The specific criterion used in any given demonstration or deployment is a working baseline, revisable as guidelines and the standard of care evolve.)</w:t>
      </w:r>
    </w:p>
    <w:p w14:paraId="10000012" w14:textId="77777777" w:rsidR="00EB57EF" w:rsidRDefault="00EB57EF">
      <w:pPr>
        <w:spacing w:after="80"/>
      </w:pPr>
    </w:p>
    <w:p w14:paraId="777647F1" w14:textId="77777777" w:rsidR="00EB57EF" w:rsidRDefault="00EB57EF">
      <w:pPr>
        <w:pBdr>
          <w:bottom w:val="single" w:sz="4" w:space="1" w:color="D0DCE8"/>
        </w:pBdr>
        <w:spacing w:before="120" w:after="120"/>
      </w:pPr>
    </w:p>
    <w:p w14:paraId="0FB2D367" w14:textId="77777777" w:rsidR="00EB57EF" w:rsidRDefault="00000000">
      <w:pPr>
        <w:pStyle w:val="Heading2"/>
      </w:pPr>
      <w:r>
        <w:t>Data Sufficiency vs. Data Quality</w:t>
      </w:r>
    </w:p>
    <w:p w14:paraId="5A64CAA4" w14:textId="77777777" w:rsidR="00EB57EF" w:rsidRDefault="00000000">
      <w:pPr>
        <w:spacing w:after="100"/>
      </w:pPr>
      <w:r>
        <w:t>A variable may be technically correct and clinically plausible but still insufficient for a given use case due to lack of temporal density or population coverage. The methodology distinguishes between two related but distinct concepts:</w:t>
      </w:r>
    </w:p>
    <w:p w14:paraId="67BEE691" w14:textId="77777777" w:rsidR="00EB57EF" w:rsidRDefault="00EB57EF">
      <w:pPr>
        <w:spacing w:after="80"/>
      </w:pPr>
    </w:p>
    <w:p w14:paraId="21A04595" w14:textId="77777777" w:rsidR="00EB57EF" w:rsidRDefault="00000000">
      <w:pPr>
        <w:spacing w:after="100"/>
      </w:pPr>
      <w:r>
        <w:rPr>
          <w:b/>
          <w:bCs/>
        </w:rPr>
        <w:t xml:space="preserve">Data quality — </w:t>
      </w:r>
      <w:r>
        <w:t>correctness of the data: values are valid, mapped, linked, and temporally coherent.</w:t>
      </w:r>
    </w:p>
    <w:p w14:paraId="1C9A371A" w14:textId="77777777" w:rsidR="00EB57EF" w:rsidRDefault="00EB57EF">
      <w:pPr>
        <w:spacing w:after="80"/>
      </w:pPr>
    </w:p>
    <w:p w14:paraId="6340AF58" w14:textId="77777777" w:rsidR="00EB57EF" w:rsidRDefault="00000000">
      <w:pPr>
        <w:spacing w:after="100"/>
      </w:pPr>
      <w:r>
        <w:rPr>
          <w:b/>
          <w:bCs/>
        </w:rPr>
        <w:t xml:space="preserve">Data sufficiency — </w:t>
      </w:r>
      <w:r>
        <w:t>availability of the data for use: enough records are present, with adequate coverage and density, to support the intended analysis.</w:t>
      </w:r>
    </w:p>
    <w:p w14:paraId="4393A713" w14:textId="77777777" w:rsidR="00EB57EF" w:rsidRDefault="00EB57EF">
      <w:pPr>
        <w:spacing w:after="80"/>
      </w:pPr>
    </w:p>
    <w:p w14:paraId="127D5128" w14:textId="77777777" w:rsidR="00EB57EF" w:rsidRDefault="00000000">
      <w:pPr>
        <w:spacing w:after="100"/>
      </w:pPr>
      <w:r>
        <w:t xml:space="preserve">This distinction is especially important for device data, where a CGM feed may produce plausible glucose values but still fall below the temporal density threshold required for TIR </w:t>
        <w:lastRenderedPageBreak/>
        <w:t>computation or risk stratification. A site can have high data quality and low data sufficiency simultaneously — and both must be addressed for a use case to be viable.</w:t>
      </w:r>
    </w:p>
    <w:p w14:paraId="6C9F296B" w14:textId="77777777" w:rsidR="00EB57EF" w:rsidRDefault="00EB57EF">
      <w:pPr>
        <w:spacing w:after="80"/>
      </w:pPr>
    </w:p>
    <w:p w14:paraId="3104EF6C" w14:textId="77777777" w:rsidR="00EB57EF" w:rsidRDefault="00000000">
      <w:pPr>
        <w:spacing w:after="100"/>
      </w:pPr>
      <w:r>
        <w:t>Derived metrics such as TIR and GMI are treated as outputs of the data evaluation, not inputs to the readiness assessment. Their reliability depends on the underlying data quality and sufficiency of the raw time series.</w:t>
      </w:r>
    </w:p>
    <w:p w14:paraId="2561DE53" w14:textId="77777777" w:rsidR="00EB57EF" w:rsidRDefault="00EB57EF">
      <w:pPr>
        <w:spacing w:after="80"/>
      </w:pPr>
    </w:p>
    <w:p w14:paraId="369AD2B2" w14:textId="77777777" w:rsidR="00EB57EF" w:rsidRDefault="00EB57EF">
      <w:pPr>
        <w:pBdr>
          <w:bottom w:val="single" w:sz="4" w:space="1" w:color="D0DCE8"/>
        </w:pBdr>
        <w:spacing w:before="120" w:after="120"/>
      </w:pPr>
    </w:p>
    <w:p w14:paraId="6C91C782" w14:textId="77777777" w:rsidR="00EB57EF" w:rsidRDefault="00000000">
      <w:pPr>
        <w:pStyle w:val="Heading2"/>
      </w:pPr>
      <w:r>
        <w:t>Score Interpretation and Progressive Disclosure</w:t>
      </w:r>
    </w:p>
    <w:p w14:paraId="2F9FC60E" w14:textId="77777777" w:rsidR="00EB57EF" w:rsidRDefault="00000000">
      <w:pPr>
        <w:spacing w:after="100"/>
      </w:pPr>
      <w:r>
        <w:t>Readiness outputs are designed for multiple audiences. Clinical and operational leaders see use-case readiness status and key blockers. Program managers see variable-level scores and domain detail. Data infrastructure teams see individual check results and remediation steps. The same underlying scoring system serves all three levels.</w:t>
      </w:r>
    </w:p>
    <w:p w14:paraId="1F7DDC48" w14:textId="77777777" w:rsidR="00EB57EF" w:rsidRDefault="00EB57EF">
      <w:pPr>
        <w:spacing w:after="80"/>
      </w:pPr>
    </w:p>
    <w:p w14:paraId="3A787DCA" w14:textId="77777777" w:rsidR="00EB57EF" w:rsidRDefault="00000000">
      <w:pPr>
        <w:pStyle w:val="Heading2"/>
      </w:pPr>
      <w:r>
        <w:t>Methodology Development</w:t>
      </w:r>
    </w:p>
    <w:p w14:paraId="3B7E7ABC" w14:textId="77777777" w:rsidR="00EB57EF" w:rsidRDefault="00000000">
      <w:pPr>
        <w:spacing w:after="100"/>
      </w:pPr>
      <w:r>
        <w:t>This methodology sits in the lineage of Michael Kahn's foundational data quality framework, which established variable-level evaluation across conformance, completeness, and plausibility as the organizing principle for healthcare data quality assessment. The Oros methodology carries that foundation forward through a fit-for-purpose, use-case-conditional lens: data quality is evaluated not in the abstract but relative to the specific operational program the data must support.</w:t>
      </w:r>
    </w:p>
    <w:p w14:paraId="7E375BA7" w14:textId="77777777" w:rsidR="00EB57EF" w:rsidRDefault="00000000">
      <w:pPr>
        <w:spacing w:after="100"/>
      </w:pPr>
      <w:r>
        <w:t>This extension was developed in collaboration with Hanieh Razzaghi (CHOP / University of Pennsylvania), a clinical informatics expert whose prior work includes variable-level metadata repository design, OMOP CDM implementation, and OHDSI research infrastructure. The clinical knowledge engineering approach — shared variable library, condition modules as organized configurations, Use Case Specifications as operational execution objects — reflects her input directly.</w:t>
      </w:r>
    </w:p>
    <w:p w14:paraId="2CC4224F" w14:textId="77777777" w:rsidR="00EB57EF" w:rsidRDefault="00000000">
      <w:pPr>
        <w:spacing w:after="100"/>
      </w:pPr>
      <w:r>
        <w:t>Condition modules are the mechanism by which the platform extends to new clinical domains. Each condition module is a self-contained configuration artifact that defines the variables, use cases, thresholds, and terminology value sets for a condition. The diabetes module is the first. Hypertension and heart failure are scoped as subsequent modules. Condition modules are designed to be authored by clinical knowledge engineering contributors without touching engine code, and to serve simultaneously as technical artifacts, governance deliverables, and fundable contributions that condition-specific philanthropic funders can support and attribute.</w:t>
      </w:r>
    </w:p>
    <w:p w14:paraId="7B650849" w14:textId="77777777" w:rsidR="00EB57EF" w:rsidRDefault="00000000">
      <w:pPr>
        <w:spacing w:after="100"/>
      </w:pPr>
      <w:r>
        <w:t>The methodology and all platform assets are released under the Apache License 2.0; licensing, stewardship, and attribution are governed by the Oros Collaboration Framework, which is the authoritative source for these terms. Companion documents include the Architecture Specification (canonical object model), the Technical Specification (check registry and scoring model), and the Device Data Model and Readiness Extension (device-specific implementation).</w:t>
      </w:r>
    </w:p>
    <w:sectPr w:rsidR="00EB57EF">
      <w:pgSz w:w="12240" w:h="15840"/>
      <w:pgMar w:top="144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3CA7"/>
    <w:multiLevelType w:val="hybridMultilevel"/>
    <w:tmpl w:val="451CBC14"/>
    <w:lvl w:ilvl="0" w:tplc="01AA1F54">
      <w:start w:val="1"/>
      <w:numFmt w:val="decimal"/>
      <w:lvlText w:val="%1."/>
      <w:lvlJc w:val="left"/>
      <w:pPr>
        <w:spacing w:after="60"/>
        <w:ind w:left="600" w:hanging="300"/>
      </w:pPr>
    </w:lvl>
    <w:lvl w:ilvl="1" w:tplc="5E6CCB8E">
      <w:numFmt w:val="decimal"/>
      <w:lvlText w:val=""/>
      <w:lvlJc w:val="left"/>
    </w:lvl>
    <w:lvl w:ilvl="2" w:tplc="875C35CC">
      <w:numFmt w:val="decimal"/>
      <w:lvlText w:val=""/>
      <w:lvlJc w:val="left"/>
    </w:lvl>
    <w:lvl w:ilvl="3" w:tplc="1D72173A">
      <w:numFmt w:val="decimal"/>
      <w:lvlText w:val=""/>
      <w:lvlJc w:val="left"/>
    </w:lvl>
    <w:lvl w:ilvl="4" w:tplc="6192717C">
      <w:numFmt w:val="decimal"/>
      <w:lvlText w:val=""/>
      <w:lvlJc w:val="left"/>
    </w:lvl>
    <w:lvl w:ilvl="5" w:tplc="028AB6D8">
      <w:numFmt w:val="decimal"/>
      <w:lvlText w:val=""/>
      <w:lvlJc w:val="left"/>
    </w:lvl>
    <w:lvl w:ilvl="6" w:tplc="FA30A25E">
      <w:numFmt w:val="decimal"/>
      <w:lvlText w:val=""/>
      <w:lvlJc w:val="left"/>
    </w:lvl>
    <w:lvl w:ilvl="7" w:tplc="71126100">
      <w:numFmt w:val="decimal"/>
      <w:lvlText w:val=""/>
      <w:lvlJc w:val="left"/>
    </w:lvl>
    <w:lvl w:ilvl="8" w:tplc="D9F065C6">
      <w:numFmt w:val="decimal"/>
      <w:lvlText w:val=""/>
      <w:lvlJc w:val="left"/>
    </w:lvl>
  </w:abstractNum>
  <w:abstractNum w:abstractNumId="1" w15:restartNumberingAfterBreak="0">
    <w:nsid w:val="0F4040E6"/>
    <w:multiLevelType w:val="hybridMultilevel"/>
    <w:tmpl w:val="D85CF86C"/>
    <w:lvl w:ilvl="0" w:tplc="D3645492">
      <w:start w:val="1"/>
      <w:numFmt w:val="bullet"/>
      <w:lvlText w:val="•"/>
      <w:lvlJc w:val="left"/>
      <w:pPr>
        <w:spacing w:after="60"/>
        <w:ind w:left="600" w:hanging="300"/>
      </w:pPr>
    </w:lvl>
    <w:lvl w:ilvl="1" w:tplc="FB6265FE">
      <w:numFmt w:val="decimal"/>
      <w:lvlText w:val=""/>
      <w:lvlJc w:val="left"/>
    </w:lvl>
    <w:lvl w:ilvl="2" w:tplc="2728B0B6">
      <w:numFmt w:val="decimal"/>
      <w:lvlText w:val=""/>
      <w:lvlJc w:val="left"/>
    </w:lvl>
    <w:lvl w:ilvl="3" w:tplc="E7147458">
      <w:numFmt w:val="decimal"/>
      <w:lvlText w:val=""/>
      <w:lvlJc w:val="left"/>
    </w:lvl>
    <w:lvl w:ilvl="4" w:tplc="AE3A8C78">
      <w:numFmt w:val="decimal"/>
      <w:lvlText w:val=""/>
      <w:lvlJc w:val="left"/>
    </w:lvl>
    <w:lvl w:ilvl="5" w:tplc="439C3A28">
      <w:numFmt w:val="decimal"/>
      <w:lvlText w:val=""/>
      <w:lvlJc w:val="left"/>
    </w:lvl>
    <w:lvl w:ilvl="6" w:tplc="9740D7C4">
      <w:numFmt w:val="decimal"/>
      <w:lvlText w:val=""/>
      <w:lvlJc w:val="left"/>
    </w:lvl>
    <w:lvl w:ilvl="7" w:tplc="FD0EA718">
      <w:numFmt w:val="decimal"/>
      <w:lvlText w:val=""/>
      <w:lvlJc w:val="left"/>
    </w:lvl>
    <w:lvl w:ilvl="8" w:tplc="AEC439F8">
      <w:numFmt w:val="decimal"/>
      <w:lvlText w:val=""/>
      <w:lvlJc w:val="left"/>
    </w:lvl>
  </w:abstractNum>
  <w:abstractNum w:abstractNumId="2" w15:restartNumberingAfterBreak="0">
    <w:nsid w:val="26C20B61"/>
    <w:multiLevelType w:val="hybridMultilevel"/>
    <w:tmpl w:val="784C9D84"/>
    <w:lvl w:ilvl="0" w:tplc="80269830">
      <w:start w:val="1"/>
      <w:numFmt w:val="bullet"/>
      <w:lvlText w:val="•"/>
      <w:lvlJc w:val="left"/>
      <w:pPr>
        <w:spacing w:after="60"/>
        <w:ind w:left="600" w:hanging="300"/>
      </w:pPr>
    </w:lvl>
    <w:lvl w:ilvl="1" w:tplc="EA463E20">
      <w:numFmt w:val="decimal"/>
      <w:lvlText w:val=""/>
      <w:lvlJc w:val="left"/>
    </w:lvl>
    <w:lvl w:ilvl="2" w:tplc="C4A0BF98">
      <w:numFmt w:val="decimal"/>
      <w:lvlText w:val=""/>
      <w:lvlJc w:val="left"/>
    </w:lvl>
    <w:lvl w:ilvl="3" w:tplc="BA6099F6">
      <w:numFmt w:val="decimal"/>
      <w:lvlText w:val=""/>
      <w:lvlJc w:val="left"/>
    </w:lvl>
    <w:lvl w:ilvl="4" w:tplc="FA6809AE">
      <w:numFmt w:val="decimal"/>
      <w:lvlText w:val=""/>
      <w:lvlJc w:val="left"/>
    </w:lvl>
    <w:lvl w:ilvl="5" w:tplc="9D94AEEA">
      <w:numFmt w:val="decimal"/>
      <w:lvlText w:val=""/>
      <w:lvlJc w:val="left"/>
    </w:lvl>
    <w:lvl w:ilvl="6" w:tplc="F2A64F5E">
      <w:numFmt w:val="decimal"/>
      <w:lvlText w:val=""/>
      <w:lvlJc w:val="left"/>
    </w:lvl>
    <w:lvl w:ilvl="7" w:tplc="4AF8740C">
      <w:numFmt w:val="decimal"/>
      <w:lvlText w:val=""/>
      <w:lvlJc w:val="left"/>
    </w:lvl>
    <w:lvl w:ilvl="8" w:tplc="57EC7F50">
      <w:numFmt w:val="decimal"/>
      <w:lvlText w:val=""/>
      <w:lvlJc w:val="left"/>
    </w:lvl>
  </w:abstractNum>
  <w:abstractNum w:abstractNumId="3" w15:restartNumberingAfterBreak="0">
    <w:nsid w:val="311D62E9"/>
    <w:multiLevelType w:val="hybridMultilevel"/>
    <w:tmpl w:val="C6229396"/>
    <w:lvl w:ilvl="0" w:tplc="83E09A06">
      <w:start w:val="1"/>
      <w:numFmt w:val="bullet"/>
      <w:lvlText w:val="●"/>
      <w:lvlJc w:val="left"/>
      <w:pPr>
        <w:ind w:left="720" w:hanging="360"/>
      </w:pPr>
    </w:lvl>
    <w:lvl w:ilvl="1" w:tplc="462464D8">
      <w:start w:val="1"/>
      <w:numFmt w:val="bullet"/>
      <w:lvlText w:val="○"/>
      <w:lvlJc w:val="left"/>
      <w:pPr>
        <w:ind w:left="1440" w:hanging="360"/>
      </w:pPr>
    </w:lvl>
    <w:lvl w:ilvl="2" w:tplc="436CE9AC">
      <w:start w:val="1"/>
      <w:numFmt w:val="bullet"/>
      <w:lvlText w:val="■"/>
      <w:lvlJc w:val="left"/>
      <w:pPr>
        <w:ind w:left="2160" w:hanging="360"/>
      </w:pPr>
    </w:lvl>
    <w:lvl w:ilvl="3" w:tplc="00FACAEC">
      <w:start w:val="1"/>
      <w:numFmt w:val="bullet"/>
      <w:lvlText w:val="●"/>
      <w:lvlJc w:val="left"/>
      <w:pPr>
        <w:ind w:left="2880" w:hanging="360"/>
      </w:pPr>
    </w:lvl>
    <w:lvl w:ilvl="4" w:tplc="6BA04068">
      <w:start w:val="1"/>
      <w:numFmt w:val="bullet"/>
      <w:lvlText w:val="○"/>
      <w:lvlJc w:val="left"/>
      <w:pPr>
        <w:ind w:left="3600" w:hanging="360"/>
      </w:pPr>
    </w:lvl>
    <w:lvl w:ilvl="5" w:tplc="4CB2D62A">
      <w:start w:val="1"/>
      <w:numFmt w:val="bullet"/>
      <w:lvlText w:val="■"/>
      <w:lvlJc w:val="left"/>
      <w:pPr>
        <w:ind w:left="4320" w:hanging="360"/>
      </w:pPr>
    </w:lvl>
    <w:lvl w:ilvl="6" w:tplc="8F1CA6C6">
      <w:start w:val="1"/>
      <w:numFmt w:val="bullet"/>
      <w:lvlText w:val="●"/>
      <w:lvlJc w:val="left"/>
      <w:pPr>
        <w:ind w:left="5040" w:hanging="360"/>
      </w:pPr>
    </w:lvl>
    <w:lvl w:ilvl="7" w:tplc="7940315C">
      <w:start w:val="1"/>
      <w:numFmt w:val="bullet"/>
      <w:lvlText w:val="●"/>
      <w:lvlJc w:val="left"/>
      <w:pPr>
        <w:ind w:left="5760" w:hanging="360"/>
      </w:pPr>
    </w:lvl>
    <w:lvl w:ilvl="8" w:tplc="DCD226AE">
      <w:start w:val="1"/>
      <w:numFmt w:val="bullet"/>
      <w:lvlText w:val="●"/>
      <w:lvlJc w:val="left"/>
      <w:pPr>
        <w:ind w:left="6480" w:hanging="360"/>
      </w:pPr>
    </w:lvl>
  </w:abstractNum>
  <w:abstractNum w:abstractNumId="4" w15:restartNumberingAfterBreak="0">
    <w:nsid w:val="31C34A7D"/>
    <w:multiLevelType w:val="hybridMultilevel"/>
    <w:tmpl w:val="D7C6871E"/>
    <w:lvl w:ilvl="0" w:tplc="E8849B24">
      <w:start w:val="1"/>
      <w:numFmt w:val="bullet"/>
      <w:lvlText w:val="•"/>
      <w:lvlJc w:val="left"/>
      <w:pPr>
        <w:spacing w:after="60"/>
        <w:ind w:left="600" w:hanging="300"/>
      </w:pPr>
    </w:lvl>
    <w:lvl w:ilvl="1" w:tplc="453ED4B2">
      <w:numFmt w:val="decimal"/>
      <w:lvlText w:val=""/>
      <w:lvlJc w:val="left"/>
    </w:lvl>
    <w:lvl w:ilvl="2" w:tplc="3F308A20">
      <w:numFmt w:val="decimal"/>
      <w:lvlText w:val=""/>
      <w:lvlJc w:val="left"/>
    </w:lvl>
    <w:lvl w:ilvl="3" w:tplc="8CA0591C">
      <w:numFmt w:val="decimal"/>
      <w:lvlText w:val=""/>
      <w:lvlJc w:val="left"/>
    </w:lvl>
    <w:lvl w:ilvl="4" w:tplc="F2869634">
      <w:numFmt w:val="decimal"/>
      <w:lvlText w:val=""/>
      <w:lvlJc w:val="left"/>
    </w:lvl>
    <w:lvl w:ilvl="5" w:tplc="F4E831F4">
      <w:numFmt w:val="decimal"/>
      <w:lvlText w:val=""/>
      <w:lvlJc w:val="left"/>
    </w:lvl>
    <w:lvl w:ilvl="6" w:tplc="E7CE6176">
      <w:numFmt w:val="decimal"/>
      <w:lvlText w:val=""/>
      <w:lvlJc w:val="left"/>
    </w:lvl>
    <w:lvl w:ilvl="7" w:tplc="58644A32">
      <w:numFmt w:val="decimal"/>
      <w:lvlText w:val=""/>
      <w:lvlJc w:val="left"/>
    </w:lvl>
    <w:lvl w:ilvl="8" w:tplc="B240E774">
      <w:numFmt w:val="decimal"/>
      <w:lvlText w:val=""/>
      <w:lvlJc w:val="left"/>
    </w:lvl>
  </w:abstractNum>
  <w:abstractNum w:abstractNumId="5" w15:restartNumberingAfterBreak="0">
    <w:nsid w:val="48CF779A"/>
    <w:multiLevelType w:val="hybridMultilevel"/>
    <w:tmpl w:val="596E518A"/>
    <w:lvl w:ilvl="0" w:tplc="992A8FAC">
      <w:start w:val="1"/>
      <w:numFmt w:val="bullet"/>
      <w:lvlText w:val="•"/>
      <w:lvlJc w:val="left"/>
      <w:pPr>
        <w:spacing w:after="60"/>
        <w:ind w:left="600" w:hanging="300"/>
      </w:pPr>
    </w:lvl>
    <w:lvl w:ilvl="1" w:tplc="2AA8BA84">
      <w:numFmt w:val="decimal"/>
      <w:lvlText w:val=""/>
      <w:lvlJc w:val="left"/>
    </w:lvl>
    <w:lvl w:ilvl="2" w:tplc="CA105E7A">
      <w:numFmt w:val="decimal"/>
      <w:lvlText w:val=""/>
      <w:lvlJc w:val="left"/>
    </w:lvl>
    <w:lvl w:ilvl="3" w:tplc="CEA4F4E6">
      <w:numFmt w:val="decimal"/>
      <w:lvlText w:val=""/>
      <w:lvlJc w:val="left"/>
    </w:lvl>
    <w:lvl w:ilvl="4" w:tplc="DB221FAE">
      <w:numFmt w:val="decimal"/>
      <w:lvlText w:val=""/>
      <w:lvlJc w:val="left"/>
    </w:lvl>
    <w:lvl w:ilvl="5" w:tplc="D200CF5A">
      <w:numFmt w:val="decimal"/>
      <w:lvlText w:val=""/>
      <w:lvlJc w:val="left"/>
    </w:lvl>
    <w:lvl w:ilvl="6" w:tplc="685AA554">
      <w:numFmt w:val="decimal"/>
      <w:lvlText w:val=""/>
      <w:lvlJc w:val="left"/>
    </w:lvl>
    <w:lvl w:ilvl="7" w:tplc="0E0AFA8A">
      <w:numFmt w:val="decimal"/>
      <w:lvlText w:val=""/>
      <w:lvlJc w:val="left"/>
    </w:lvl>
    <w:lvl w:ilvl="8" w:tplc="22B851B4">
      <w:numFmt w:val="decimal"/>
      <w:lvlText w:val=""/>
      <w:lvlJc w:val="left"/>
    </w:lvl>
  </w:abstractNum>
  <w:abstractNum w:abstractNumId="6" w15:restartNumberingAfterBreak="0">
    <w:nsid w:val="55DA502E"/>
    <w:multiLevelType w:val="hybridMultilevel"/>
    <w:tmpl w:val="745433C2"/>
    <w:lvl w:ilvl="0" w:tplc="F00C9678">
      <w:start w:val="1"/>
      <w:numFmt w:val="bullet"/>
      <w:lvlText w:val="•"/>
      <w:lvlJc w:val="left"/>
      <w:pPr>
        <w:spacing w:after="60"/>
        <w:ind w:left="600" w:hanging="300"/>
      </w:pPr>
    </w:lvl>
    <w:lvl w:ilvl="1" w:tplc="F2F064B4">
      <w:numFmt w:val="decimal"/>
      <w:lvlText w:val=""/>
      <w:lvlJc w:val="left"/>
    </w:lvl>
    <w:lvl w:ilvl="2" w:tplc="BB764E08">
      <w:numFmt w:val="decimal"/>
      <w:lvlText w:val=""/>
      <w:lvlJc w:val="left"/>
    </w:lvl>
    <w:lvl w:ilvl="3" w:tplc="125CBC4E">
      <w:numFmt w:val="decimal"/>
      <w:lvlText w:val=""/>
      <w:lvlJc w:val="left"/>
    </w:lvl>
    <w:lvl w:ilvl="4" w:tplc="71D69570">
      <w:numFmt w:val="decimal"/>
      <w:lvlText w:val=""/>
      <w:lvlJc w:val="left"/>
    </w:lvl>
    <w:lvl w:ilvl="5" w:tplc="8F9E1ED6">
      <w:numFmt w:val="decimal"/>
      <w:lvlText w:val=""/>
      <w:lvlJc w:val="left"/>
    </w:lvl>
    <w:lvl w:ilvl="6" w:tplc="5B007D34">
      <w:numFmt w:val="decimal"/>
      <w:lvlText w:val=""/>
      <w:lvlJc w:val="left"/>
    </w:lvl>
    <w:lvl w:ilvl="7" w:tplc="D1625BFE">
      <w:numFmt w:val="decimal"/>
      <w:lvlText w:val=""/>
      <w:lvlJc w:val="left"/>
    </w:lvl>
    <w:lvl w:ilvl="8" w:tplc="8B42EE3A">
      <w:numFmt w:val="decimal"/>
      <w:lvlText w:val=""/>
      <w:lvlJc w:val="left"/>
    </w:lvl>
  </w:abstractNum>
  <w:abstractNum w:abstractNumId="7" w15:restartNumberingAfterBreak="0">
    <w:nsid w:val="605E4613"/>
    <w:multiLevelType w:val="hybridMultilevel"/>
    <w:tmpl w:val="0E66CDE2"/>
    <w:lvl w:ilvl="0" w:tplc="D7B83910">
      <w:start w:val="1"/>
      <w:numFmt w:val="bullet"/>
      <w:lvlText w:val="•"/>
      <w:lvlJc w:val="left"/>
      <w:pPr>
        <w:spacing w:after="60"/>
        <w:ind w:left="600" w:hanging="300"/>
      </w:pPr>
    </w:lvl>
    <w:lvl w:ilvl="1" w:tplc="9652342A">
      <w:numFmt w:val="decimal"/>
      <w:lvlText w:val=""/>
      <w:lvlJc w:val="left"/>
    </w:lvl>
    <w:lvl w:ilvl="2" w:tplc="BD8AEE40">
      <w:numFmt w:val="decimal"/>
      <w:lvlText w:val=""/>
      <w:lvlJc w:val="left"/>
    </w:lvl>
    <w:lvl w:ilvl="3" w:tplc="AC8CE38A">
      <w:numFmt w:val="decimal"/>
      <w:lvlText w:val=""/>
      <w:lvlJc w:val="left"/>
    </w:lvl>
    <w:lvl w:ilvl="4" w:tplc="E9CCC1CA">
      <w:numFmt w:val="decimal"/>
      <w:lvlText w:val=""/>
      <w:lvlJc w:val="left"/>
    </w:lvl>
    <w:lvl w:ilvl="5" w:tplc="DB6C7934">
      <w:numFmt w:val="decimal"/>
      <w:lvlText w:val=""/>
      <w:lvlJc w:val="left"/>
    </w:lvl>
    <w:lvl w:ilvl="6" w:tplc="463CFC72">
      <w:numFmt w:val="decimal"/>
      <w:lvlText w:val=""/>
      <w:lvlJc w:val="left"/>
    </w:lvl>
    <w:lvl w:ilvl="7" w:tplc="413AD690">
      <w:numFmt w:val="decimal"/>
      <w:lvlText w:val=""/>
      <w:lvlJc w:val="left"/>
    </w:lvl>
    <w:lvl w:ilvl="8" w:tplc="00A294E0">
      <w:numFmt w:val="decimal"/>
      <w:lvlText w:val=""/>
      <w:lvlJc w:val="left"/>
    </w:lvl>
  </w:abstractNum>
  <w:abstractNum w:abstractNumId="8" w15:restartNumberingAfterBreak="0">
    <w:nsid w:val="677073EA"/>
    <w:multiLevelType w:val="hybridMultilevel"/>
    <w:tmpl w:val="2FFAF214"/>
    <w:lvl w:ilvl="0" w:tplc="9642D552">
      <w:start w:val="1"/>
      <w:numFmt w:val="bullet"/>
      <w:lvlText w:val="•"/>
      <w:lvlJc w:val="left"/>
      <w:pPr>
        <w:spacing w:after="60"/>
        <w:ind w:left="600" w:hanging="300"/>
      </w:pPr>
    </w:lvl>
    <w:lvl w:ilvl="1" w:tplc="4D52A6A2">
      <w:numFmt w:val="decimal"/>
      <w:lvlText w:val=""/>
      <w:lvlJc w:val="left"/>
    </w:lvl>
    <w:lvl w:ilvl="2" w:tplc="4738816E">
      <w:numFmt w:val="decimal"/>
      <w:lvlText w:val=""/>
      <w:lvlJc w:val="left"/>
    </w:lvl>
    <w:lvl w:ilvl="3" w:tplc="E9561030">
      <w:numFmt w:val="decimal"/>
      <w:lvlText w:val=""/>
      <w:lvlJc w:val="left"/>
    </w:lvl>
    <w:lvl w:ilvl="4" w:tplc="5F7EE2C8">
      <w:numFmt w:val="decimal"/>
      <w:lvlText w:val=""/>
      <w:lvlJc w:val="left"/>
    </w:lvl>
    <w:lvl w:ilvl="5" w:tplc="BC3A72CC">
      <w:numFmt w:val="decimal"/>
      <w:lvlText w:val=""/>
      <w:lvlJc w:val="left"/>
    </w:lvl>
    <w:lvl w:ilvl="6" w:tplc="7CB482EE">
      <w:numFmt w:val="decimal"/>
      <w:lvlText w:val=""/>
      <w:lvlJc w:val="left"/>
    </w:lvl>
    <w:lvl w:ilvl="7" w:tplc="55483118">
      <w:numFmt w:val="decimal"/>
      <w:lvlText w:val=""/>
      <w:lvlJc w:val="left"/>
    </w:lvl>
    <w:lvl w:ilvl="8" w:tplc="F10C15AC">
      <w:numFmt w:val="decimal"/>
      <w:lvlText w:val=""/>
      <w:lvlJc w:val="left"/>
    </w:lvl>
  </w:abstractNum>
  <w:num w:numId="1" w16cid:durableId="1514879097">
    <w:abstractNumId w:val="3"/>
    <w:lvlOverride w:ilvl="0">
      <w:startOverride w:val="1"/>
    </w:lvlOverride>
  </w:num>
  <w:num w:numId="2" w16cid:durableId="2120906274">
    <w:abstractNumId w:val="7"/>
    <w:lvlOverride w:ilvl="0">
      <w:startOverride w:val="1"/>
    </w:lvlOverride>
  </w:num>
  <w:num w:numId="3" w16cid:durableId="1674332352">
    <w:abstractNumId w:val="8"/>
    <w:lvlOverride w:ilvl="0">
      <w:startOverride w:val="1"/>
    </w:lvlOverride>
  </w:num>
  <w:num w:numId="4" w16cid:durableId="1363167617">
    <w:abstractNumId w:val="4"/>
    <w:lvlOverride w:ilvl="0">
      <w:startOverride w:val="1"/>
    </w:lvlOverride>
  </w:num>
  <w:num w:numId="5" w16cid:durableId="92395251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7EF"/>
    <w:rsid w:val="00C9202A"/>
    <w:rsid w:val="00EB57EF"/>
    <w:rsid w:val="00FF4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79123D"/>
  <w15:docId w15:val="{13AFE593-F984-2B4F-8578-E70AD34C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5F9E"/>
      <w:sz w:val="26"/>
      <w:szCs w:val="26"/>
    </w:rPr>
  </w:style>
  <w:style w:type="paragraph" w:styleId="Heading3">
    <w:name w:val="heading 3"/>
    <w:uiPriority w:val="9"/>
    <w:unhideWhenUsed/>
    <w:qFormat/>
    <w:pPr>
      <w:spacing w:before="140" w:after="60"/>
      <w:outlineLvl w:val="2"/>
    </w:pPr>
    <w:rPr>
      <w:b/>
      <w:bCs/>
      <w:color w:val="1F386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2169</Words>
  <Characters>13925</Characters>
  <Application>Microsoft Office Word</Application>
  <DocSecurity>0</DocSecurity>
  <Lines>300</Lines>
  <Paragraphs>133</Paragraphs>
  <ScaleCrop>false</ScaleCrop>
  <Company/>
  <LinksUpToDate>false</LinksUpToDate>
  <CharactersWithSpaces>16095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Pahud</cp:lastModifiedBy>
  <cp:revision>2</cp:revision>
  <dcterms:created xsi:type="dcterms:W3CDTF">2026-04-18T03:16:00Z</dcterms:created>
  <dcterms:modified xsi:type="dcterms:W3CDTF">2026-04-18T03:16:00Z</dcterms:modified>
</cp:coreProperties>
</file>