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BACE4" w14:textId="77777777" w:rsidR="00A54EB3" w:rsidRDefault="00000000">
      <w:pPr>
        <w:spacing w:before="480" w:after="240"/>
      </w:pPr>
      <w:r>
        <w:rPr>
          <w:b/>
          <w:bCs/>
          <w:color w:val="1F4E79"/>
          <w:sz w:val="52"/>
          <w:szCs w:val="52"/>
        </w:rPr>
        <w:t>Oros CKM Data Readiness</w:t>
      </w:r>
    </w:p>
    <w:p w14:paraId="28046BFD" w14:textId="77777777" w:rsidR="00A54EB3" w:rsidRDefault="00000000">
      <w:pPr>
        <w:spacing w:after="120"/>
      </w:pPr>
      <w:r>
        <w:rPr>
          <w:b/>
          <w:bCs/>
          <w:color w:val="2E75B6"/>
          <w:sz w:val="40"/>
          <w:szCs w:val="40"/>
        </w:rPr>
        <w:t>Architecture Specification</w:t>
      </w:r>
    </w:p>
    <w:p w14:paraId="4CAF957D" w14:textId="77777777" w:rsidR="00A54EB3" w:rsidRDefault="00000000">
      <w:pPr>
        <w:spacing w:after="480"/>
      </w:pPr>
      <w:r>
        <w:rPr>
          <w:i/>
          <w:iCs/>
          <w:sz w:val="24"/>
          <w:szCs w:val="24"/>
        </w:rPr>
        <w:t>Version 1.2  —  April 2026</w:t>
      </w:r>
    </w:p>
    <w:p w14:paraId="0706A851" w14:textId="77777777" w:rsidR="00A54EB3" w:rsidRDefault="00A54EB3">
      <w:pPr>
        <w:pBdr>
          <w:bottom w:val="single" w:sz="6" w:space="1" w:color="2E75B6"/>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4EB3" w14:paraId="08FE85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3DEFA" w14:textId="77777777" w:rsidR="00A54EB3" w:rsidRDefault="00000000">
            <w:r>
              <w:rPr>
                <w:b/>
                <w:bCs/>
                <w:color w:val="1F4E79"/>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DF575" w14:textId="77777777" w:rsidR="00A54EB3" w:rsidRDefault="00000000">
            <w:r>
              <w:t>Active — canonical methodology reference</w:t>
            </w:r>
          </w:p>
        </w:tc>
      </w:tr>
      <w:tr w:rsidR="00A54EB3" w14:paraId="11BB37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65E51" w14:textId="77777777" w:rsidR="00A54EB3" w:rsidRDefault="00000000">
            <w:r>
              <w:rPr>
                <w:b/>
                <w:bCs/>
                <w:color w:val="1F4E79"/>
              </w:rPr>
              <w:t>Supersedes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D11A8" w14:textId="77777777" w:rsidR="00A54EB3" w:rsidRDefault="00000000">
            <w:r>
              <w:t>Architecture Specification v1.1; Baseline Methodology (retired)</w:t>
            </w:r>
          </w:p>
        </w:tc>
      </w:tr>
      <w:tr w:rsidR="00A54EB3" w14:paraId="4FA8C1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573CF5" w14:textId="77777777" w:rsidR="00A54EB3" w:rsidRDefault="00000000">
            <w:r>
              <w:rPr>
                <w:b/>
                <w:bCs/>
                <w:color w:val="1F4E79"/>
              </w:rPr>
              <w:t>Authors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A6C47" w14:textId="77777777" w:rsidR="00A54EB3" w:rsidRDefault="00000000">
            <w:r>
              <w:t>Dominique Pahud (Oros) with Hanieh Razzaghi (CHOP / UPenn)</w:t>
            </w:r>
          </w:p>
        </w:tc>
      </w:tr>
      <w:tr w:rsidR="00A54EB3" w14:paraId="285251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141FF2" w14:textId="77777777" w:rsidR="00A54EB3" w:rsidRDefault="00000000">
            <w:r>
              <w:rPr>
                <w:b/>
                <w:bCs/>
                <w:color w:val="1F4E79"/>
              </w:rPr>
              <w:t>Audience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5596" w14:textId="77777777" w:rsidR="00A54EB3" w:rsidRDefault="00000000">
            <w:r>
              <w:t>Clinical collaborators, technical leads, funders, implementation partners</w:t>
            </w:r>
          </w:p>
        </w:tc>
      </w:tr>
      <w:tr w:rsidR="00A54EB3" w14:paraId="0ECD99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C5FB2" w14:textId="77777777" w:rsidR="00A54EB3" w:rsidRDefault="00000000">
            <w:r>
              <w:rPr>
                <w:b/>
                <w:bCs/>
                <w:color w:val="1F4E79"/>
              </w:rPr>
              <w:t>Last updated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03929" w14:textId="77777777" w:rsidR="00A54EB3" w:rsidRDefault="00000000">
            <w:r>
              <w:t>April 2026</w:t>
            </w:r>
          </w:p>
        </w:tc>
      </w:tr>
    </w:tbl>
    <w:p w14:paraId="0081327F" w14:textId="77777777" w:rsidR="00A54EB3" w:rsidRDefault="00A54EB3">
      <w:pPr>
        <w:spacing w:after="120"/>
      </w:pPr>
    </w:p>
    <w:p w14:paraId="777ADDF7" w14:textId="77777777" w:rsidR="00A54EB3" w:rsidRDefault="00A54EB3">
      <w:pPr>
        <w:spacing w:after="120"/>
      </w:pPr>
    </w:p>
    <w:p w14:paraId="3FA256E6" w14:textId="77777777" w:rsidR="00A54EB3" w:rsidRDefault="00000000">
      <w:pPr>
        <w:pStyle w:val="Heading1"/>
      </w:pPr>
      <w:r>
        <w:t>1. Purpose</w:t>
      </w:r>
    </w:p>
    <w:p w14:paraId="51EC98D5" w14:textId="77777777" w:rsidR="00A54EB3" w:rsidRDefault="00000000">
      <w:pPr>
        <w:spacing w:after="160"/>
      </w:pPr>
      <w:r>
        <w:t>This specification defines the methodology and object model for the Oros CKM Data Readiness Infrastructure. It is the canonical reference for how the platform evaluates whether healthcare data is fit for purpose for specific clinical and operational use cases.</w:t>
      </w:r>
    </w:p>
    <w:p w14:paraId="7CB01711" w14:textId="77777777" w:rsidR="00A54EB3" w:rsidRDefault="00000000">
      <w:pPr>
        <w:spacing w:after="160"/>
      </w:pPr>
      <w:r>
        <w:t>Traditional data quality frameworks ask: “is the data valid?” This architecture extends that question to: “is the data sufficient to execute a specific clinical or operational program?” The Use Case Specification is the artifact that implements this operational fit-for-purpose layer.</w:t>
      </w:r>
    </w:p>
    <w:p w14:paraId="0A71D267" w14:textId="77777777" w:rsidR="00A54EB3" w:rsidRDefault="00000000">
      <w:pPr>
        <w:spacing w:after="160"/>
      </w:pPr>
      <w:r>
        <w:t>This document supersedes the Baseline Methodology. It is designed to be shared with clinical collaborators, technical implementers, and funders as the authoritative description of the methodology.</w:t>
      </w:r>
    </w:p>
    <w:p w14:paraId="4BA16A32" w14:textId="77777777" w:rsidR="00A54EB3" w:rsidRDefault="00A54EB3">
      <w:pPr>
        <w:spacing w:after="120"/>
      </w:pPr>
    </w:p>
    <w:p w14:paraId="0A73E386" w14:textId="77777777" w:rsidR="00A54EB3" w:rsidRDefault="00000000">
      <w:pPr>
        <w:pStyle w:val="Heading1"/>
      </w:pPr>
      <w:r>
        <w:t>2. Core Model</w:t>
      </w:r>
    </w:p>
    <w:p w14:paraId="1AEC399D" w14:textId="77777777" w:rsidR="00A54EB3" w:rsidRDefault="00000000">
      <w:pPr>
        <w:spacing w:after="160"/>
      </w:pPr>
      <w:r>
        <w:t>The methodology operates in three stages:</w:t>
      </w:r>
    </w:p>
    <w:p w14:paraId="736AFCC5" w14:textId="77777777" w:rsidR="00A54EB3" w:rsidRDefault="00A54E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5302"/>
        <w:gridCol w:w="2582"/>
      </w:tblGrid>
      <w:tr w:rsidR="00A54EB3" w14:paraId="5E5ADF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700F5E" w14:textId="77777777" w:rsidR="00A54EB3" w:rsidRDefault="00000000">
            <w:r>
              <w:rPr>
                <w:b/>
                <w:bCs/>
                <w:color w:val="FFFFFF"/>
              </w:rPr>
              <w:t>Stage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0A8873" w14:textId="77777777" w:rsidR="00A54EB3" w:rsidRDefault="00000000">
            <w:r>
              <w:rPr>
                <w:b/>
                <w:bCs/>
                <w:color w:val="FFFFFF"/>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2194EB" w14:textId="77777777" w:rsidR="00A54EB3" w:rsidRDefault="00000000">
            <w:r>
              <w:rPr>
                <w:b/>
                <w:bCs/>
                <w:color w:val="FFFFFF"/>
              </w:rPr>
              <w:t>Key Output</w:t>
            </w:r>
          </w:p>
        </w:tc>
      </w:tr>
      <w:tr w:rsidR="00A54EB3" w14:paraId="3688E0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F4A7800" w14:textId="77777777" w:rsidR="00A54EB3" w:rsidRDefault="00000000">
            <w:r>
              <w:lastRenderedPageBreak/>
              <w:t>1 — Variable-Level Evaluation</w:t>
            </w:r>
          </w:p>
        </w:tc>
        <w:tc>
          <w:tcPr>
            <w:tcW w:w="5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6EA6E9E" w14:textId="77777777" w:rsidR="00A54EB3" w:rsidRDefault="00000000">
            <w:r>
              <w:t>Each clinical variable is evaluated independently: technical quality (ingestion, mapping, identity resolution) and readiness (plausibility, temporal coverage, concordance).</w:t>
            </w:r>
          </w:p>
        </w:tc>
        <w:tc>
          <w:tcPr>
            <w:tcW w:w="2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AA27C57" w14:textId="77777777" w:rsidR="00A54EB3" w:rsidRDefault="00000000">
            <w:r>
              <w:t>Variable score + flagged issues</w:t>
            </w:r>
          </w:p>
        </w:tc>
      </w:tr>
      <w:tr w:rsidR="00A54EB3" w14:paraId="616D8F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4F415" w14:textId="77777777" w:rsidR="00A54EB3" w:rsidRDefault="00000000">
            <w:r>
              <w:t>2 — Use-Case Evaluation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935D" w14:textId="77777777" w:rsidR="00A54EB3" w:rsidRDefault="00000000">
            <w:r>
              <w:t>Fit-for-purpose is assessed across all required variables for a use case. A use case is blocked if any critical variable fails its minimum threshold.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0011" w14:textId="77777777" w:rsidR="00A54EB3" w:rsidRDefault="00000000">
            <w:r>
              <w:t>Use case status: READY / PARTIALLY READY / NOT READY</w:t>
            </w:r>
          </w:p>
        </w:tc>
      </w:tr>
      <w:tr w:rsidR="00A54EB3" w14:paraId="2FE31D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32AD159" w14:textId="77777777" w:rsidR="00A54EB3" w:rsidRDefault="00000000">
            <w:r>
              <w:t>3 — Remediation and Iteration</w:t>
            </w:r>
          </w:p>
        </w:tc>
        <w:tc>
          <w:tcPr>
            <w:tcW w:w="5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CAE2B55" w14:textId="77777777" w:rsidR="00A54EB3" w:rsidRDefault="00000000">
            <w:r>
              <w:t>The system identifies which variable is blocking, what is wrong, and what remediation step would resolve it. After remediation, variables and use cases are re-scored.</w:t>
            </w:r>
          </w:p>
        </w:tc>
        <w:tc>
          <w:tcPr>
            <w:tcW w:w="2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0C13A37" w14:textId="77777777" w:rsidR="00A54EB3" w:rsidRDefault="00000000">
            <w:r>
              <w:t>Capability unlocked; audit trail produced</w:t>
            </w:r>
          </w:p>
        </w:tc>
      </w:tr>
    </w:tbl>
    <w:p w14:paraId="36F963C9" w14:textId="77777777" w:rsidR="00A54EB3" w:rsidRDefault="00A54EB3">
      <w:pPr>
        <w:spacing w:after="120"/>
      </w:pPr>
    </w:p>
    <w:tbl>
      <w:tblPr>
        <w:tblW w:w="9360" w:type="dxa"/>
        <w:tblBorders>
          <w:top w:val="single" w:sz="4" w:space="0" w:color="2E75B6"/>
          <w:left w:val="single" w:sz="12" w:space="0" w:color="2E75B6"/>
          <w:bottom w:val="single" w:sz="4" w:space="0" w:color="2E75B6"/>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4EB3" w14:paraId="7B60AC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20" w:type="dxa"/>
              <w:left w:w="180" w:type="dxa"/>
              <w:bottom w:w="120" w:type="dxa"/>
              <w:right w:w="120" w:type="dxa"/>
            </w:tcMar>
          </w:tcPr>
          <w:p w14:paraId="1875D45D" w14:textId="77777777" w:rsidR="00A54EB3" w:rsidRDefault="00000000">
            <w:r>
              <w:rPr>
                <w:i/>
                <w:iCs/>
              </w:rPr>
              <w:t>Data quality is always conditional on use. A variable is not simply ‘good’ or ‘bad’ — it is ready or not ready for a specific operational program.</w:t>
            </w:r>
          </w:p>
        </w:tc>
      </w:tr>
    </w:tbl>
    <w:p w14:paraId="46B57EBC" w14:textId="77777777" w:rsidR="00A54EB3" w:rsidRDefault="00A54EB3">
      <w:pPr>
        <w:spacing w:after="120"/>
      </w:pPr>
    </w:p>
    <w:p w14:paraId="3BCBD07B" w14:textId="77777777" w:rsidR="00A54EB3" w:rsidRDefault="00000000">
      <w:pPr>
        <w:pStyle w:val="Heading1"/>
      </w:pPr>
      <w:r>
        <w:t>3. Object Model</w:t>
      </w:r>
    </w:p>
    <w:p w14:paraId="1509E4E4" w14:textId="77777777" w:rsidR="00A54EB3" w:rsidRDefault="00000000">
      <w:pPr>
        <w:spacing w:after="160"/>
      </w:pPr>
      <w:r>
        <w:t>The methodology is implemented through three objects. The Variable Library and Use Case Category taxonomy are shared across all conditions. The Condition Module and Use Case Specification are condition-specific.</w:t>
      </w:r>
    </w:p>
    <w:p w14:paraId="379EA903" w14:textId="77777777" w:rsidR="00A54EB3" w:rsidRDefault="00A54EB3">
      <w:pPr>
        <w:spacing w:after="120"/>
      </w:pPr>
    </w:p>
    <w:p w14:paraId="5CC6BC0B" w14:textId="77777777" w:rsidR="00A54EB3" w:rsidRDefault="00000000">
      <w:pPr>
        <w:spacing w:after="80"/>
      </w:pPr>
      <w:r>
        <w:rPr>
          <w:b/>
          <w:bCs/>
        </w:rPr>
        <w:t>Architecture flow:</w:t>
      </w:r>
    </w:p>
    <w:p w14:paraId="4F28D7AC" w14:textId="77777777" w:rsidR="00A54EB3" w:rsidRDefault="00000000">
      <w:pPr>
        <w:spacing w:after="240"/>
      </w:pPr>
      <w:r>
        <w:rPr>
          <w:rFonts w:ascii="Courier New" w:eastAsia="Courier New" w:hAnsi="Courier New" w:cs="Courier New"/>
          <w:color w:val="2E75B6"/>
          <w:sz w:val="20"/>
          <w:szCs w:val="20"/>
        </w:rPr>
        <w:t>Variable Library (shared)  +  Use Case Category [enum field]</w:t>
      </w:r>
    </w:p>
    <w:p w14:paraId="6CE6CDFA" w14:textId="77777777" w:rsidR="00A54EB3" w:rsidRDefault="00000000">
      <w:pPr>
        <w:spacing w:after="240"/>
      </w:pPr>
      <w:r>
        <w:rPr>
          <w:rFonts w:ascii="Courier New" w:eastAsia="Courier New" w:hAnsi="Courier New" w:cs="Courier New"/>
          <w:color w:val="2E75B6"/>
          <w:sz w:val="20"/>
          <w:szCs w:val="20"/>
        </w:rPr>
        <w:t xml:space="preserve">        ↓</w:t>
      </w:r>
    </w:p>
    <w:p w14:paraId="6D78F09F" w14:textId="77777777" w:rsidR="00A54EB3" w:rsidRDefault="00000000">
      <w:pPr>
        <w:spacing w:after="240"/>
      </w:pPr>
      <w:r>
        <w:rPr>
          <w:rFonts w:ascii="Courier New" w:eastAsia="Courier New" w:hAnsi="Courier New" w:cs="Courier New"/>
          <w:color w:val="2E75B6"/>
          <w:sz w:val="20"/>
          <w:szCs w:val="20"/>
        </w:rPr>
        <w:t>Condition Module</w:t>
      </w:r>
    </w:p>
    <w:p w14:paraId="53B3E6E4" w14:textId="77777777" w:rsidR="00A54EB3" w:rsidRDefault="00000000">
      <w:pPr>
        <w:spacing w:after="240"/>
      </w:pPr>
      <w:r>
        <w:rPr>
          <w:rFonts w:ascii="Courier New" w:eastAsia="Courier New" w:hAnsi="Courier New" w:cs="Courier New"/>
          <w:color w:val="2E75B6"/>
          <w:sz w:val="20"/>
          <w:szCs w:val="20"/>
        </w:rPr>
        <w:t xml:space="preserve">        ↓</w:t>
      </w:r>
    </w:p>
    <w:p w14:paraId="37AD9EA8" w14:textId="77777777" w:rsidR="00A54EB3" w:rsidRDefault="00000000">
      <w:pPr>
        <w:spacing w:after="240"/>
      </w:pPr>
      <w:r>
        <w:rPr>
          <w:rFonts w:ascii="Courier New" w:eastAsia="Courier New" w:hAnsi="Courier New" w:cs="Courier New"/>
          <w:color w:val="2E75B6"/>
          <w:sz w:val="20"/>
          <w:szCs w:val="20"/>
        </w:rPr>
        <w:t>Use Case Specification(s)  [core operational object]</w:t>
      </w:r>
    </w:p>
    <w:p w14:paraId="1AAC671A" w14:textId="77777777" w:rsidR="00A54EB3" w:rsidRDefault="00A54EB3">
      <w:pPr>
        <w:spacing w:after="120"/>
      </w:pPr>
    </w:p>
    <w:p w14:paraId="62FC22A4" w14:textId="77777777" w:rsidR="00A54EB3" w:rsidRDefault="00000000">
      <w:pPr>
        <w:pStyle w:val="Heading2"/>
      </w:pPr>
      <w:r>
        <w:t>3.1 Variable</w:t>
      </w:r>
    </w:p>
    <w:p w14:paraId="7DC9D161" w14:textId="77777777" w:rsidR="00A54EB3" w:rsidRDefault="00000000">
      <w:pPr>
        <w:spacing w:after="160"/>
      </w:pPr>
      <w:r>
        <w:t>A Variable is a reusable clinical data element defined independently of any condition or use case. Variables are shared assets across all conditions. The same variable — for example, smoking status — is defined once and referenced by any condition module that needs it.</w:t>
      </w:r>
    </w:p>
    <w:p w14:paraId="42727458" w14:textId="77777777" w:rsidR="00A54EB3" w:rsidRDefault="00A54EB3">
      <w:pPr>
        <w:spacing w:after="120"/>
      </w:pPr>
    </w:p>
    <w:p w14:paraId="3BE6226B" w14:textId="77777777" w:rsidR="00A54EB3" w:rsidRDefault="00000000">
      <w:pPr>
        <w:spacing w:after="160"/>
      </w:pPr>
      <w:r>
        <w:t>Each Variable contains:</w:t>
      </w:r>
    </w:p>
    <w:p w14:paraId="06C34388" w14:textId="77777777" w:rsidR="00A54EB3" w:rsidRDefault="00000000">
      <w:pPr>
        <w:pStyle w:val="ListParagraph"/>
        <w:numPr>
          <w:ilvl w:val="0"/>
          <w:numId w:val="2"/>
        </w:numPr>
        <w:spacing w:after="80"/>
      </w:pPr>
      <w:r>
        <w:t>Name and description</w:t>
      </w:r>
    </w:p>
    <w:p w14:paraId="0C027806" w14:textId="77777777" w:rsidR="00A54EB3" w:rsidRDefault="00000000">
      <w:pPr>
        <w:pStyle w:val="ListParagraph"/>
        <w:numPr>
          <w:ilvl w:val="0"/>
          <w:numId w:val="2"/>
        </w:numPr>
        <w:spacing w:after="80"/>
      </w:pPr>
      <w:r>
        <w:lastRenderedPageBreak/>
        <w:t>Code sets: the specific terminology codes used to identify the variable (LOINC, SNOMED, RxNorm, ICD-10, etc.)</w:t>
      </w:r>
    </w:p>
    <w:p w14:paraId="55C339D2" w14:textId="77777777" w:rsidR="00A54EB3" w:rsidRDefault="00000000">
      <w:pPr>
        <w:pStyle w:val="ListParagraph"/>
        <w:numPr>
          <w:ilvl w:val="0"/>
          <w:numId w:val="2"/>
        </w:numPr>
        <w:spacing w:after="80"/>
      </w:pPr>
      <w:r>
        <w:t>Implementation logic: how to extract or identify this variable from raw data. Can range from a simple code set lookup to complex criteria (e.g., two qualifying encounters at least 90 days apart)</w:t>
      </w:r>
    </w:p>
    <w:p w14:paraId="3D8E1D9B" w14:textId="77777777" w:rsidR="00A54EB3" w:rsidRDefault="00000000">
      <w:pPr>
        <w:pStyle w:val="ListParagraph"/>
        <w:numPr>
          <w:ilvl w:val="0"/>
          <w:numId w:val="2"/>
        </w:numPr>
        <w:spacing w:after="80"/>
      </w:pPr>
      <w:r>
        <w:t>Data sources: EHR, connected device, claims, PRO, or other feed</w:t>
      </w:r>
    </w:p>
    <w:p w14:paraId="1012A7DE" w14:textId="77777777" w:rsidR="00A54EB3" w:rsidRDefault="00000000">
      <w:pPr>
        <w:pStyle w:val="ListParagraph"/>
        <w:numPr>
          <w:ilvl w:val="0"/>
          <w:numId w:val="2"/>
        </w:numPr>
        <w:spacing w:after="80"/>
      </w:pPr>
      <w:r>
        <w:t>Default data quality checks: conformance, completeness, and plausibility checks that apply regardless of use case. These reference the platform check registry (layer1–layer5 and device checks), which implement conformance, completeness, plausibility, temporal validity, and cross-source concordance.</w:t>
      </w:r>
    </w:p>
    <w:p w14:paraId="36BE99FC" w14:textId="77777777" w:rsidR="00A54EB3" w:rsidRDefault="00000000">
      <w:pPr>
        <w:pStyle w:val="ListParagraph"/>
        <w:numPr>
          <w:ilvl w:val="0"/>
          <w:numId w:val="2"/>
        </w:numPr>
        <w:spacing w:after="80"/>
      </w:pPr>
      <w:r>
        <w:t>Version: updated only when the base definition becomes obsolete (e.g., terminology code set revision)</w:t>
      </w:r>
    </w:p>
    <w:p w14:paraId="49262413" w14:textId="77777777" w:rsidR="00A54EB3" w:rsidRDefault="00A54EB3">
      <w:pPr>
        <w:spacing w:after="120"/>
      </w:pPr>
    </w:p>
    <w:tbl>
      <w:tblPr>
        <w:tblW w:w="9360" w:type="dxa"/>
        <w:tblBorders>
          <w:top w:val="single" w:sz="4" w:space="0" w:color="2E75B6"/>
          <w:left w:val="single" w:sz="12" w:space="0" w:color="2E75B6"/>
          <w:bottom w:val="single" w:sz="4" w:space="0" w:color="2E75B6"/>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4EB3" w14:paraId="385932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20" w:type="dxa"/>
              <w:left w:w="180" w:type="dxa"/>
              <w:bottom w:w="120" w:type="dxa"/>
              <w:right w:w="120" w:type="dxa"/>
            </w:tcMar>
          </w:tcPr>
          <w:p w14:paraId="5742CA56" w14:textId="77777777" w:rsidR="00A54EB3" w:rsidRDefault="00000000">
            <w:r>
              <w:rPr>
                <w:i/>
                <w:iCs/>
              </w:rPr>
              <w:t>Variable definitions do not carry use-case-specific thresholds or application rules. Those belong in the Use Case Specification. This keeps variables clean and reusable across all conditions and use cases.</w:t>
            </w:r>
          </w:p>
        </w:tc>
      </w:tr>
    </w:tbl>
    <w:p w14:paraId="50F2B8CE" w14:textId="77777777" w:rsidR="00A54EB3" w:rsidRDefault="00A54EB3">
      <w:pPr>
        <w:spacing w:after="120"/>
      </w:pPr>
    </w:p>
    <w:p w14:paraId="0AA8970C" w14:textId="77777777" w:rsidR="00A54EB3" w:rsidRDefault="00000000">
      <w:pPr>
        <w:pStyle w:val="Heading2"/>
      </w:pPr>
      <w:r>
        <w:t>3.2 Condition Module</w:t>
      </w:r>
    </w:p>
    <w:p w14:paraId="00B76388" w14:textId="77777777" w:rsidR="00A54EB3" w:rsidRDefault="00000000">
      <w:pPr>
        <w:spacing w:after="160"/>
      </w:pPr>
      <w:r>
        <w:t>A Condition Module is the organizational layer for a clinical condition. It does not own execution logic. It scopes and organizes which variables and use cases belong to a condition, and provides the context needed to author Use Case Specifications.</w:t>
      </w:r>
    </w:p>
    <w:p w14:paraId="1672066A" w14:textId="77777777" w:rsidR="00A54EB3" w:rsidRDefault="00A54EB3">
      <w:pPr>
        <w:spacing w:after="120"/>
      </w:pPr>
    </w:p>
    <w:p w14:paraId="2F6CD837" w14:textId="77777777" w:rsidR="00A54EB3" w:rsidRDefault="00000000">
      <w:pPr>
        <w:spacing w:after="160"/>
      </w:pPr>
      <w:r>
        <w:t>Each Condition Module contains:</w:t>
      </w:r>
    </w:p>
    <w:p w14:paraId="7DAF94CC" w14:textId="77777777" w:rsidR="00A54EB3" w:rsidRDefault="00000000">
      <w:pPr>
        <w:pStyle w:val="ListParagraph"/>
        <w:numPr>
          <w:ilvl w:val="0"/>
          <w:numId w:val="2"/>
        </w:numPr>
        <w:spacing w:after="80"/>
      </w:pPr>
      <w:r>
        <w:t>Condition name and description</w:t>
      </w:r>
    </w:p>
    <w:p w14:paraId="53EC645C" w14:textId="77777777" w:rsidR="00A54EB3" w:rsidRDefault="00000000">
      <w:pPr>
        <w:pStyle w:val="ListParagraph"/>
        <w:numPr>
          <w:ilvl w:val="0"/>
          <w:numId w:val="2"/>
        </w:numPr>
        <w:spacing w:after="80"/>
      </w:pPr>
      <w:r>
        <w:t>Referenced variables: the set of variables relevant to this condition, drawn from the shared Variable Library</w:t>
      </w:r>
    </w:p>
    <w:p w14:paraId="2ED30473" w14:textId="77777777" w:rsidR="00A54EB3" w:rsidRDefault="00000000">
      <w:pPr>
        <w:pStyle w:val="ListParagraph"/>
        <w:numPr>
          <w:ilvl w:val="0"/>
          <w:numId w:val="2"/>
        </w:numPr>
        <w:spacing w:after="80"/>
      </w:pPr>
      <w:r>
        <w:t>Supported use cases: the Use Case Specifications defined for this condition</w:t>
      </w:r>
    </w:p>
    <w:p w14:paraId="705E803F" w14:textId="77777777" w:rsidR="00A54EB3" w:rsidRDefault="00000000">
      <w:pPr>
        <w:pStyle w:val="ListParagraph"/>
        <w:numPr>
          <w:ilvl w:val="0"/>
          <w:numId w:val="2"/>
        </w:numPr>
        <w:spacing w:after="80"/>
      </w:pPr>
      <w:r>
        <w:t>Condition context: clinical background, relevant guidelines, population scope</w:t>
      </w:r>
    </w:p>
    <w:p w14:paraId="746AF43C" w14:textId="77777777" w:rsidR="00A54EB3" w:rsidRDefault="00A54EB3">
      <w:pPr>
        <w:spacing w:after="120"/>
      </w:pPr>
    </w:p>
    <w:p w14:paraId="46288BAC" w14:textId="77777777" w:rsidR="00A54EB3" w:rsidRDefault="00000000">
      <w:pPr>
        <w:spacing w:after="160"/>
      </w:pPr>
      <w:r>
        <w:t>The Condition Module is implemented as a config file in the repository (conditions/diabetes/diabetes.config.json, etc.) and is the governance artifact reviewed and approved before a condition is incorporated into the platform. It is also the fundable deliverable that condition-specific contributors and funders can point to.</w:t>
      </w:r>
    </w:p>
    <w:p w14:paraId="1C83124A" w14:textId="77777777" w:rsidR="00A54EB3" w:rsidRDefault="00A54EB3">
      <w:pPr>
        <w:spacing w:after="120"/>
      </w:pPr>
    </w:p>
    <w:p w14:paraId="6B615B53" w14:textId="77777777" w:rsidR="00A54EB3" w:rsidRDefault="00000000">
      <w:pPr>
        <w:pStyle w:val="Heading2"/>
      </w:pPr>
      <w:r>
        <w:t>3.3 Use Case Specification</w:t>
      </w:r>
    </w:p>
    <w:p w14:paraId="10F97312" w14:textId="77777777" w:rsidR="00A54EB3" w:rsidRDefault="00000000">
      <w:pPr>
        <w:spacing w:after="160"/>
      </w:pPr>
      <w:r>
        <w:t>The Use Case Specification is the core operational object and the unit of execution in the system. All readiness evaluation, blocking logic, and output generation occur at this level. It defines how a specific use case is executed for a given condition and implements the fit-for-purpose layer that distinguishes this methodology from traditional data quality frameworks.</w:t>
      </w:r>
    </w:p>
    <w:p w14:paraId="4CC02D04" w14:textId="77777777" w:rsidR="00A54EB3" w:rsidRDefault="00A54EB3">
      <w:pPr>
        <w:spacing w:after="120"/>
      </w:pPr>
    </w:p>
    <w:p w14:paraId="038BC421" w14:textId="77777777" w:rsidR="00A54EB3" w:rsidRDefault="00000000">
      <w:pPr>
        <w:spacing w:after="160"/>
      </w:pPr>
      <w:r>
        <w:t>Each Use Case Specification contains:</w:t>
      </w:r>
    </w:p>
    <w:p w14:paraId="23EFD904" w14:textId="77777777" w:rsidR="00A54EB3" w:rsidRDefault="00A54E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54EB3" w14:paraId="290C91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653CAE" w14:textId="77777777" w:rsidR="00A54EB3" w:rsidRDefault="00000000">
            <w:r>
              <w:rPr>
                <w:b/>
                <w:bCs/>
                <w:color w:val="FFFFFF"/>
              </w:rPr>
              <w:t>Section</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D5AAF7" w14:textId="77777777" w:rsidR="00A54EB3" w:rsidRDefault="00000000">
            <w:r>
              <w:rPr>
                <w:b/>
                <w:bCs/>
                <w:color w:val="FFFFFF"/>
              </w:rPr>
              <w:t>Contents</w:t>
            </w:r>
          </w:p>
        </w:tc>
      </w:tr>
      <w:tr w:rsidR="00A54EB3" w14:paraId="7B4673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23EADA2" w14:textId="77777777" w:rsidR="00A54EB3" w:rsidRDefault="00000000">
            <w:r>
              <w:t>Condition</w:t>
            </w:r>
          </w:p>
        </w:tc>
        <w:tc>
          <w:tcPr>
            <w:tcW w:w="69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9981ABD" w14:textId="77777777" w:rsidR="00A54EB3" w:rsidRDefault="00000000">
            <w:r>
              <w:t>The condition this specification applies to (e.g., Diabetes)</w:t>
            </w:r>
          </w:p>
        </w:tc>
      </w:tr>
      <w:tr w:rsidR="00A54EB3" w14:paraId="3C9060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AAFA1" w14:textId="77777777" w:rsidR="00A54EB3" w:rsidRDefault="00000000">
            <w: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08D7A" w14:textId="77777777" w:rsidR="00A54EB3" w:rsidRDefault="00000000">
            <w:r>
              <w:t>Specific use case identifier (e.g., diabetes_risk_stratification)</w:t>
            </w:r>
          </w:p>
        </w:tc>
      </w:tr>
      <w:tr w:rsidR="00A54EB3" w14:paraId="58F62B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9E35B9D" w14:textId="77777777" w:rsidR="00A54EB3" w:rsidRDefault="00000000">
            <w:r>
              <w:t>Use Case Category</w:t>
            </w:r>
          </w:p>
        </w:tc>
        <w:tc>
          <w:tcPr>
            <w:tcW w:w="69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23E3EA5" w14:textId="77777777" w:rsidR="00A54EB3" w:rsidRDefault="00000000">
            <w:r>
              <w:t>Taxonomy field: risk_stratification | care_coordination_delivery | vbc_reporting</w:t>
            </w:r>
          </w:p>
        </w:tc>
      </w:tr>
      <w:tr w:rsidR="00A54EB3" w14:paraId="5BCE75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D01A8" w14:textId="77777777" w:rsidR="00A54EB3" w:rsidRDefault="00000000">
            <w: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575A2" w14:textId="77777777" w:rsidR="00A54EB3" w:rsidRDefault="00000000">
            <w:r>
              <w:t>Plain language description of what this use case enables operationally</w:t>
            </w:r>
          </w:p>
        </w:tc>
      </w:tr>
      <w:tr w:rsidR="00A54EB3" w14:paraId="72C0F3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A6CA20E" w14:textId="77777777" w:rsidR="00A54EB3" w:rsidRDefault="00000000">
            <w:r>
              <w:t>Population Definition</w:t>
            </w:r>
          </w:p>
        </w:tc>
        <w:tc>
          <w:tcPr>
            <w:tcW w:w="69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491A703" w14:textId="77777777" w:rsidR="00A54EB3" w:rsidRDefault="00000000">
            <w:r>
              <w:t>Eligibility criteria for patients included in this use case: denominator rules, encounter requirements, reporting period constraints, inclusion/exclusion criteria. This is the entry gate to the use case, distinct from variable-level DQ checks.</w:t>
            </w:r>
          </w:p>
        </w:tc>
      </w:tr>
      <w:tr w:rsidR="00A54EB3" w14:paraId="070926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F1F47" w14:textId="77777777" w:rsidR="00A54EB3" w:rsidRDefault="00000000">
            <w:r>
              <w:t>Variables Used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FDDB4" w14:textId="77777777" w:rsidR="00A54EB3" w:rsidRDefault="00000000">
            <w:r>
              <w:t>Required and optional variables drawn from the Variable Library</w:t>
            </w:r>
          </w:p>
        </w:tc>
      </w:tr>
      <w:tr w:rsidR="00A54EB3" w14:paraId="60947C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513C385" w14:textId="77777777" w:rsidR="00A54EB3" w:rsidRDefault="00000000">
            <w:r>
              <w:t>Variable Application Rules</w:t>
            </w:r>
          </w:p>
        </w:tc>
        <w:tc>
          <w:tcPr>
            <w:tcW w:w="69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2408754" w14:textId="77777777" w:rsidR="00A54EB3" w:rsidRDefault="00000000">
            <w:r>
              <w:t>How each referenced variable is evaluated and used within this use case, including thresholds, recency requirements, acceptable completeness, and any use-case-specific interpretation of the variable’s base definition. This is the binding between the shared Variable definition and use-case execution.</w:t>
            </w:r>
          </w:p>
        </w:tc>
      </w:tr>
      <w:tr w:rsidR="00A54EB3" w14:paraId="5453CF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820D" w14:textId="77777777" w:rsidR="00A54EB3" w:rsidRDefault="00000000">
            <w:r>
              <w:t>Use-Case Computation Logic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3F6E7" w14:textId="77777777" w:rsidR="00A54EB3" w:rsidRDefault="00000000">
            <w:r>
              <w:t>How variables combine to produce the use case output: scoring logic, derived metrics, measure calculation, output definition</w:t>
            </w:r>
          </w:p>
        </w:tc>
      </w:tr>
      <w:tr w:rsidR="00A54EB3" w14:paraId="18E1C6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E3990CA" w14:textId="77777777" w:rsidR="00A54EB3" w:rsidRDefault="00000000">
            <w:r>
              <w:t>DQ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1746208" w14:textId="77777777" w:rsidR="00A54EB3" w:rsidRDefault="00000000">
            <w:r>
              <w:t>Data quality requirements specific to this use case, beyond default variable-level checks. Implemented through the same platform check registry, with use-case-level aggregation (layer6 checks) determining overall readiness status.</w:t>
            </w:r>
          </w:p>
        </w:tc>
      </w:tr>
      <w:tr w:rsidR="00A54EB3" w14:paraId="662EFA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28DF" w14:textId="77777777" w:rsidR="00A54EB3" w:rsidRDefault="00000000">
            <w:r>
              <w:t>Output Definition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CC08" w14:textId="77777777" w:rsidR="00A54EB3" w:rsidRDefault="00000000">
            <w:r>
              <w:t>What the use case produces: risk score, reportable metric, care flag, cohort list, etc.</w:t>
            </w:r>
          </w:p>
        </w:tc>
      </w:tr>
      <w:tr w:rsidR="00A54EB3" w14:paraId="398901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344C93E" w14:textId="77777777" w:rsidR="00A54EB3" w:rsidRDefault="00000000">
            <w:r>
              <w:t>Consequence of Gaps</w:t>
            </w:r>
          </w:p>
        </w:tc>
        <w:tc>
          <w:tcPr>
            <w:tcW w:w="69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0E919A0" w14:textId="77777777" w:rsidR="00A54EB3" w:rsidRDefault="00000000">
            <w:r>
              <w:t>What happens operationally if critical variables are missing or fail DQ checks</w:t>
            </w:r>
          </w:p>
        </w:tc>
      </w:tr>
    </w:tbl>
    <w:p w14:paraId="580FD2DA" w14:textId="77777777" w:rsidR="00A54EB3" w:rsidRDefault="00A54EB3">
      <w:pPr>
        <w:spacing w:after="120"/>
      </w:pPr>
    </w:p>
    <w:tbl>
      <w:tblPr>
        <w:tblW w:w="9360" w:type="dxa"/>
        <w:tblBorders>
          <w:top w:val="single" w:sz="4" w:space="0" w:color="2E75B6"/>
          <w:left w:val="single" w:sz="12" w:space="0" w:color="2E75B6"/>
          <w:bottom w:val="single" w:sz="4" w:space="0" w:color="2E75B6"/>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4EB3" w14:paraId="4082D3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20" w:type="dxa"/>
              <w:left w:w="180" w:type="dxa"/>
              <w:bottom w:w="120" w:type="dxa"/>
              <w:right w:w="120" w:type="dxa"/>
            </w:tcMar>
          </w:tcPr>
          <w:p w14:paraId="7218E7D5" w14:textId="77777777" w:rsidR="00A54EB3" w:rsidRDefault="00000000">
            <w:r>
              <w:rPr>
                <w:i/>
                <w:iCs/>
              </w:rPr>
              <w:t>Two-level logic separation: Variable implementation logic (how to extract the variable from raw data) lives in the Variable definition. Use-case computation logic (how variables combine and what thresholds apply) lives in the Use Case Specification. This separation ensures variables remain reusable and that use-case-specific requirements do not pollute shared definitions.  In one sentence: Variables define what data exists. The check system evaluates whether that data is valid. Use Case Specifications define whether that data is sufficient to execute a specific operational program.</w:t>
            </w:r>
          </w:p>
        </w:tc>
      </w:tr>
    </w:tbl>
    <w:p w14:paraId="75EAA9D2" w14:textId="77777777" w:rsidR="00A54EB3" w:rsidRDefault="00A54EB3">
      <w:pPr>
        <w:spacing w:after="120"/>
      </w:pPr>
    </w:p>
    <w:p w14:paraId="4681E1C3" w14:textId="77777777" w:rsidR="00A54EB3" w:rsidRDefault="00000000">
      <w:pPr>
        <w:pStyle w:val="Heading2"/>
      </w:pPr>
      <w:r>
        <w:lastRenderedPageBreak/>
        <w:t>3.4 Use Case Category</w:t>
      </w:r>
    </w:p>
    <w:p w14:paraId="7FBED512" w14:textId="77777777" w:rsidR="00A54EB3" w:rsidRDefault="00000000">
      <w:pPr>
        <w:spacing w:after="160"/>
      </w:pPr>
      <w:r>
        <w:t>Use Case Category is a controlled vocabulary field used for classification, navigation, and alignment with external stakeholders. It is not a standalone architectural object. Every Use Case Specification is tagged with one of three values:</w:t>
      </w:r>
    </w:p>
    <w:p w14:paraId="57010E92" w14:textId="77777777" w:rsidR="00A54EB3" w:rsidRDefault="00A54EB3">
      <w:pPr>
        <w:spacing w:after="120"/>
      </w:pPr>
    </w:p>
    <w:p w14:paraId="5E98DA9E" w14:textId="77777777" w:rsidR="00A54EB3" w:rsidRDefault="00000000">
      <w:pPr>
        <w:pStyle w:val="ListParagraph"/>
        <w:numPr>
          <w:ilvl w:val="0"/>
          <w:numId w:val="2"/>
        </w:numPr>
        <w:spacing w:after="80"/>
      </w:pPr>
      <w:r>
        <w:t>risk_stratification — identifying patients at elevated clinical risk</w:t>
      </w:r>
    </w:p>
    <w:p w14:paraId="2907C899" w14:textId="77777777" w:rsidR="00A54EB3" w:rsidRDefault="00000000">
      <w:pPr>
        <w:pStyle w:val="ListParagraph"/>
        <w:numPr>
          <w:ilvl w:val="0"/>
          <w:numId w:val="2"/>
        </w:numPr>
        <w:spacing w:after="80"/>
      </w:pPr>
      <w:r>
        <w:t>care_coordination_delivery — supporting active care management and delivery</w:t>
      </w:r>
    </w:p>
    <w:p w14:paraId="2AA77052" w14:textId="77777777" w:rsidR="00A54EB3" w:rsidRDefault="00000000">
      <w:pPr>
        <w:pStyle w:val="ListParagraph"/>
        <w:numPr>
          <w:ilvl w:val="0"/>
          <w:numId w:val="2"/>
        </w:numPr>
        <w:spacing w:after="80"/>
      </w:pPr>
      <w:r>
        <w:t>vbc_reporting — producing reportable metrics for clinical quality and value-based care programs (HEDIS, NCQA quality measures, quality improvement programs, and value-based care reporting). Surfaced to users as “Clinical Quality + VBC Reporting”; the enum value vbc_reporting is unchanged.</w:t>
      </w:r>
    </w:p>
    <w:p w14:paraId="748CD25A" w14:textId="77777777" w:rsidR="00A54EB3" w:rsidRDefault="00A54EB3">
      <w:pPr>
        <w:spacing w:after="120"/>
      </w:pPr>
    </w:p>
    <w:p w14:paraId="596EBB5C" w14:textId="77777777" w:rsidR="00A54EB3" w:rsidRDefault="00000000">
      <w:pPr>
        <w:spacing w:after="160"/>
      </w:pPr>
      <w:r>
        <w:t>This taxonomy enables navigation and filtering across condition modules without adding an object layer that carries no execution logic.</w:t>
      </w:r>
    </w:p>
    <w:p w14:paraId="08168B39" w14:textId="77777777" w:rsidR="00A54EB3" w:rsidRDefault="00A54EB3">
      <w:pPr>
        <w:spacing w:after="120"/>
      </w:pPr>
    </w:p>
    <w:p w14:paraId="63E7B22B" w14:textId="77777777" w:rsidR="00A54EB3" w:rsidRDefault="00000000">
      <w:pPr>
        <w:pStyle w:val="Heading1"/>
      </w:pPr>
      <w:r>
        <w:t>4. Object Relationships</w:t>
      </w:r>
    </w:p>
    <w:p w14:paraId="4AAAF8C2" w14:textId="77777777" w:rsidR="00A54EB3" w:rsidRDefault="00A54E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54EB3" w14:paraId="44A7FF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15FBDA" w14:textId="77777777" w:rsidR="00A54EB3" w:rsidRDefault="00000000">
            <w:r>
              <w:rPr>
                <w:b/>
                <w:bCs/>
                <w:color w:val="FFFFFF"/>
              </w:rPr>
              <w:t>Object</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6B97B7" w14:textId="77777777" w:rsidR="00A54EB3" w:rsidRDefault="00000000">
            <w:r>
              <w:rPr>
                <w:b/>
                <w:bCs/>
                <w:color w:val="FFFFFF"/>
              </w:rPr>
              <w:t>Relationship</w:t>
            </w:r>
          </w:p>
        </w:tc>
      </w:tr>
      <w:tr w:rsidR="00A54EB3" w14:paraId="13D3E7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C0E3244" w14:textId="77777777" w:rsidR="00A54EB3" w:rsidRDefault="00000000">
            <w:r>
              <w:t>Variable</w:t>
            </w:r>
          </w:p>
        </w:tc>
        <w:tc>
          <w:tcPr>
            <w:tcW w:w="7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7AB5B21" w14:textId="77777777" w:rsidR="00A54EB3" w:rsidRDefault="00000000">
            <w:r>
              <w:t>Independent and reusable. Defined once. Referenced by any number of Condition Modules. Carries no condition-specific or use-case-specific logic.</w:t>
            </w:r>
          </w:p>
        </w:tc>
      </w:tr>
      <w:tr w:rsidR="00A54EB3" w14:paraId="39AF64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772B4" w14:textId="77777777" w:rsidR="00A54EB3" w:rsidRDefault="00000000">
            <w:r>
              <w:t>Condition Module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32BD" w14:textId="77777777" w:rsidR="00A54EB3" w:rsidRDefault="00000000">
            <w:r>
              <w:t>References a set of Variables from the shared library. Contains one or more Use Case Specifications. Provides condition context. Does not own execution logic.</w:t>
            </w:r>
          </w:p>
        </w:tc>
      </w:tr>
      <w:tr w:rsidR="00A54EB3" w14:paraId="193B41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8A44682" w14:textId="77777777" w:rsidR="00A54EB3" w:rsidRDefault="00000000">
            <w:r>
              <w:t>Use Case Specification</w:t>
            </w:r>
          </w:p>
        </w:tc>
        <w:tc>
          <w:tcPr>
            <w:tcW w:w="7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131A95D" w14:textId="77777777" w:rsidR="00A54EB3" w:rsidRDefault="00000000">
            <w:r>
              <w:t>Binds: condition, use case category, and a set of variables. Defines: population eligibility, variable application rules, computation logic, and output. This is where operational fit-for-purpose is implemented.</w:t>
            </w:r>
          </w:p>
        </w:tc>
      </w:tr>
      <w:tr w:rsidR="00A54EB3" w14:paraId="1ED64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161CD" w14:textId="77777777" w:rsidR="00A54EB3" w:rsidRDefault="00000000">
            <w:r>
              <w:t>Use Case Category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1BD42" w14:textId="77777777" w:rsidR="00A54EB3" w:rsidRDefault="00000000">
            <w:r>
              <w:t>Enum field on the Use Case Specification. Enables taxonomy and navigation. Not an architectural layer.</w:t>
            </w:r>
          </w:p>
        </w:tc>
      </w:tr>
    </w:tbl>
    <w:p w14:paraId="1C84B30A" w14:textId="77777777" w:rsidR="00A54EB3" w:rsidRDefault="00A54EB3">
      <w:pPr>
        <w:spacing w:after="120"/>
      </w:pPr>
    </w:p>
    <w:p w14:paraId="29D5474C" w14:textId="77777777" w:rsidR="00A54EB3" w:rsidRDefault="00000000">
      <w:pPr>
        <w:pStyle w:val="Heading1"/>
      </w:pPr>
      <w:r>
        <w:t>5. Example: Diabetes Module</w:t>
      </w:r>
    </w:p>
    <w:p w14:paraId="761CFF14" w14:textId="77777777" w:rsidR="00A54EB3" w:rsidRDefault="00000000">
      <w:pPr>
        <w:pStyle w:val="Heading2"/>
      </w:pPr>
      <w:r>
        <w:t>5.1 Condition Module: Diabetes</w:t>
      </w:r>
    </w:p>
    <w:p w14:paraId="5172A59D" w14:textId="77777777" w:rsidR="00A54EB3" w:rsidRDefault="00000000">
      <w:pPr>
        <w:spacing w:after="160"/>
      </w:pPr>
      <w:r>
        <w:t>Referenced variables:</w:t>
      </w:r>
    </w:p>
    <w:p w14:paraId="364861E9" w14:textId="77777777" w:rsidR="00A54EB3" w:rsidRDefault="00000000">
      <w:pPr>
        <w:pStyle w:val="ListParagraph"/>
        <w:numPr>
          <w:ilvl w:val="0"/>
          <w:numId w:val="2"/>
        </w:numPr>
        <w:spacing w:after="80"/>
      </w:pPr>
      <w:r>
        <w:t>A1C (HbA1c)</w:t>
      </w:r>
    </w:p>
    <w:p w14:paraId="11E0F460" w14:textId="77777777" w:rsidR="00A54EB3" w:rsidRDefault="00000000">
      <w:pPr>
        <w:pStyle w:val="ListParagraph"/>
        <w:numPr>
          <w:ilvl w:val="0"/>
          <w:numId w:val="2"/>
        </w:numPr>
        <w:spacing w:after="80"/>
      </w:pPr>
      <w:r>
        <w:t>CGM Glucose (time series, device-derived)</w:t>
      </w:r>
    </w:p>
    <w:p w14:paraId="7E0BBA59" w14:textId="77777777" w:rsidR="00A54EB3" w:rsidRDefault="00000000">
      <w:pPr>
        <w:pStyle w:val="ListParagraph"/>
        <w:numPr>
          <w:ilvl w:val="0"/>
          <w:numId w:val="2"/>
        </w:numPr>
        <w:spacing w:after="80"/>
      </w:pPr>
      <w:r>
        <w:t>Diabetes Diagnosis (ICD-10)</w:t>
      </w:r>
    </w:p>
    <w:p w14:paraId="22F8E05F" w14:textId="77777777" w:rsidR="00A54EB3" w:rsidRDefault="00000000">
      <w:pPr>
        <w:pStyle w:val="ListParagraph"/>
        <w:numPr>
          <w:ilvl w:val="0"/>
          <w:numId w:val="2"/>
        </w:numPr>
        <w:spacing w:after="80"/>
      </w:pPr>
      <w:r>
        <w:t>Insulin Use (RxNorm)</w:t>
      </w:r>
    </w:p>
    <w:p w14:paraId="40C44F8A" w14:textId="77777777" w:rsidR="00A54EB3" w:rsidRDefault="00000000">
      <w:pPr>
        <w:pStyle w:val="ListParagraph"/>
        <w:numPr>
          <w:ilvl w:val="0"/>
          <w:numId w:val="2"/>
        </w:numPr>
        <w:spacing w:after="80"/>
      </w:pPr>
      <w:r>
        <w:lastRenderedPageBreak/>
        <w:t>Smoking Status (LOINC)</w:t>
      </w:r>
    </w:p>
    <w:p w14:paraId="462C2F5C" w14:textId="77777777" w:rsidR="00A54EB3" w:rsidRDefault="00000000">
      <w:pPr>
        <w:pStyle w:val="ListParagraph"/>
        <w:numPr>
          <w:ilvl w:val="0"/>
          <w:numId w:val="2"/>
        </w:numPr>
        <w:spacing w:after="80"/>
      </w:pPr>
      <w:r>
        <w:t>GLP-1 / SGLT2 Medications (RxNorm)</w:t>
      </w:r>
    </w:p>
    <w:p w14:paraId="2821A82D" w14:textId="77777777" w:rsidR="00A54EB3" w:rsidRDefault="00A54EB3">
      <w:pPr>
        <w:spacing w:after="120"/>
      </w:pPr>
    </w:p>
    <w:p w14:paraId="2E3D9254" w14:textId="77777777" w:rsidR="00A54EB3" w:rsidRDefault="00000000">
      <w:pPr>
        <w:spacing w:after="160"/>
      </w:pPr>
      <w:r>
        <w:t>Supported use cases:</w:t>
      </w:r>
    </w:p>
    <w:p w14:paraId="0B235B0A" w14:textId="77777777" w:rsidR="00A54EB3" w:rsidRDefault="00000000">
      <w:pPr>
        <w:pStyle w:val="ListParagraph"/>
        <w:numPr>
          <w:ilvl w:val="0"/>
          <w:numId w:val="2"/>
        </w:numPr>
        <w:spacing w:after="80"/>
      </w:pPr>
      <w:r>
        <w:t>Diabetes Risk Stratification</w:t>
      </w:r>
    </w:p>
    <w:p w14:paraId="66683CC9" w14:textId="77777777" w:rsidR="00A54EB3" w:rsidRDefault="00000000">
      <w:pPr>
        <w:pStyle w:val="ListParagraph"/>
        <w:numPr>
          <w:ilvl w:val="0"/>
          <w:numId w:val="2"/>
        </w:numPr>
        <w:spacing w:after="80"/>
      </w:pPr>
      <w:r>
        <w:t>Diabetes Care Coordination</w:t>
      </w:r>
    </w:p>
    <w:p w14:paraId="47F0E707" w14:textId="77777777" w:rsidR="00A54EB3" w:rsidRDefault="00000000">
      <w:pPr>
        <w:pStyle w:val="ListParagraph"/>
        <w:numPr>
          <w:ilvl w:val="0"/>
          <w:numId w:val="2"/>
        </w:numPr>
        <w:spacing w:after="80"/>
      </w:pPr>
      <w:r>
        <w:t>Diabetes Clinical Quality + VBC Reporting</w:t>
      </w:r>
    </w:p>
    <w:p w14:paraId="7FDBC29E" w14:textId="77777777" w:rsidR="00A54EB3" w:rsidRDefault="00A54EB3">
      <w:pPr>
        <w:spacing w:after="120"/>
      </w:pPr>
    </w:p>
    <w:p w14:paraId="2CC627C1" w14:textId="77777777" w:rsidR="00A54EB3" w:rsidRDefault="00000000">
      <w:pPr>
        <w:pStyle w:val="Heading2"/>
      </w:pPr>
      <w:r>
        <w:t>5.2 Use Case Specification: Diabetes Risk Stratification</w:t>
      </w:r>
    </w:p>
    <w:p w14:paraId="48EFD06F" w14:textId="77777777" w:rsidR="00A54EB3" w:rsidRDefault="00A54E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4EB3" w14:paraId="28D798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C0A71" w14:textId="77777777" w:rsidR="00A54EB3" w:rsidRDefault="00000000">
            <w:r>
              <w:rPr>
                <w:b/>
                <w:bCs/>
                <w:color w:val="1F4E79"/>
              </w:rPr>
              <w:t>Condition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95BE7" w14:textId="77777777" w:rsidR="00A54EB3" w:rsidRDefault="00000000">
            <w:r>
              <w:t>Diabetes</w:t>
            </w:r>
          </w:p>
        </w:tc>
      </w:tr>
      <w:tr w:rsidR="00A54EB3" w14:paraId="349E0D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D13C1" w14:textId="77777777" w:rsidR="00A54EB3" w:rsidRDefault="00000000">
            <w:r>
              <w:rPr>
                <w:b/>
                <w:bCs/>
                <w:color w:val="1F4E79"/>
              </w:rPr>
              <w:t>Use Case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BC981" w14:textId="77777777" w:rsidR="00A54EB3" w:rsidRDefault="00000000">
            <w:r>
              <w:t>diabetes_risk_stratification</w:t>
            </w:r>
          </w:p>
        </w:tc>
      </w:tr>
      <w:tr w:rsidR="00A54EB3" w14:paraId="5D3335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6714CC" w14:textId="77777777" w:rsidR="00A54EB3" w:rsidRDefault="00000000">
            <w:r>
              <w:rPr>
                <w:b/>
                <w:bCs/>
                <w:color w:val="1F4E79"/>
              </w:rPr>
              <w:t>Use Case Category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5999F" w14:textId="77777777" w:rsidR="00A54EB3" w:rsidRDefault="00000000">
            <w:r>
              <w:t>risk_stratification</w:t>
            </w:r>
          </w:p>
        </w:tc>
      </w:tr>
      <w:tr w:rsidR="00A54EB3" w14:paraId="0FF905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97D641" w14:textId="77777777" w:rsidR="00A54EB3" w:rsidRDefault="00000000">
            <w:r>
              <w:rPr>
                <w:b/>
                <w:bCs/>
                <w:color w:val="1F4E79"/>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326EC" w14:textId="77777777" w:rsidR="00A54EB3" w:rsidRDefault="00000000">
            <w:r>
              <w:t>Identify patients at elevated glycemic risk to support proactive care intervention</w:t>
            </w:r>
          </w:p>
        </w:tc>
      </w:tr>
    </w:tbl>
    <w:p w14:paraId="5F466AD9" w14:textId="77777777" w:rsidR="00A54EB3" w:rsidRDefault="00A54EB3">
      <w:pPr>
        <w:spacing w:after="120"/>
      </w:pPr>
    </w:p>
    <w:p w14:paraId="2B7DF8F3" w14:textId="77777777" w:rsidR="00A54EB3" w:rsidRDefault="00000000">
      <w:pPr>
        <w:pStyle w:val="Heading3"/>
      </w:pPr>
      <w:r>
        <w:t>Population Definition</w:t>
      </w:r>
    </w:p>
    <w:p w14:paraId="1AC44E42" w14:textId="77777777" w:rsidR="00A54EB3" w:rsidRDefault="00000000">
      <w:pPr>
        <w:pStyle w:val="ListParagraph"/>
        <w:numPr>
          <w:ilvl w:val="0"/>
          <w:numId w:val="2"/>
        </w:numPr>
        <w:spacing w:after="80"/>
      </w:pPr>
      <w:r>
        <w:t>Active diabetes diagnosis (ICD-10 E10.x or E11.x, confirmed status)</w:t>
      </w:r>
    </w:p>
    <w:p w14:paraId="77FAF47E" w14:textId="77777777" w:rsidR="00A54EB3" w:rsidRDefault="00000000">
      <w:pPr>
        <w:pStyle w:val="ListParagraph"/>
        <w:numPr>
          <w:ilvl w:val="0"/>
          <w:numId w:val="2"/>
        </w:numPr>
        <w:spacing w:after="80"/>
      </w:pPr>
      <w:r>
        <w:t>Minimum two qualifying encounters within the past 24 months</w:t>
      </w:r>
    </w:p>
    <w:p w14:paraId="718280A7" w14:textId="77777777" w:rsidR="00A54EB3" w:rsidRDefault="00000000">
      <w:pPr>
        <w:pStyle w:val="ListParagraph"/>
        <w:numPr>
          <w:ilvl w:val="0"/>
          <w:numId w:val="2"/>
        </w:numPr>
        <w:spacing w:after="80"/>
      </w:pPr>
      <w:r>
        <w:t>Enrolled in participating organization at time of evaluation</w:t>
      </w:r>
    </w:p>
    <w:p w14:paraId="368E82AD" w14:textId="77777777" w:rsidR="00A54EB3" w:rsidRDefault="00A54EB3">
      <w:pPr>
        <w:spacing w:after="120"/>
      </w:pPr>
    </w:p>
    <w:p w14:paraId="1437F201" w14:textId="77777777" w:rsidR="00A54EB3" w:rsidRDefault="00000000">
      <w:pPr>
        <w:pStyle w:val="Heading3"/>
      </w:pPr>
      <w:r>
        <w:t>Variables Used</w:t>
      </w:r>
    </w:p>
    <w:p w14:paraId="414BCAF5" w14:textId="77777777" w:rsidR="00A54EB3" w:rsidRDefault="00000000">
      <w:pPr>
        <w:pStyle w:val="ListParagraph"/>
        <w:numPr>
          <w:ilvl w:val="0"/>
          <w:numId w:val="2"/>
        </w:numPr>
        <w:spacing w:after="80"/>
      </w:pPr>
      <w:r>
        <w:t>CGM Glucose — device pathway, evaluated first (cgm_primary)</w:t>
      </w:r>
    </w:p>
    <w:p w14:paraId="13B5F47F" w14:textId="77777777" w:rsidR="00A54EB3" w:rsidRDefault="00000000">
      <w:pPr>
        <w:pStyle w:val="ListParagraph"/>
        <w:numPr>
          <w:ilvl w:val="0"/>
          <w:numId w:val="2"/>
        </w:numPr>
        <w:spacing w:after="80"/>
      </w:pPr>
      <w:r>
        <w:t>A1C — EHR fallback pathway, evaluated when the device pathway does not pass (a1c_fallback); the clinical default lab measure, often missing or stale in target settings</w:t>
      </w:r>
    </w:p>
    <w:p w14:paraId="4671574C" w14:textId="77777777" w:rsidR="00A54EB3" w:rsidRDefault="00000000">
      <w:pPr>
        <w:pStyle w:val="ListParagraph"/>
        <w:numPr>
          <w:ilvl w:val="0"/>
          <w:numId w:val="2"/>
        </w:numPr>
        <w:spacing w:after="80"/>
      </w:pPr>
      <w:r>
        <w:t>Smoking Status — optional; included when available</w:t>
      </w:r>
    </w:p>
    <w:p w14:paraId="052ECA11" w14:textId="77777777" w:rsidR="00A54EB3" w:rsidRDefault="00000000">
      <w:pPr>
        <w:pStyle w:val="ListParagraph"/>
        <w:numPr>
          <w:ilvl w:val="0"/>
          <w:numId w:val="2"/>
        </w:numPr>
        <w:spacing w:after="80"/>
      </w:pPr>
      <w:r>
        <w:t>Insulin Use — optional; informs risk context</w:t>
      </w:r>
    </w:p>
    <w:p w14:paraId="6F0A9E47" w14:textId="77777777" w:rsidR="00A54EB3" w:rsidRDefault="00A54EB3">
      <w:pPr>
        <w:spacing w:after="120"/>
      </w:pPr>
    </w:p>
    <w:p w14:paraId="0566FB2A" w14:textId="77777777" w:rsidR="00A54EB3" w:rsidRDefault="00000000">
      <w:pPr>
        <w:pStyle w:val="Heading3"/>
      </w:pPr>
      <w:r>
        <w:t>Variable Application Rules</w:t>
      </w:r>
    </w:p>
    <w:p w14:paraId="5ABE26FD" w14:textId="77777777" w:rsidR="00A54EB3" w:rsidRDefault="00000000">
      <w:pPr>
        <w:pStyle w:val="ListParagraph"/>
        <w:numPr>
          <w:ilvl w:val="0"/>
          <w:numId w:val="2"/>
        </w:numPr>
        <w:spacing w:after="80"/>
      </w:pPr>
      <w:r>
        <w:t>A1C: must have at least one result within the past 6 months; LOINC 4548-4 or equivalent; units normalized to %</w:t>
      </w:r>
    </w:p>
    <w:p w14:paraId="4BEAA29C" w14:textId="77777777" w:rsidR="00A54EB3" w:rsidRDefault="00000000">
      <w:pPr>
        <w:pStyle w:val="ListParagraph"/>
        <w:numPr>
          <w:ilvl w:val="0"/>
          <w:numId w:val="2"/>
        </w:numPr>
        <w:spacing w:after="80"/>
      </w:pPr>
      <w:r>
        <w:t>CGM: if present, must meet minimum temporal coverage threshold (70% coverage over 14-day window, per ADA/ATTD consensus); Time in Range computed from raw readings</w:t>
      </w:r>
    </w:p>
    <w:p w14:paraId="036D0754" w14:textId="77777777" w:rsidR="00A54EB3" w:rsidRDefault="00000000">
      <w:pPr>
        <w:pStyle w:val="ListParagraph"/>
        <w:numPr>
          <w:ilvl w:val="0"/>
          <w:numId w:val="2"/>
        </w:numPr>
        <w:spacing w:after="80"/>
      </w:pPr>
      <w:r>
        <w:t>Smoking Status: most recent valid social history value; LOINC 72166-2</w:t>
      </w:r>
    </w:p>
    <w:p w14:paraId="08BECE07" w14:textId="77777777" w:rsidR="00A54EB3" w:rsidRDefault="00A54EB3">
      <w:pPr>
        <w:spacing w:after="120"/>
      </w:pPr>
    </w:p>
    <w:p w14:paraId="1AF291FA" w14:textId="77777777" w:rsidR="00A54EB3" w:rsidRDefault="00000000">
      <w:pPr>
        <w:pStyle w:val="Heading3"/>
      </w:pPr>
      <w:r>
        <w:lastRenderedPageBreak/>
        <w:t>Use-Case Computation Logic</w:t>
      </w:r>
    </w:p>
    <w:p w14:paraId="66D6D678" w14:textId="77777777" w:rsidR="00A54EB3" w:rsidRDefault="00000000">
      <w:pPr>
        <w:pStyle w:val="ListParagraph"/>
        <w:numPr>
          <w:ilvl w:val="0"/>
          <w:numId w:val="2"/>
        </w:numPr>
        <w:spacing w:after="80"/>
      </w:pPr>
      <w:r>
        <w:t>Evaluate the ordered pathway: the device pathway (cgm_primary) is evaluated first. When the CGM variable is READY, compute Time in Range (TIR) and the device-derived metrics from raw CGM readings and establish stratification from the device pathway.</w:t>
      </w:r>
    </w:p>
    <w:p w14:paraId="5AEEB1B4" w14:textId="77777777" w:rsidR="00A54EB3" w:rsidRDefault="00000000">
      <w:pPr>
        <w:pStyle w:val="ListParagraph"/>
        <w:numPr>
          <w:ilvl w:val="0"/>
          <w:numId w:val="2"/>
        </w:numPr>
        <w:spacing w:after="80"/>
      </w:pPr>
      <w:r>
        <w:t>When the device pathway does not pass, fall back to the EHR-sourced A1C measure (a1c_fallback). This is an ordered pathway, not a composite blend of the A1C value and CGM-derived TIR. Record the outcome per use_case_pathway_results (primary_pass / fallback_pass / no_valid_pathway). See Methodology Architecture Section 6 for the ordered-pathway framing.</w:t>
      </w:r>
    </w:p>
    <w:p w14:paraId="122426C0" w14:textId="77777777" w:rsidR="00A54EB3" w:rsidRDefault="00000000">
      <w:pPr>
        <w:pStyle w:val="ListParagraph"/>
        <w:numPr>
          <w:ilvl w:val="0"/>
          <w:numId w:val="2"/>
        </w:numPr>
        <w:spacing w:after="80"/>
      </w:pPr>
      <w:r>
        <w:t>Apply risk stratification thresholds to produce risk flag or risk score</w:t>
      </w:r>
    </w:p>
    <w:p w14:paraId="0FEF5DDB" w14:textId="77777777" w:rsidR="00A54EB3" w:rsidRDefault="00000000">
      <w:pPr>
        <w:pStyle w:val="ListParagraph"/>
        <w:numPr>
          <w:ilvl w:val="0"/>
          <w:numId w:val="2"/>
        </w:numPr>
        <w:spacing w:after="80"/>
      </w:pPr>
      <w:r>
        <w:t>CGM supports early risk stratification while EHR data gaps are being remediated in parallel</w:t>
      </w:r>
    </w:p>
    <w:p w14:paraId="6CF066AF" w14:textId="77777777" w:rsidR="00A54EB3" w:rsidRDefault="00A54EB3">
      <w:pPr>
        <w:spacing w:after="120"/>
      </w:pPr>
    </w:p>
    <w:p w14:paraId="5DA03664" w14:textId="77777777" w:rsidR="00A54EB3" w:rsidRDefault="00000000">
      <w:pPr>
        <w:pStyle w:val="Heading3"/>
      </w:pPr>
      <w:r>
        <w:t>Output</w:t>
      </w:r>
    </w:p>
    <w:p w14:paraId="66538D0B" w14:textId="77777777" w:rsidR="00A54EB3" w:rsidRDefault="00000000">
      <w:pPr>
        <w:pStyle w:val="ListParagraph"/>
        <w:numPr>
          <w:ilvl w:val="0"/>
          <w:numId w:val="2"/>
        </w:numPr>
        <w:spacing w:after="80"/>
      </w:pPr>
      <w:r>
        <w:t>Risk flag or risk score per patient</w:t>
      </w:r>
    </w:p>
    <w:p w14:paraId="2E56BC5C" w14:textId="77777777" w:rsidR="00A54EB3" w:rsidRDefault="00000000">
      <w:pPr>
        <w:pStyle w:val="ListParagraph"/>
        <w:numPr>
          <w:ilvl w:val="0"/>
          <w:numId w:val="2"/>
        </w:numPr>
        <w:spacing w:after="80"/>
      </w:pPr>
      <w:r>
        <w:t>Use case status: READY / PARTIALLY READY / NOT READY</w:t>
      </w:r>
    </w:p>
    <w:p w14:paraId="5084D556" w14:textId="77777777" w:rsidR="00A54EB3" w:rsidRDefault="00000000">
      <w:pPr>
        <w:pStyle w:val="ListParagraph"/>
        <w:numPr>
          <w:ilvl w:val="0"/>
          <w:numId w:val="2"/>
        </w:numPr>
        <w:spacing w:after="80"/>
      </w:pPr>
      <w:r>
        <w:t>Blocking variable list when status is not READY</w:t>
      </w:r>
    </w:p>
    <w:p w14:paraId="12F91BC3" w14:textId="77777777" w:rsidR="00A54EB3" w:rsidRDefault="00A54EB3">
      <w:pPr>
        <w:spacing w:after="120"/>
      </w:pPr>
    </w:p>
    <w:p w14:paraId="79AAC14F" w14:textId="77777777" w:rsidR="00A54EB3" w:rsidRDefault="00000000">
      <w:pPr>
        <w:pStyle w:val="Heading2"/>
      </w:pPr>
      <w:r>
        <w:t>5.3 Use Case Specification: Diabetes Clinical Quality + VBC Reporting</w:t>
      </w:r>
    </w:p>
    <w:p w14:paraId="26C6D9C1" w14:textId="77777777" w:rsidR="00A54EB3" w:rsidRDefault="00A54E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4EB3" w14:paraId="62F820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9C83BA" w14:textId="77777777" w:rsidR="00A54EB3" w:rsidRDefault="00000000">
            <w:r>
              <w:rPr>
                <w:b/>
                <w:bCs/>
                <w:color w:val="1F4E79"/>
              </w:rPr>
              <w:t>Condition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63C67" w14:textId="77777777" w:rsidR="00A54EB3" w:rsidRDefault="00000000">
            <w:r>
              <w:t>Diabetes</w:t>
            </w:r>
          </w:p>
        </w:tc>
      </w:tr>
      <w:tr w:rsidR="00A54EB3" w14:paraId="1B259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DC382" w14:textId="77777777" w:rsidR="00A54EB3" w:rsidRDefault="00000000">
            <w:r>
              <w:rPr>
                <w:b/>
                <w:bCs/>
                <w:color w:val="1F4E79"/>
              </w:rPr>
              <w:t>Use Case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22F84" w14:textId="77777777" w:rsidR="00A54EB3" w:rsidRDefault="00000000">
            <w:r>
              <w:t>diabetes_vbc_reporting</w:t>
            </w:r>
          </w:p>
        </w:tc>
      </w:tr>
      <w:tr w:rsidR="00A54EB3" w14:paraId="329BD2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A7BA32" w14:textId="77777777" w:rsidR="00A54EB3" w:rsidRDefault="00000000">
            <w:r>
              <w:rPr>
                <w:b/>
                <w:bCs/>
                <w:color w:val="1F4E79"/>
              </w:rPr>
              <w:t>Use Case Category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EC943" w14:textId="77777777" w:rsidR="00A54EB3" w:rsidRDefault="00000000">
            <w:r>
              <w:t>vbc_reporting</w:t>
            </w:r>
          </w:p>
        </w:tc>
      </w:tr>
      <w:tr w:rsidR="00A54EB3" w14:paraId="16481C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94271" w14:textId="77777777" w:rsidR="00A54EB3" w:rsidRDefault="00000000">
            <w:r>
              <w:rPr>
                <w:b/>
                <w:bCs/>
                <w:color w:val="1F4E79"/>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6AD02" w14:textId="77777777" w:rsidR="00A54EB3" w:rsidRDefault="00000000">
            <w:r>
              <w:t>Produce reportable measure outputs for diabetes-related clinical quality and value-based care program requirements, including HEDIS, NCQA quality measures, quality improvement programs, and VBC reporting</w:t>
            </w:r>
          </w:p>
        </w:tc>
      </w:tr>
    </w:tbl>
    <w:p w14:paraId="67711DD0" w14:textId="77777777" w:rsidR="00A54EB3" w:rsidRDefault="00A54EB3">
      <w:pPr>
        <w:spacing w:after="120"/>
      </w:pPr>
    </w:p>
    <w:p w14:paraId="7991AED8" w14:textId="77777777" w:rsidR="00A54EB3" w:rsidRDefault="00000000">
      <w:pPr>
        <w:pStyle w:val="Heading3"/>
      </w:pPr>
      <w:r>
        <w:t>Population Definition</w:t>
      </w:r>
    </w:p>
    <w:p w14:paraId="64ED7F17" w14:textId="77777777" w:rsidR="00A54EB3" w:rsidRDefault="00000000">
      <w:pPr>
        <w:pStyle w:val="ListParagraph"/>
        <w:numPr>
          <w:ilvl w:val="0"/>
          <w:numId w:val="2"/>
        </w:numPr>
        <w:spacing w:after="80"/>
      </w:pPr>
      <w:r>
        <w:t>Active diabetes diagnosis meeting measure-specific denominator criteria</w:t>
      </w:r>
    </w:p>
    <w:p w14:paraId="0631817B" w14:textId="77777777" w:rsidR="00A54EB3" w:rsidRDefault="00000000">
      <w:pPr>
        <w:pStyle w:val="ListParagraph"/>
        <w:numPr>
          <w:ilvl w:val="0"/>
          <w:numId w:val="2"/>
        </w:numPr>
        <w:spacing w:after="80"/>
      </w:pPr>
      <w:r>
        <w:t>Seen within the reporting period with qualifying encounter type</w:t>
      </w:r>
    </w:p>
    <w:p w14:paraId="34410348" w14:textId="77777777" w:rsidR="00A54EB3" w:rsidRDefault="00000000">
      <w:pPr>
        <w:pStyle w:val="ListParagraph"/>
        <w:numPr>
          <w:ilvl w:val="0"/>
          <w:numId w:val="2"/>
        </w:numPr>
        <w:spacing w:after="80"/>
      </w:pPr>
      <w:r>
        <w:t>Meets measure-specific inclusion/exclusion criteria (age, insurance, enrollment)</w:t>
      </w:r>
    </w:p>
    <w:p w14:paraId="3D27B274" w14:textId="77777777" w:rsidR="00A54EB3" w:rsidRDefault="00A54EB3">
      <w:pPr>
        <w:spacing w:after="120"/>
      </w:pPr>
    </w:p>
    <w:p w14:paraId="36F5E90D" w14:textId="77777777" w:rsidR="00A54EB3" w:rsidRDefault="00000000">
      <w:pPr>
        <w:pStyle w:val="Heading3"/>
      </w:pPr>
      <w:r>
        <w:t>Variable Application Rules</w:t>
      </w:r>
    </w:p>
    <w:p w14:paraId="12FA7A8E" w14:textId="77777777" w:rsidR="00A54EB3" w:rsidRDefault="00000000">
      <w:pPr>
        <w:pStyle w:val="ListParagraph"/>
        <w:numPr>
          <w:ilvl w:val="0"/>
          <w:numId w:val="2"/>
        </w:numPr>
        <w:spacing w:after="80"/>
      </w:pPr>
      <w:r>
        <w:t>A1C: must fall within reporting period; date concordance required; provenance traceable</w:t>
      </w:r>
    </w:p>
    <w:p w14:paraId="2E3C6377" w14:textId="77777777" w:rsidR="00A54EB3" w:rsidRDefault="00000000">
      <w:pPr>
        <w:pStyle w:val="ListParagraph"/>
        <w:numPr>
          <w:ilvl w:val="0"/>
          <w:numId w:val="2"/>
        </w:numPr>
        <w:spacing w:after="80"/>
      </w:pPr>
      <w:r>
        <w:t>Encounter data: date format valid; encounter class matches qualifying type; denominator/numerator alignment confirmed</w:t>
      </w:r>
    </w:p>
    <w:p w14:paraId="5DC0A9D0" w14:textId="77777777" w:rsidR="00A54EB3" w:rsidRDefault="00A54EB3">
      <w:pPr>
        <w:spacing w:after="120"/>
      </w:pPr>
    </w:p>
    <w:p w14:paraId="433F8BBF" w14:textId="77777777" w:rsidR="00A54EB3" w:rsidRDefault="00000000">
      <w:pPr>
        <w:pStyle w:val="Heading3"/>
      </w:pPr>
      <w:r>
        <w:t>Use-Case Computation Logic</w:t>
      </w:r>
    </w:p>
    <w:p w14:paraId="77E0E989" w14:textId="77777777" w:rsidR="00A54EB3" w:rsidRDefault="00000000">
      <w:pPr>
        <w:pStyle w:val="ListParagraph"/>
        <w:numPr>
          <w:ilvl w:val="0"/>
          <w:numId w:val="2"/>
        </w:numPr>
        <w:spacing w:after="80"/>
      </w:pPr>
      <w:r>
        <w:t>Derive measure outputs aligned with program-specific reporting requirements</w:t>
      </w:r>
    </w:p>
    <w:p w14:paraId="0A6C3418" w14:textId="77777777" w:rsidR="00A54EB3" w:rsidRDefault="00000000">
      <w:pPr>
        <w:pStyle w:val="ListParagraph"/>
        <w:numPr>
          <w:ilvl w:val="0"/>
          <w:numId w:val="2"/>
        </w:numPr>
        <w:spacing w:after="80"/>
      </w:pPr>
      <w:r>
        <w:t>Apply denominator and numerator logic per measure specification</w:t>
      </w:r>
    </w:p>
    <w:p w14:paraId="741731D7" w14:textId="77777777" w:rsidR="00A54EB3" w:rsidRDefault="00000000">
      <w:pPr>
        <w:pStyle w:val="ListParagraph"/>
        <w:numPr>
          <w:ilvl w:val="0"/>
          <w:numId w:val="2"/>
        </w:numPr>
        <w:spacing w:after="80"/>
      </w:pPr>
      <w:r>
        <w:t>Validate date concordance across encounters and lab results</w:t>
      </w:r>
    </w:p>
    <w:p w14:paraId="38DFFCFE" w14:textId="77777777" w:rsidR="00A54EB3" w:rsidRDefault="00A54EB3">
      <w:pPr>
        <w:spacing w:after="120"/>
      </w:pPr>
    </w:p>
    <w:p w14:paraId="03F967BB" w14:textId="77777777" w:rsidR="00A54EB3" w:rsidRDefault="00000000">
      <w:pPr>
        <w:pStyle w:val="Heading3"/>
      </w:pPr>
      <w:r>
        <w:lastRenderedPageBreak/>
        <w:t>Output</w:t>
      </w:r>
    </w:p>
    <w:p w14:paraId="120D210A" w14:textId="77777777" w:rsidR="00A54EB3" w:rsidRDefault="00000000">
      <w:pPr>
        <w:pStyle w:val="ListParagraph"/>
        <w:numPr>
          <w:ilvl w:val="0"/>
          <w:numId w:val="2"/>
        </w:numPr>
        <w:spacing w:after="80"/>
      </w:pPr>
      <w:r>
        <w:t>Reportable VBC metric per measure</w:t>
      </w:r>
    </w:p>
    <w:p w14:paraId="1CB947A3" w14:textId="77777777" w:rsidR="00A54EB3" w:rsidRDefault="00000000">
      <w:pPr>
        <w:pStyle w:val="ListParagraph"/>
        <w:numPr>
          <w:ilvl w:val="0"/>
          <w:numId w:val="2"/>
        </w:numPr>
        <w:spacing w:after="80"/>
      </w:pPr>
      <w:r>
        <w:t>Denominator and numerator counts</w:t>
      </w:r>
    </w:p>
    <w:p w14:paraId="0AFE0B3D" w14:textId="77777777" w:rsidR="00A54EB3" w:rsidRDefault="00000000">
      <w:pPr>
        <w:pStyle w:val="ListParagraph"/>
        <w:numPr>
          <w:ilvl w:val="0"/>
          <w:numId w:val="2"/>
        </w:numPr>
        <w:spacing w:after="80"/>
      </w:pPr>
      <w:r>
        <w:t>Data gap flags for records requiring remediation before submission</w:t>
      </w:r>
    </w:p>
    <w:p w14:paraId="4F01E087" w14:textId="77777777" w:rsidR="00A54EB3" w:rsidRDefault="00A54EB3">
      <w:pPr>
        <w:spacing w:after="120"/>
      </w:pPr>
    </w:p>
    <w:p w14:paraId="160F6BD2" w14:textId="77777777" w:rsidR="00A54EB3" w:rsidRDefault="00000000">
      <w:pPr>
        <w:pStyle w:val="Heading1"/>
      </w:pPr>
      <w:r>
        <w:t>6. Structural Constraints</w:t>
      </w:r>
    </w:p>
    <w:p w14:paraId="68A8036B" w14:textId="77777777" w:rsidR="00A54EB3" w:rsidRDefault="00000000">
      <w:pPr>
        <w:spacing w:after="160"/>
      </w:pPr>
      <w:r>
        <w:t>The following constraints must be maintained when applying, extending, or implementing this methodology. They reflect hard-won design decisions and must not be relaxed without explicit review.</w:t>
      </w:r>
    </w:p>
    <w:p w14:paraId="10981F8D" w14:textId="77777777" w:rsidR="00A54EB3" w:rsidRDefault="00A54EB3">
      <w:pPr>
        <w:spacing w:after="120"/>
      </w:pPr>
    </w:p>
    <w:p w14:paraId="36FF2B7B" w14:textId="77777777" w:rsidR="00A54EB3" w:rsidRDefault="00000000">
      <w:pPr>
        <w:pStyle w:val="ListParagraph"/>
        <w:numPr>
          <w:ilvl w:val="0"/>
          <w:numId w:val="2"/>
        </w:numPr>
        <w:spacing w:after="80"/>
      </w:pPr>
      <w:r>
        <w:t>Do not revert to a dual-layer model (technical pipeline vs. clinical readiness) as the primary organizing structure. Variable-level evaluation and use-case-level decision are the organizing principle.</w:t>
      </w:r>
    </w:p>
    <w:p w14:paraId="7633DD8E" w14:textId="77777777" w:rsidR="00A54EB3" w:rsidRDefault="00000000">
      <w:pPr>
        <w:pStyle w:val="ListParagraph"/>
        <w:numPr>
          <w:ilvl w:val="0"/>
          <w:numId w:val="2"/>
        </w:numPr>
        <w:spacing w:after="80"/>
      </w:pPr>
      <w:r>
        <w:t>Do not place use-case-specific thresholds or application rules in the Variable definition. Variables are shared assets. Use-case-specific logic belongs in the Use Case Specification.</w:t>
      </w:r>
    </w:p>
    <w:p w14:paraId="3EC7828D" w14:textId="77777777" w:rsidR="00A54EB3" w:rsidRDefault="00000000">
      <w:pPr>
        <w:pStyle w:val="ListParagraph"/>
        <w:numPr>
          <w:ilvl w:val="0"/>
          <w:numId w:val="2"/>
        </w:numPr>
        <w:spacing w:after="80"/>
      </w:pPr>
      <w:r>
        <w:t>Do not lead with abstract scoring domains (Completeness, Plausibility, etc.) as the primary structure. These are implementation details within variable-level evaluation, not the organizing principle.</w:t>
      </w:r>
    </w:p>
    <w:p w14:paraId="06E83FB5" w14:textId="77777777" w:rsidR="00A54EB3" w:rsidRDefault="00000000">
      <w:pPr>
        <w:pStyle w:val="ListParagraph"/>
        <w:numPr>
          <w:ilvl w:val="0"/>
          <w:numId w:val="2"/>
        </w:numPr>
        <w:spacing w:after="80"/>
      </w:pPr>
      <w:r>
        <w:t>Do not make Use Case Category a standalone architectural object. It is a taxonomy field on the Use Case Specification.</w:t>
      </w:r>
    </w:p>
    <w:p w14:paraId="16E0A61F" w14:textId="77777777" w:rsidR="00A54EB3" w:rsidRDefault="00000000">
      <w:pPr>
        <w:pStyle w:val="ListParagraph"/>
        <w:numPr>
          <w:ilvl w:val="0"/>
          <w:numId w:val="2"/>
        </w:numPr>
        <w:spacing w:after="80"/>
      </w:pPr>
      <w:r>
        <w:t>Population Definition is a required subsection of every Use Case Specification. It is not a variable-level concept and not an optional field.</w:t>
      </w:r>
    </w:p>
    <w:p w14:paraId="4351C2E9" w14:textId="77777777" w:rsidR="00A54EB3" w:rsidRDefault="00000000">
      <w:pPr>
        <w:pStyle w:val="ListParagraph"/>
        <w:numPr>
          <w:ilvl w:val="0"/>
          <w:numId w:val="2"/>
        </w:numPr>
        <w:spacing w:after="80"/>
      </w:pPr>
      <w:r>
        <w:t>Variable versioning is reserved for temporal obsolescence of the base definition. Use-case-specific variations are captured in Variable Application Rules within the Use Case Specification, not through variable versioning.</w:t>
      </w:r>
    </w:p>
    <w:p w14:paraId="32AF41B5" w14:textId="77777777" w:rsidR="00A54EB3" w:rsidRDefault="00000000">
      <w:pPr>
        <w:pStyle w:val="ListParagraph"/>
        <w:numPr>
          <w:ilvl w:val="0"/>
          <w:numId w:val="2"/>
        </w:numPr>
        <w:spacing w:after="80"/>
      </w:pPr>
      <w:r>
        <w:t>Prioritize operational clarity and concrete examples over methodological completeness. The goal is a system that helps patients.</w:t>
      </w:r>
    </w:p>
    <w:p w14:paraId="08788729" w14:textId="77777777" w:rsidR="00A54EB3" w:rsidRDefault="00A54EB3">
      <w:pPr>
        <w:spacing w:after="120"/>
      </w:pPr>
    </w:p>
    <w:p w14:paraId="12E5F189" w14:textId="77777777" w:rsidR="00A54EB3" w:rsidRDefault="00000000">
      <w:pPr>
        <w:pStyle w:val="Heading1"/>
      </w:pPr>
      <w:r>
        <w:t>7. Relationship to Existing Frameworks</w:t>
      </w:r>
    </w:p>
    <w:p w14:paraId="1A6FCCBE" w14:textId="77777777" w:rsidR="00A54EB3" w:rsidRDefault="00A54E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A54EB3" w14:paraId="4C3A9D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0E62CC" w14:textId="77777777" w:rsidR="00A54EB3" w:rsidRDefault="00000000">
            <w:r>
              <w:rPr>
                <w:b/>
                <w:bCs/>
                <w:color w:val="FFFFFF"/>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F11AC8" w14:textId="77777777" w:rsidR="00A54EB3" w:rsidRDefault="00000000">
            <w:r>
              <w:rPr>
                <w:b/>
                <w:bCs/>
                <w:color w:val="FFFFFF"/>
              </w:rPr>
              <w:t>Focus</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9D28FE" w14:textId="77777777" w:rsidR="00A54EB3" w:rsidRDefault="00000000">
            <w:r>
              <w:rPr>
                <w:b/>
                <w:bCs/>
                <w:color w:val="FFFFFF"/>
              </w:rPr>
              <w:t>Relationship to This Architecture</w:t>
            </w:r>
          </w:p>
        </w:tc>
      </w:tr>
      <w:tr w:rsidR="00A54EB3" w14:paraId="574608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7FB049C9" w14:textId="77777777" w:rsidR="00A54EB3" w:rsidRDefault="00000000">
            <w:r>
              <w:t>Kahn / Traditional DQ Frameworks</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90BAF8A" w14:textId="77777777" w:rsidR="00A54EB3" w:rsidRDefault="00000000">
            <w:r>
              <w:t>Variable-level data quality: conformance, completeness, plausibility</w:t>
            </w:r>
          </w:p>
        </w:tc>
        <w:tc>
          <w:tcPr>
            <w:tcW w:w="5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059FCDA" w14:textId="77777777" w:rsidR="00A54EB3" w:rsidRDefault="00000000">
            <w:r>
              <w:t>Foundational. This methodology implements Kahn-lineage checks at the variable level (Stages 1 and default DQ checks in the Variable definition). Variable-level evaluation is necessary but not sufficient for operational usability.</w:t>
            </w:r>
          </w:p>
        </w:tc>
      </w:tr>
      <w:tr w:rsidR="00A54EB3" w14:paraId="7A3EB9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24755" w14:textId="77777777" w:rsidR="00A54EB3" w:rsidRDefault="00000000">
            <w:r>
              <w:lastRenderedPageBreak/>
              <w:t>PIQI (Leavitt Partners)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758F4" w14:textId="77777777" w:rsidR="00A54EB3" w:rsidRDefault="00000000">
            <w:r>
              <w:t>Structured variable-level rubric for clinical domains; standardized definitions and thresholds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C50A6" w14:textId="77777777" w:rsidR="00A54EB3" w:rsidRDefault="00000000">
            <w:r>
              <w:t>Directionally similar to part of a Condition Module in that it defines relevant variables, value sets, and thresholds for a disease area. This model carries the concept one layer further by defining the condition-specific operational use case the data must support, including population eligibility, variable application rules, and computation logic required to execute risk stratification, care coordination, or VBC reporting.</w:t>
            </w:r>
          </w:p>
        </w:tc>
      </w:tr>
      <w:tr w:rsidR="00A54EB3" w14:paraId="0DB3AB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3513C78" w14:textId="77777777" w:rsidR="00A54EB3" w:rsidRDefault="00000000">
            <w:r>
              <w:t>OHDSI / OMOP CDM</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E89AFD1" w14:textId="77777777" w:rsidR="00A54EB3" w:rsidRDefault="00000000">
            <w:r>
              <w:t>Standardized data representation; research-grade cohort definition and reproducibility</w:t>
            </w:r>
          </w:p>
        </w:tc>
        <w:tc>
          <w:tcPr>
            <w:tcW w:w="5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32AD82B" w14:textId="77777777" w:rsidR="00A54EB3" w:rsidRDefault="00000000">
            <w:r>
              <w:t>Complementary. OMOP is a downstream output representation generated from remediated records. The quality gate travels with the data. OMOP generation is the research bonus that operational remediation makes possible.</w:t>
            </w:r>
          </w:p>
        </w:tc>
      </w:tr>
    </w:tbl>
    <w:p w14:paraId="40B541B3" w14:textId="77777777" w:rsidR="00A54EB3" w:rsidRDefault="00A54EB3">
      <w:pPr>
        <w:spacing w:after="120"/>
      </w:pPr>
    </w:p>
    <w:tbl>
      <w:tblPr>
        <w:tblW w:w="9360" w:type="dxa"/>
        <w:tblBorders>
          <w:top w:val="single" w:sz="4" w:space="0" w:color="2E75B6"/>
          <w:left w:val="single" w:sz="12" w:space="0" w:color="2E75B6"/>
          <w:bottom w:val="single" w:sz="4" w:space="0" w:color="2E75B6"/>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54EB3" w14:paraId="7A781A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20" w:type="dxa"/>
              <w:left w:w="180" w:type="dxa"/>
              <w:bottom w:w="120" w:type="dxa"/>
              <w:right w:w="120" w:type="dxa"/>
            </w:tcMar>
          </w:tcPr>
          <w:p w14:paraId="04A64A2C" w14:textId="77777777" w:rsidR="00A54EB3" w:rsidRDefault="00000000">
            <w:r>
              <w:rPr>
                <w:i/>
                <w:iCs/>
              </w:rPr>
              <w:t>The extension introduced in this architecture: traditional frameworks answer “is the data valid?” This methodology answers “can I actually execute this operational program with this data — and if not, what specifically needs to change?” The Use Case Specification is the artifact that implements this answer.</w:t>
            </w:r>
          </w:p>
        </w:tc>
      </w:tr>
    </w:tbl>
    <w:p w14:paraId="6CA919BD" w14:textId="77777777" w:rsidR="00A54EB3" w:rsidRDefault="00A54EB3">
      <w:pPr>
        <w:spacing w:after="120"/>
      </w:pPr>
    </w:p>
    <w:p w14:paraId="2E4D5DD3" w14:textId="77777777" w:rsidR="00A54EB3" w:rsidRDefault="00000000">
      <w:pPr>
        <w:pStyle w:val="Heading1"/>
      </w:pPr>
      <w:r>
        <w:t>8. Key Design Principles</w:t>
      </w:r>
    </w:p>
    <w:p w14:paraId="69152C5C" w14:textId="77777777" w:rsidR="00A54EB3" w:rsidRDefault="00000000">
      <w:pPr>
        <w:pStyle w:val="ListParagraph"/>
        <w:numPr>
          <w:ilvl w:val="0"/>
          <w:numId w:val="2"/>
        </w:numPr>
        <w:spacing w:after="80"/>
      </w:pPr>
      <w:r>
        <w:t>Variables are global, reusable assets. Define once, reference everywhere.</w:t>
      </w:r>
    </w:p>
    <w:p w14:paraId="6C53B4EA" w14:textId="77777777" w:rsidR="00A54EB3" w:rsidRDefault="00000000">
      <w:pPr>
        <w:pStyle w:val="ListParagraph"/>
        <w:numPr>
          <w:ilvl w:val="0"/>
          <w:numId w:val="2"/>
        </w:numPr>
        <w:spacing w:after="80"/>
      </w:pPr>
      <w:r>
        <w:t>Use Case Categories define taxonomy, not execution. Execution logic lives only in Use Case Specifications.</w:t>
      </w:r>
    </w:p>
    <w:p w14:paraId="625059A2" w14:textId="77777777" w:rsidR="00A54EB3" w:rsidRDefault="00000000">
      <w:pPr>
        <w:pStyle w:val="ListParagraph"/>
        <w:numPr>
          <w:ilvl w:val="0"/>
          <w:numId w:val="2"/>
        </w:numPr>
        <w:spacing w:after="80"/>
      </w:pPr>
      <w:r>
        <w:t>Condition Modules organize and scope condition-specific logic. They do not own it.</w:t>
      </w:r>
    </w:p>
    <w:p w14:paraId="3F8B99F5" w14:textId="77777777" w:rsidR="00A54EB3" w:rsidRDefault="00000000">
      <w:pPr>
        <w:pStyle w:val="ListParagraph"/>
        <w:numPr>
          <w:ilvl w:val="0"/>
          <w:numId w:val="2"/>
        </w:numPr>
        <w:spacing w:after="80"/>
      </w:pPr>
      <w:r>
        <w:t>Use Case Specifications define the fit-for-purpose layer: population eligibility, variable application rules, computation logic, and output.</w:t>
      </w:r>
    </w:p>
    <w:p w14:paraId="699E1A60" w14:textId="77777777" w:rsidR="00A54EB3" w:rsidRDefault="00000000">
      <w:pPr>
        <w:pStyle w:val="ListParagraph"/>
        <w:numPr>
          <w:ilvl w:val="0"/>
          <w:numId w:val="2"/>
        </w:numPr>
        <w:spacing w:after="80"/>
      </w:pPr>
      <w:r>
        <w:t>Data quality is necessary but not sufficient. Operational usability is the goal.</w:t>
      </w:r>
    </w:p>
    <w:p w14:paraId="7166D4ED" w14:textId="77777777" w:rsidR="00A54EB3" w:rsidRDefault="00000000">
      <w:pPr>
        <w:pStyle w:val="ListParagraph"/>
        <w:numPr>
          <w:ilvl w:val="0"/>
          <w:numId w:val="2"/>
        </w:numPr>
        <w:spacing w:after="80"/>
      </w:pPr>
      <w:r>
        <w:t>A use case can be blocked by one critical variable. Granular variable-level evaluation makes the blocker visible and the remediation path specific.</w:t>
      </w:r>
    </w:p>
    <w:p w14:paraId="11037233" w14:textId="77777777" w:rsidR="00A54EB3" w:rsidRDefault="00000000">
      <w:pPr>
        <w:pStyle w:val="ListParagraph"/>
        <w:numPr>
          <w:ilvl w:val="0"/>
          <w:numId w:val="2"/>
        </w:numPr>
        <w:spacing w:after="80"/>
      </w:pPr>
      <w:r>
        <w:t>Capability is unlocked iteratively. Remediation targets the specific variable and check that is blocking. Re-scoring after remediation shows explicitly what becomes possible.</w:t>
      </w:r>
    </w:p>
    <w:p w14:paraId="4C40C9CC" w14:textId="77777777" w:rsidR="00A54EB3" w:rsidRDefault="00000000">
      <w:pPr>
        <w:pStyle w:val="ListParagraph"/>
        <w:numPr>
          <w:ilvl w:val="0"/>
          <w:numId w:val="2"/>
        </w:numPr>
        <w:spacing w:after="80"/>
      </w:pPr>
      <w:r>
        <w:t>The deterministic pipeline is primary. The agentic layer is optional augmentation. The platform must function completely without AI involvement.</w:t>
      </w:r>
    </w:p>
    <w:p w14:paraId="6C8A6495" w14:textId="77777777" w:rsidR="00A54EB3" w:rsidRDefault="00A54EB3">
      <w:pPr>
        <w:spacing w:after="120"/>
      </w:pPr>
    </w:p>
    <w:p w14:paraId="1441A14A" w14:textId="77777777" w:rsidR="00A54EB3" w:rsidRDefault="00000000">
      <w:pPr>
        <w:pStyle w:val="Heading1"/>
      </w:pPr>
      <w:r>
        <w:t>9. Relationship to Other Documents</w:t>
      </w:r>
    </w:p>
    <w:p w14:paraId="34D562C9" w14:textId="77777777" w:rsidR="00A54EB3" w:rsidRDefault="00A54E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4EB3" w14:paraId="56062A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3B76C2" w14:textId="77777777" w:rsidR="00A54EB3" w:rsidRDefault="00000000">
            <w:r>
              <w:rPr>
                <w:b/>
                <w:bCs/>
                <w:color w:val="FFFFFF"/>
              </w:rPr>
              <w:t>Document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47E416" w14:textId="77777777" w:rsidR="00A54EB3" w:rsidRDefault="00000000">
            <w:r>
              <w:rPr>
                <w:b/>
                <w:bCs/>
                <w:color w:val="FFFFFF"/>
              </w:rPr>
              <w:t>Relationship</w:t>
            </w:r>
          </w:p>
        </w:tc>
      </w:tr>
      <w:tr w:rsidR="00A54EB3" w14:paraId="6AAB32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45A05DCE" w14:textId="77777777" w:rsidR="00A54EB3" w:rsidRDefault="00000000">
            <w:r>
              <w:lastRenderedPageBreak/>
              <w:t>Technical Specification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343B86B2" w14:textId="77777777" w:rsidR="00A54EB3" w:rsidRDefault="00000000">
            <w:r>
              <w:t>Implements Stage 1 (variable-level evaluation) as a layered check registry (layer1–layer5, device checks, layer6 use-case aggregation). Check registry mapping to variable vs. use-case level is to be updated to reflect this specification.</w:t>
            </w:r>
          </w:p>
        </w:tc>
      </w:tr>
      <w:tr w:rsidR="00A54EB3" w14:paraId="364E25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ACD61" w14:textId="77777777" w:rsidR="00A54EB3" w:rsidRDefault="00000000">
            <w:r>
              <w:t>Data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5E991" w14:textId="77777777" w:rsidR="00A54EB3" w:rsidRDefault="00000000">
            <w:r>
              <w:t>Implements the four-tier schema (Raw → Normalized → Check Results/Patches → Use-Case Ready) that supports the three-stage methodology. check_results.check_scope field maps to variable-level vs. use-case-level evaluation.</w:t>
            </w:r>
          </w:p>
        </w:tc>
      </w:tr>
      <w:tr w:rsidR="00A54EB3" w14:paraId="307075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F0790E5" w14:textId="77777777" w:rsidR="00A54EB3" w:rsidRDefault="00000000">
            <w:r>
              <w:t>Build Plan (April 2026)</w:t>
            </w:r>
          </w:p>
        </w:tc>
        <w:tc>
          <w:tcPr>
            <w:tcW w:w="6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104E8C7E" w14:textId="77777777" w:rsidR="00A54EB3" w:rsidRDefault="00000000">
            <w:r>
              <w:t>The condition module schema (diabetes.config.json) is the machine-readable implementation of a Condition Module + Use Case Specification set. The schema must conform to the object model defined in this document.</w:t>
            </w:r>
          </w:p>
        </w:tc>
      </w:tr>
      <w:tr w:rsidR="00A54EB3" w14:paraId="314AF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6EAD" w14:textId="77777777" w:rsidR="00A54EB3" w:rsidRDefault="00000000">
            <w:r>
              <w:t>Architecture Decision Record (April 2026)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0E200" w14:textId="77777777" w:rsidR="00A54EB3" w:rsidRDefault="00000000">
            <w:r>
              <w:t>Records four build-phase decisions, including condition module as config file + database (Decision 2) and agentic backend as peer sidecar (Decision 1). Those decisions are downstream of and consistent with this specification.</w:t>
            </w:r>
          </w:p>
        </w:tc>
      </w:tr>
      <w:tr w:rsidR="00A54EB3" w14:paraId="059C20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4E0A09D" w14:textId="77777777" w:rsidR="00A54EB3" w:rsidRDefault="00000000">
            <w:r>
              <w:t>Agentic Layer 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587E7004" w14:textId="77777777" w:rsidR="00A54EB3" w:rsidRDefault="00000000">
            <w:r>
              <w:t>The agentic backend reads check result records (Stage 1 outputs) and approved SQL records (Stage 3 outputs). It does not touch the methodology layer defined in this document.</w:t>
            </w:r>
          </w:p>
        </w:tc>
      </w:tr>
      <w:tr w:rsidR="00A54EB3" w14:paraId="7E185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A0B59" w14:textId="77777777" w:rsidR="00A54EB3" w:rsidRDefault="00000000">
            <w:r>
              <w:t>Operational Governance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2425A" w14:textId="77777777" w:rsidR="00A54EB3" w:rsidRDefault="00000000">
            <w:r>
              <w:t>Defines the seven-role governance model that governs who authors, reviews, and approves Condition Modules and Use Case Specifications before they are incorporated into the platform.</w:t>
            </w:r>
          </w:p>
        </w:tc>
      </w:tr>
    </w:tbl>
    <w:p w14:paraId="077CF66F" w14:textId="77777777" w:rsidR="00A54EB3" w:rsidRDefault="00A54EB3">
      <w:pPr>
        <w:spacing w:after="120"/>
      </w:pPr>
    </w:p>
    <w:p w14:paraId="6006BB71" w14:textId="77777777" w:rsidR="00A54EB3" w:rsidRDefault="00A54EB3">
      <w:pPr>
        <w:spacing w:after="120"/>
      </w:pPr>
    </w:p>
    <w:p w14:paraId="7D51C3F3" w14:textId="77777777" w:rsidR="00A54EB3" w:rsidRDefault="00A54EB3">
      <w:pPr>
        <w:pBdr>
          <w:bottom w:val="single" w:sz="6" w:space="1" w:color="2E75B6"/>
        </w:pBdr>
        <w:spacing w:after="240"/>
      </w:pPr>
    </w:p>
    <w:p w14:paraId="44D742AE" w14:textId="77777777" w:rsidR="00A54EB3" w:rsidRDefault="00000000">
      <w:pPr>
        <w:spacing w:before="240"/>
        <w:jc w:val="center"/>
      </w:pPr>
      <w:r>
        <w:rPr>
          <w:i/>
          <w:iCs/>
          <w:color w:val="2E75B6"/>
          <w:sz w:val="18"/>
          <w:szCs w:val="18"/>
        </w:rPr>
        <w:t>Oros — Shared infrastructure for data-driven care  —  oros.ai</w:t>
      </w:r>
    </w:p>
    <w:sectPr w:rsidR="00A54E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3CC67" w14:textId="77777777" w:rsidR="00C46E7D" w:rsidRDefault="00C46E7D">
      <w:r>
        <w:separator/>
      </w:r>
    </w:p>
  </w:endnote>
  <w:endnote w:type="continuationSeparator" w:id="0">
    <w:p w14:paraId="213253F9" w14:textId="77777777" w:rsidR="00C46E7D" w:rsidRDefault="00C46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FA72" w14:textId="77777777" w:rsidR="00A54EB3" w:rsidRDefault="00000000">
    <w:pPr>
      <w:pBdr>
        <w:top w:val="single" w:sz="6" w:space="1" w:color="2E75B6"/>
      </w:pBdr>
      <w:tabs>
        <w:tab w:val="right" w:pos="9026"/>
      </w:tabs>
      <w:spacing w:before="120"/>
    </w:pPr>
    <w:r>
      <w:rPr>
        <w:color w:val="2E75B6"/>
        <w:sz w:val="18"/>
        <w:szCs w:val="18"/>
      </w:rPr>
      <w:t>Oros — Confidential</w:t>
    </w:r>
    <w:r>
      <w:rPr>
        <w:sz w:val="18"/>
        <w:szCs w:val="18"/>
      </w:rPr>
      <w:tab/>
    </w:r>
    <w:r>
      <w:rPr>
        <w:color w:val="2E75B6"/>
        <w:sz w:val="18"/>
        <w:szCs w:val="18"/>
      </w:rPr>
      <w:fldChar w:fldCharType="begin"/>
    </w:r>
    <w:r>
      <w:rPr>
        <w:color w:val="2E75B6"/>
        <w:sz w:val="18"/>
        <w:szCs w:val="18"/>
      </w:rPr>
      <w:instrText>PAGE</w:instrText>
    </w:r>
    <w:r>
      <w:rPr>
        <w:color w:val="2E75B6"/>
        <w:sz w:val="18"/>
        <w:szCs w:val="18"/>
      </w:rPr>
      <w:fldChar w:fldCharType="separate"/>
    </w:r>
    <w:r w:rsidR="00577288">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46A93" w14:textId="77777777" w:rsidR="00C46E7D" w:rsidRDefault="00C46E7D">
      <w:r>
        <w:separator/>
      </w:r>
    </w:p>
  </w:footnote>
  <w:footnote w:type="continuationSeparator" w:id="0">
    <w:p w14:paraId="763A45E3" w14:textId="77777777" w:rsidR="00C46E7D" w:rsidRDefault="00C46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5437" w14:textId="77777777" w:rsidR="00A54EB3" w:rsidRDefault="00000000">
    <w:pPr>
      <w:pBdr>
        <w:bottom w:val="single" w:sz="6" w:space="1" w:color="2E75B6"/>
      </w:pBdr>
      <w:spacing w:after="120"/>
    </w:pPr>
    <w:r>
      <w:rPr>
        <w:i/>
        <w:iCs/>
        <w:color w:val="2E75B6"/>
        <w:sz w:val="18"/>
        <w:szCs w:val="18"/>
      </w:rPr>
      <w:t>Oros CKM Data Readiness — Architecture Specification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036C"/>
    <w:multiLevelType w:val="hybridMultilevel"/>
    <w:tmpl w:val="E44E2020"/>
    <w:lvl w:ilvl="0" w:tplc="D988ED30">
      <w:start w:val="1"/>
      <w:numFmt w:val="bullet"/>
      <w:lvlText w:val="•"/>
      <w:lvlJc w:val="left"/>
      <w:pPr>
        <w:ind w:left="720" w:hanging="360"/>
      </w:pPr>
      <w:rPr>
        <w:rFonts w:ascii="Arial" w:eastAsia="Arial" w:hAnsi="Arial" w:cs="Arial"/>
        <w:sz w:val="22"/>
        <w:szCs w:val="22"/>
      </w:rPr>
    </w:lvl>
    <w:lvl w:ilvl="1" w:tplc="C82616C6">
      <w:start w:val="1"/>
      <w:numFmt w:val="bullet"/>
      <w:lvlText w:val="◦"/>
      <w:lvlJc w:val="left"/>
      <w:pPr>
        <w:ind w:left="1080" w:hanging="360"/>
      </w:pPr>
      <w:rPr>
        <w:rFonts w:ascii="Arial" w:eastAsia="Arial" w:hAnsi="Arial" w:cs="Arial"/>
        <w:sz w:val="22"/>
        <w:szCs w:val="22"/>
      </w:rPr>
    </w:lvl>
    <w:lvl w:ilvl="2" w:tplc="21B6A1BC">
      <w:numFmt w:val="decimal"/>
      <w:lvlText w:val=""/>
      <w:lvlJc w:val="left"/>
    </w:lvl>
    <w:lvl w:ilvl="3" w:tplc="3660686C">
      <w:numFmt w:val="decimal"/>
      <w:lvlText w:val=""/>
      <w:lvlJc w:val="left"/>
    </w:lvl>
    <w:lvl w:ilvl="4" w:tplc="5CE05776">
      <w:numFmt w:val="decimal"/>
      <w:lvlText w:val=""/>
      <w:lvlJc w:val="left"/>
    </w:lvl>
    <w:lvl w:ilvl="5" w:tplc="A614E8B6">
      <w:numFmt w:val="decimal"/>
      <w:lvlText w:val=""/>
      <w:lvlJc w:val="left"/>
    </w:lvl>
    <w:lvl w:ilvl="6" w:tplc="14FEABB6">
      <w:numFmt w:val="decimal"/>
      <w:lvlText w:val=""/>
      <w:lvlJc w:val="left"/>
    </w:lvl>
    <w:lvl w:ilvl="7" w:tplc="CECACE94">
      <w:numFmt w:val="decimal"/>
      <w:lvlText w:val=""/>
      <w:lvlJc w:val="left"/>
    </w:lvl>
    <w:lvl w:ilvl="8" w:tplc="907423EE">
      <w:numFmt w:val="decimal"/>
      <w:lvlText w:val=""/>
      <w:lvlJc w:val="left"/>
    </w:lvl>
  </w:abstractNum>
  <w:abstractNum w:abstractNumId="1" w15:restartNumberingAfterBreak="0">
    <w:nsid w:val="7F094E7E"/>
    <w:multiLevelType w:val="hybridMultilevel"/>
    <w:tmpl w:val="0FEC1186"/>
    <w:lvl w:ilvl="0" w:tplc="AA4470F4">
      <w:start w:val="1"/>
      <w:numFmt w:val="bullet"/>
      <w:lvlText w:val="●"/>
      <w:lvlJc w:val="left"/>
      <w:pPr>
        <w:ind w:left="720" w:hanging="360"/>
      </w:pPr>
    </w:lvl>
    <w:lvl w:ilvl="1" w:tplc="DEEC8C7E">
      <w:start w:val="1"/>
      <w:numFmt w:val="bullet"/>
      <w:lvlText w:val="○"/>
      <w:lvlJc w:val="left"/>
      <w:pPr>
        <w:ind w:left="1440" w:hanging="360"/>
      </w:pPr>
    </w:lvl>
    <w:lvl w:ilvl="2" w:tplc="48B6E182">
      <w:start w:val="1"/>
      <w:numFmt w:val="bullet"/>
      <w:lvlText w:val="■"/>
      <w:lvlJc w:val="left"/>
      <w:pPr>
        <w:ind w:left="2160" w:hanging="360"/>
      </w:pPr>
    </w:lvl>
    <w:lvl w:ilvl="3" w:tplc="B37078DA">
      <w:start w:val="1"/>
      <w:numFmt w:val="bullet"/>
      <w:lvlText w:val="●"/>
      <w:lvlJc w:val="left"/>
      <w:pPr>
        <w:ind w:left="2880" w:hanging="360"/>
      </w:pPr>
    </w:lvl>
    <w:lvl w:ilvl="4" w:tplc="BC0CA6DA">
      <w:start w:val="1"/>
      <w:numFmt w:val="bullet"/>
      <w:lvlText w:val="○"/>
      <w:lvlJc w:val="left"/>
      <w:pPr>
        <w:ind w:left="3600" w:hanging="360"/>
      </w:pPr>
    </w:lvl>
    <w:lvl w:ilvl="5" w:tplc="70280A70">
      <w:start w:val="1"/>
      <w:numFmt w:val="bullet"/>
      <w:lvlText w:val="■"/>
      <w:lvlJc w:val="left"/>
      <w:pPr>
        <w:ind w:left="4320" w:hanging="360"/>
      </w:pPr>
    </w:lvl>
    <w:lvl w:ilvl="6" w:tplc="C15672E4">
      <w:start w:val="1"/>
      <w:numFmt w:val="bullet"/>
      <w:lvlText w:val="●"/>
      <w:lvlJc w:val="left"/>
      <w:pPr>
        <w:ind w:left="5040" w:hanging="360"/>
      </w:pPr>
    </w:lvl>
    <w:lvl w:ilvl="7" w:tplc="34BEBAEC">
      <w:start w:val="1"/>
      <w:numFmt w:val="bullet"/>
      <w:lvlText w:val="●"/>
      <w:lvlJc w:val="left"/>
      <w:pPr>
        <w:ind w:left="5760" w:hanging="360"/>
      </w:pPr>
    </w:lvl>
    <w:lvl w:ilvl="8" w:tplc="82D0D91E">
      <w:start w:val="1"/>
      <w:numFmt w:val="bullet"/>
      <w:lvlText w:val="●"/>
      <w:lvlJc w:val="left"/>
      <w:pPr>
        <w:ind w:left="6480" w:hanging="360"/>
      </w:pPr>
    </w:lvl>
  </w:abstractNum>
  <w:num w:numId="1" w16cid:durableId="492919699">
    <w:abstractNumId w:val="1"/>
    <w:lvlOverride w:ilvl="0">
      <w:startOverride w:val="1"/>
    </w:lvlOverride>
  </w:num>
  <w:num w:numId="2" w16cid:durableId="1754358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EB3"/>
    <w:rsid w:val="00577288"/>
    <w:rsid w:val="00A54EB3"/>
    <w:rsid w:val="00C46E7D"/>
    <w:rsid w:val="00C92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21C6B"/>
  <w15:docId w15:val="{13AFE593-F984-2B4F-8578-E70AD34C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2327</Words>
  <Characters>14895</Characters>
  <Application>Microsoft Office Word</Application>
  <DocSecurity>0</DocSecurity>
  <Lines>438</Lines>
  <Paragraphs>253</Paragraphs>
  <ScaleCrop>false</ScaleCrop>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Dominique Pahud</cp:lastModifiedBy>
  <cp:revision>2</cp:revision>
  <dcterms:created xsi:type="dcterms:W3CDTF">2026-04-17T15:36:00Z</dcterms:created>
  <dcterms:modified xsi:type="dcterms:W3CDTF">2026-04-17T15:36:00Z</dcterms:modified>
</cp:coreProperties>
</file>