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Operational Care Model</w:t>
      </w:r>
    </w:p>
    <w:p>
      <w:pPr>
        <w:spacing w:after="160"/>
      </w:pPr>
      <w:r>
        <w:rPr>
          <w:color w:val="555555"/>
          <w:sz w:val="24"/>
          <w:szCs w:val="24"/>
        </w:rPr>
        <w:t xml:space="preserve">CKM Data Readiness Infrastructure Pilot</w:t>
      </w:r>
    </w:p>
    <w:p>
      <w:pPr>
        <w:spacing w:after="80"/>
      </w:pPr>
      <w:r>
        <w:t xml:space="preserve"/>
      </w:r>
    </w:p>
    <w:p>
      <w:pPr>
        <w:pStyle w:val="Heading2"/>
      </w:pPr>
      <w:r>
        <w:t xml:space="preserve">Purpose</w:t>
      </w:r>
    </w:p>
    <w:p>
      <w:pPr>
        <w:spacing w:after="100"/>
      </w:pPr>
      <w:r>
        <w:t xml:space="preserve">The CKM Data Readiness Infrastructure Pilot is designed to support rural clinics in operationalizing data-driven care for cardiometabolic conditions. While the readiness infrastructure evaluates whether data is usable for clinical programs, the operational care model defines how participating clinical teams translate signals into real patient care.</w:t>
      </w:r>
    </w:p>
    <w:p>
      <w:pPr>
        <w:spacing w:after="80"/>
      </w:pPr>
      <w:r>
        <w:t xml:space="preserve"/>
      </w:r>
    </w:p>
    <w:p>
      <w:pPr>
        <w:spacing w:after="100"/>
      </w:pPr>
      <w:r>
        <w:t xml:space="preserve">The pilot intentionally separates clinical functions from staffing roles. Functions are standardized to support reproducibility across regions, while staffing roles remain flexible to reflect the realities of different healthcare environments.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4"/>
              <w:left w:val="single" w:color="2E5F9E" w:sz="12"/>
              <w:bottom w:val="single" w:color="2E5F9E" w:sz="4"/>
              <w:right w:val="single" w:color="2E5F9E" w:sz="4"/>
            </w:tcBorders>
            <w:shd w:fill="EEF4FB" w:val="clear"/>
            <w:tcMar>
              <w:top w:type="dxa" w:w="120"/>
              <w:left w:type="dxa" w:w="200"/>
              <w:bottom w:type="dxa" w:w="120"/>
              <w:right w:type="dxa" w:w="200"/>
            </w:tcMar>
          </w:tcPr>
          <w:p>
            <w:r>
              <w:rPr>
                <w:b/>
                <w:bCs/>
                <w:color w:val="1F3864"/>
                <w:sz w:val="22"/>
                <w:szCs w:val="22"/>
              </w:rPr>
              <w:t xml:space="preserve">Core Principle: Functions are standardized. Roles are locally determined.</w:t>
            </w:r>
          </w:p>
        </w:tc>
      </w:tr>
    </w:tbl>
    <w:p>
      <w:pPr>
        <w:spacing w:after="80"/>
      </w:pPr>
      <w:r>
        <w:t xml:space="preserve"/>
      </w:r>
    </w:p>
    <w:p>
      <w:pPr>
        <w:pStyle w:val="Heading2"/>
      </w:pPr>
      <w:r>
        <w:t xml:space="preserve">Scope of the Infrastructure</w:t>
      </w:r>
    </w:p>
    <w:p>
      <w:pPr>
        <w:spacing w:after="100"/>
      </w:pPr>
      <w:r>
        <w:t xml:space="preserve">The CKM Data Readiness Infrastructure does not operate at the point of care and does not provide clinical decision support. Instead, it evaluates whether available data streams are sufficient to support operational programs, and generates signals that inform program readiness and improvement cycles.</w:t>
      </w:r>
    </w:p>
    <w:p>
      <w:pPr>
        <w:spacing w:after="80"/>
      </w:pPr>
      <w:r>
        <w:t xml:space="preserve"/>
      </w:r>
    </w:p>
    <w:p>
      <w:pPr>
        <w:spacing w:after="100"/>
      </w:pPr>
      <w:r>
        <w:t xml:space="preserve">Clinical teams remain responsible for all patient care decisions. The infrastructure supports those teams by improving the reliability and completeness of the data available to them.</w:t>
      </w:r>
    </w:p>
    <w:p>
      <w:pPr>
        <w:spacing w:after="80"/>
      </w:pPr>
      <w:r>
        <w:t xml:space="preserve"/>
      </w:r>
    </w:p>
    <w:p>
      <w:pPr>
        <w:pStyle w:val="Heading2"/>
      </w:pPr>
      <w:r>
        <w:t xml:space="preserve">Roles</w:t>
      </w:r>
    </w:p>
    <w:p>
      <w:pPr>
        <w:spacing w:after="100"/>
      </w:pPr>
      <w:r>
        <w:t xml:space="preserve">Different institutions may assign responsibility for the same function to different staff depending on available resources, staffing models, and workflow preferences. Possible clinical roles may include:</w:t>
      </w:r>
    </w:p>
    <w:p>
      <w:pPr>
        <w:pStyle w:val="ListParagraph"/>
        <w:numPr>
          <w:ilvl w:val="0"/>
          <w:numId w:val="2"/>
        </w:numPr>
      </w:pPr>
      <w:r>
        <w:t xml:space="preserve">Medical assistants</w:t>
      </w:r>
    </w:p>
    <w:p>
      <w:pPr>
        <w:pStyle w:val="ListParagraph"/>
        <w:numPr>
          <w:ilvl w:val="0"/>
          <w:numId w:val="2"/>
        </w:numPr>
      </w:pPr>
      <w:r>
        <w:t xml:space="preserve">Nurses</w:t>
      </w:r>
    </w:p>
    <w:p>
      <w:pPr>
        <w:pStyle w:val="ListParagraph"/>
        <w:numPr>
          <w:ilvl w:val="0"/>
          <w:numId w:val="2"/>
        </w:numPr>
      </w:pPr>
      <w:r>
        <w:t xml:space="preserve">Care coordinators</w:t>
      </w:r>
    </w:p>
    <w:p>
      <w:pPr>
        <w:pStyle w:val="ListParagraph"/>
        <w:numPr>
          <w:ilvl w:val="0"/>
          <w:numId w:val="2"/>
        </w:numPr>
      </w:pPr>
      <w:r>
        <w:t xml:space="preserve">Pharmacists</w:t>
      </w:r>
    </w:p>
    <w:p>
      <w:pPr>
        <w:pStyle w:val="ListParagraph"/>
        <w:numPr>
          <w:ilvl w:val="0"/>
          <w:numId w:val="2"/>
        </w:numPr>
      </w:pPr>
      <w:r>
        <w:t xml:space="preserve">Nurse practitioners</w:t>
      </w:r>
    </w:p>
    <w:p>
      <w:pPr>
        <w:pStyle w:val="ListParagraph"/>
        <w:numPr>
          <w:ilvl w:val="0"/>
          <w:numId w:val="2"/>
        </w:numPr>
      </w:pPr>
      <w:r>
        <w:t xml:space="preserve">Primary care physicians</w:t>
      </w:r>
    </w:p>
    <w:p>
      <w:pPr>
        <w:pStyle w:val="ListParagraph"/>
        <w:numPr>
          <w:ilvl w:val="0"/>
          <w:numId w:val="2"/>
        </w:numPr>
      </w:pPr>
      <w:r>
        <w:t xml:space="preserve">Specialists</w:t>
      </w:r>
    </w:p>
    <w:p>
      <w:pPr>
        <w:spacing w:after="80"/>
      </w:pPr>
      <w:r>
        <w:t xml:space="preserve"/>
      </w:r>
    </w:p>
    <w:p>
      <w:pPr>
        <w:spacing w:after="100"/>
      </w:pPr>
      <w:r>
        <w:t xml:space="preserve">At the program operations level, additional actors include clinical operations teams, program managers, population health teams, and data infrastructure teams who support the operational readiness and improvement cycles.</w:t>
      </w:r>
    </w:p>
    <w:p>
      <w:pPr>
        <w:spacing w:after="80"/>
      </w:pPr>
      <w:r>
        <w:t xml:space="preserve"/>
      </w:r>
    </w:p>
    <w:p>
      <w:pPr>
        <w:spacing w:after="100"/>
      </w:pPr>
      <w:r>
        <w:t xml:space="preserve">The pilot defines what must happen, while local teams determine who performs each function.</w:t>
      </w:r>
    </w:p>
    <w:p>
      <w:pPr>
        <w:spacing w:after="80"/>
      </w:pPr>
      <w:r>
        <w:t xml:space="preserve"/>
      </w:r>
    </w:p>
    <w:p>
      <w:pPr>
        <w:pStyle w:val="Heading2"/>
      </w:pPr>
      <w:r>
        <w:t xml:space="preserve">Operational Workflow</w:t>
      </w:r>
    </w:p>
    <w:p>
      <w:pPr>
        <w:spacing w:after="100"/>
      </w:pPr>
      <w:r>
        <w:t xml:space="preserve">The operational workflow follows a structured sequence that connects risk signals to clinical action.</w:t>
      </w:r>
    </w:p>
    <w:p>
      <w:pPr>
        <w:spacing w:after="80"/>
      </w:pPr>
      <w:r>
        <w:t xml:space="preserve"/>
      </w:r>
    </w:p>
    <w:p>
      <w:pPr>
        <w:pStyle w:val="Heading3"/>
      </w:pPr>
      <w:r>
        <w:t xml:space="preserve">1. Signal Detection</w:t>
      </w:r>
    </w:p>
    <w:p>
      <w:pPr>
        <w:spacing w:after="100"/>
      </w:pPr>
      <w:r>
        <w:t xml:space="preserve">Clinical signals are generated from available data sources — device data streams, EHR-derived data, or a combination of both. In rural settings where EHR data is incomplete or delayed, device-mediated signals serve as the early operational source for the risk stratification review in early pilot stages, enabling care teams to act before full EHR integration is in place. As data readiness improves, device and EHR signals are combined for more comprehensive risk detection.</w:t>
      </w:r>
    </w:p>
    <w:p>
      <w:pPr>
        <w:spacing w:after="80"/>
      </w:pPr>
      <w:r>
        <w:t xml:space="preserve"/>
      </w:r>
    </w:p>
    <w:p>
      <w:pPr>
        <w:spacing w:after="100"/>
      </w:pPr>
      <w:r>
        <w:t xml:space="preserve">Examples of device-mediated signals:</w:t>
      </w:r>
    </w:p>
    <w:p>
      <w:pPr>
        <w:pStyle w:val="ListParagraph"/>
        <w:numPr>
          <w:ilvl w:val="0"/>
          <w:numId w:val="3"/>
        </w:numPr>
      </w:pPr>
      <w:r>
        <w:t xml:space="preserve">Weight change signals for heart failure patients — from connected scales</w:t>
      </w:r>
    </w:p>
    <w:p>
      <w:pPr>
        <w:pStyle w:val="ListParagraph"/>
        <w:numPr>
          <w:ilvl w:val="0"/>
          <w:numId w:val="3"/>
        </w:numPr>
      </w:pPr>
      <w:r>
        <w:t xml:space="preserve">CGM trends indicating deteriorating glucose control — from continuous glucose monitors</w:t>
      </w:r>
    </w:p>
    <w:p>
      <w:pPr>
        <w:pStyle w:val="ListParagraph"/>
        <w:numPr>
          <w:ilvl w:val="0"/>
          <w:numId w:val="3"/>
        </w:numPr>
      </w:pPr>
      <w:r>
        <w:t xml:space="preserve">Persistent elevated blood pressure readings — from home BP monitors</w:t>
      </w:r>
    </w:p>
    <w:p>
      <w:pPr>
        <w:spacing w:after="80"/>
      </w:pPr>
      <w:r>
        <w:t xml:space="preserve"/>
      </w:r>
    </w:p>
    <w:p>
      <w:pPr>
        <w:pStyle w:val="Heading3"/>
      </w:pPr>
      <w:r>
        <w:t xml:space="preserve">2. Signal Validation</w:t>
      </w:r>
    </w:p>
    <w:p>
      <w:pPr>
        <w:spacing w:after="100"/>
      </w:pPr>
      <w:r>
        <w:t xml:space="preserve">Not all signals require clinical escalation. The first operational step is validation by the local clinical team to determine whether the signal represents a meaningful patient risk. Examples:</w:t>
      </w:r>
    </w:p>
    <w:p>
      <w:pPr>
        <w:pStyle w:val="ListParagraph"/>
        <w:numPr>
          <w:ilvl w:val="0"/>
          <w:numId w:val="4"/>
        </w:numPr>
      </w:pPr>
      <w:r>
        <w:t xml:space="preserve">Confirming a weight increase reflects fluid retention rather than measurement error</w:t>
      </w:r>
    </w:p>
    <w:p>
      <w:pPr>
        <w:pStyle w:val="ListParagraph"/>
        <w:numPr>
          <w:ilvl w:val="0"/>
          <w:numId w:val="4"/>
        </w:numPr>
      </w:pPr>
      <w:r>
        <w:t xml:space="preserve">Confirming that device readings correspond to the correct patient</w:t>
      </w:r>
    </w:p>
    <w:p>
      <w:pPr>
        <w:pStyle w:val="ListParagraph"/>
        <w:numPr>
          <w:ilvl w:val="0"/>
          <w:numId w:val="4"/>
        </w:numPr>
      </w:pPr>
      <w:r>
        <w:t xml:space="preserve">Verifying that a signal is not the result of missing or delayed data</w:t>
      </w:r>
    </w:p>
    <w:p>
      <w:pPr>
        <w:spacing w:after="80"/>
      </w:pPr>
      <w:r>
        <w:t xml:space="preserve"/>
      </w:r>
    </w:p>
    <w:p>
      <w:pPr>
        <w:spacing w:after="100"/>
      </w:pPr>
      <w:r>
        <w:t xml:space="preserve">This validation step prevents unnecessary escalation and reduces alert fatigue.</w:t>
      </w:r>
    </w:p>
    <w:p>
      <w:pPr>
        <w:spacing w:after="80"/>
      </w:pPr>
      <w:r>
        <w:t xml:space="preserve"/>
      </w:r>
    </w:p>
    <w:p>
      <w:pPr>
        <w:pStyle w:val="Heading3"/>
      </w:pPr>
      <w:r>
        <w:t xml:space="preserve">3. Initial Response</w:t>
      </w:r>
    </w:p>
    <w:p>
      <w:pPr>
        <w:spacing w:after="100"/>
      </w:pPr>
      <w:r>
        <w:t xml:space="preserve">Once validated, the signal triggers an initial response from the care team. Possible actions may include:</w:t>
      </w:r>
    </w:p>
    <w:p>
      <w:pPr>
        <w:pStyle w:val="ListParagraph"/>
        <w:numPr>
          <w:ilvl w:val="0"/>
          <w:numId w:val="5"/>
        </w:numPr>
      </w:pPr>
      <w:r>
        <w:t xml:space="preserve">Outreach to the patient</w:t>
      </w:r>
    </w:p>
    <w:p>
      <w:pPr>
        <w:pStyle w:val="ListParagraph"/>
        <w:numPr>
          <w:ilvl w:val="0"/>
          <w:numId w:val="5"/>
        </w:numPr>
      </w:pPr>
      <w:r>
        <w:t xml:space="preserve">Medication review or adjustment</w:t>
      </w:r>
    </w:p>
    <w:p>
      <w:pPr>
        <w:pStyle w:val="ListParagraph"/>
        <w:numPr>
          <w:ilvl w:val="0"/>
          <w:numId w:val="5"/>
        </w:numPr>
      </w:pPr>
      <w:r>
        <w:t xml:space="preserve">Patient education</w:t>
      </w:r>
    </w:p>
    <w:p>
      <w:pPr>
        <w:pStyle w:val="ListParagraph"/>
        <w:numPr>
          <w:ilvl w:val="0"/>
          <w:numId w:val="5"/>
        </w:numPr>
      </w:pPr>
      <w:r>
        <w:t xml:space="preserve">Scheduling a follow-up appointment</w:t>
      </w:r>
    </w:p>
    <w:p>
      <w:pPr>
        <w:spacing w:after="80"/>
      </w:pPr>
      <w:r>
        <w:t xml:space="preserve"/>
      </w:r>
    </w:p>
    <w:p>
      <w:pPr>
        <w:spacing w:after="100"/>
      </w:pPr>
      <w:r>
        <w:t xml:space="preserve">The specific response pathway may vary depending on local protocols and clinical resources.</w:t>
      </w:r>
    </w:p>
    <w:p>
      <w:pPr>
        <w:spacing w:after="80"/>
      </w:pPr>
      <w:r>
        <w:t xml:space="preserve"/>
      </w:r>
    </w:p>
    <w:p>
      <w:pPr>
        <w:pStyle w:val="Heading3"/>
      </w:pPr>
      <w:r>
        <w:t xml:space="preserve">4. Specialist Escalation</w:t>
      </w:r>
    </w:p>
    <w:p>
      <w:pPr>
        <w:spacing w:after="100"/>
      </w:pPr>
      <w:r>
        <w:t xml:space="preserve">If the signal indicates elevated risk that requires additional expertise, the case may be escalated to a specialist. Examples:</w:t>
      </w:r>
    </w:p>
    <w:p>
      <w:pPr>
        <w:pStyle w:val="ListParagraph"/>
        <w:numPr>
          <w:ilvl w:val="0"/>
          <w:numId w:val="6"/>
        </w:numPr>
      </w:pPr>
      <w:r>
        <w:t xml:space="preserve">Cardiology consultation for heart failure patients</w:t>
      </w:r>
    </w:p>
    <w:p>
      <w:pPr>
        <w:pStyle w:val="ListParagraph"/>
        <w:numPr>
          <w:ilvl w:val="0"/>
          <w:numId w:val="6"/>
        </w:numPr>
      </w:pPr>
      <w:r>
        <w:t xml:space="preserve">Endocrinology support for complex diabetes management</w:t>
      </w:r>
    </w:p>
    <w:p>
      <w:pPr>
        <w:spacing w:after="80"/>
      </w:pPr>
      <w:r>
        <w:t xml:space="preserve"/>
      </w:r>
    </w:p>
    <w:p>
      <w:pPr>
        <w:spacing w:after="100"/>
      </w:pPr>
      <w:r>
        <w:t xml:space="preserve">The pilot aims to enable structured collaboration between primary care teams and specialty partners, particularly in rural environments where specialist access may be limited.</w:t>
      </w:r>
    </w:p>
    <w:p>
      <w:pPr>
        <w:spacing w:after="80"/>
      </w:pPr>
      <w:r>
        <w:t xml:space="preserve"/>
      </w:r>
    </w:p>
    <w:p>
      <w:pPr>
        <w:pStyle w:val="Heading3"/>
      </w:pPr>
      <w:r>
        <w:t xml:space="preserve">5. Outcome Tracking</w:t>
      </w:r>
    </w:p>
    <w:p>
      <w:pPr>
        <w:spacing w:after="100"/>
      </w:pPr>
      <w:r>
        <w:t xml:space="preserve">Following intervention, the clinical team tracks patient outcomes to determine whether the intervention successfully mitigated risk. Examples:</w:t>
      </w:r>
    </w:p>
    <w:p>
      <w:pPr>
        <w:pStyle w:val="ListParagraph"/>
        <w:numPr>
          <w:ilvl w:val="0"/>
          <w:numId w:val="7"/>
        </w:numPr>
      </w:pPr>
      <w:r>
        <w:t xml:space="preserve">Stabilization of weight in heart failure patients</w:t>
      </w:r>
    </w:p>
    <w:p>
      <w:pPr>
        <w:pStyle w:val="ListParagraph"/>
        <w:numPr>
          <w:ilvl w:val="0"/>
          <w:numId w:val="7"/>
        </w:numPr>
      </w:pPr>
      <w:r>
        <w:t xml:space="preserve">Improved glycemic control for diabetes patients</w:t>
      </w:r>
    </w:p>
    <w:p>
      <w:pPr>
        <w:pStyle w:val="ListParagraph"/>
        <w:numPr>
          <w:ilvl w:val="0"/>
          <w:numId w:val="7"/>
        </w:numPr>
      </w:pPr>
      <w:r>
        <w:t xml:space="preserve">Improved blood pressure control</w:t>
      </w:r>
    </w:p>
    <w:p>
      <w:pPr>
        <w:spacing w:after="80"/>
      </w:pPr>
      <w:r>
        <w:t xml:space="preserve"/>
      </w:r>
    </w:p>
    <w:p>
      <w:pPr>
        <w:spacing w:after="100"/>
      </w:pPr>
      <w:r>
        <w:t xml:space="preserve">Outcome tracking also informs continuous improvement of the care model.</w:t>
      </w:r>
    </w:p>
    <w:p>
      <w:pPr>
        <w:spacing w:after="80"/>
      </w:pPr>
      <w:r>
        <w:t xml:space="preserve"/>
      </w:r>
    </w:p>
    <w:p>
      <w:pPr>
        <w:pStyle w:val="Heading2"/>
      </w:pPr>
      <w:r>
        <w:t xml:space="preserve">Relationship to Data Readiness Infrastructure</w:t>
      </w:r>
    </w:p>
    <w:p>
      <w:pPr>
        <w:spacing w:after="100"/>
      </w:pPr>
      <w:r>
        <w:t xml:space="preserve">The operational care model depends on the CKM Data Readiness Infrastructure to ensure that each signal in the workflow is backed by data that is both technically correct and clinically sufficient. The readiness infrastructure evaluates data at the variable level — assessing each clinical variable for technical quality and readiness — and then determines whether the full set of variables required for a given workflow meets the threshold for operational use.</w:t>
      </w:r>
    </w:p>
    <w:p>
      <w:pPr>
        <w:spacing w:after="80"/>
      </w:pPr>
      <w:r>
        <w:t xml:space="preserve"/>
      </w:r>
    </w:p>
    <w:p>
      <w:pPr>
        <w:spacing w:after="100"/>
      </w:pPr>
      <w:r>
        <w:t xml:space="preserve">The readiness infrastructure evaluates whether participating institutions have sufficient data to support:</w:t>
      </w:r>
    </w:p>
    <w:p>
      <w:pPr>
        <w:pStyle w:val="ListParagraph"/>
        <w:numPr>
          <w:ilvl w:val="0"/>
          <w:numId w:val="8"/>
        </w:numPr>
      </w:pPr>
      <w:r>
        <w:t xml:space="preserve">Reliable signal detection — device and EHR variables are present, correctly linked to patients, and temporally consistent</w:t>
      </w:r>
    </w:p>
    <w:p>
      <w:pPr>
        <w:pStyle w:val="ListParagraph"/>
        <w:numPr>
          <w:ilvl w:val="0"/>
          <w:numId w:val="8"/>
        </w:numPr>
      </w:pPr>
      <w:r>
        <w:t xml:space="preserve">Appropriate clinical escalation — signals are clinically plausible and align with escalation pathways</w:t>
      </w:r>
    </w:p>
    <w:p>
      <w:pPr>
        <w:pStyle w:val="ListParagraph"/>
        <w:numPr>
          <w:ilvl w:val="0"/>
          <w:numId w:val="8"/>
        </w:numPr>
      </w:pPr>
      <w:r>
        <w:t xml:space="preserve">Outcome monitoring — longitudinal data is sufficient to track patient response over time</w:t>
      </w:r>
    </w:p>
    <w:p>
      <w:pPr>
        <w:pStyle w:val="ListParagraph"/>
        <w:numPr>
          <w:ilvl w:val="0"/>
          <w:numId w:val="8"/>
        </w:numPr>
      </w:pPr>
      <w:r>
        <w:t xml:space="preserve">Value-based care reporting — data completeness and consistency meet program reporting requirements</w:t>
      </w:r>
    </w:p>
    <w:p>
      <w:pPr>
        <w:spacing w:after="80"/>
      </w:pPr>
      <w:r>
        <w:t xml:space="preserve"/>
      </w:r>
    </w:p>
    <w:p>
      <w:pPr>
        <w:spacing w:after="100"/>
      </w:pPr>
      <w:r>
        <w:t xml:space="preserve">Where data gaps exist, the infrastructure generates prioritized remediation steps linked to the specific variable and responsible actor, enabling institutions to address gaps incrementally and unlock capability over time.</w:t>
      </w:r>
    </w:p>
    <w:p>
      <w:pPr>
        <w:spacing w:after="80"/>
      </w:pPr>
      <w:r>
        <w:t xml:space="preserve"/>
      </w:r>
    </w:p>
    <w:p>
      <w:pPr>
        <w:pStyle w:val="Heading2"/>
      </w:pPr>
      <w:r>
        <w:t xml:space="preserve">Adaptation Across Institutions</w:t>
      </w:r>
    </w:p>
    <w:p>
      <w:pPr>
        <w:spacing w:after="100"/>
      </w:pPr>
      <w:r>
        <w:t xml:space="preserve">Healthcare organizations differ widely in their technical infrastructure and staffing models. For this reason, the pilot does not prescribe a rigid workflow. Instead, the pilot focuses on validating a functional model that can be adapted across institutions with different operational realities. Examples of institutional variation may include:</w:t>
      </w:r>
    </w:p>
    <w:p>
      <w:pPr>
        <w:pStyle w:val="ListParagraph"/>
        <w:numPr>
          <w:ilvl w:val="0"/>
          <w:numId w:val="9"/>
        </w:numPr>
      </w:pPr>
      <w:r>
        <w:t xml:space="preserve">Independent rural clinics</w:t>
      </w:r>
    </w:p>
    <w:p>
      <w:pPr>
        <w:pStyle w:val="ListParagraph"/>
        <w:numPr>
          <w:ilvl w:val="0"/>
          <w:numId w:val="9"/>
        </w:numPr>
      </w:pPr>
      <w:r>
        <w:t xml:space="preserve">Clinics owned by integrated delivery networks</w:t>
      </w:r>
    </w:p>
    <w:p>
      <w:pPr>
        <w:pStyle w:val="ListParagraph"/>
        <w:numPr>
          <w:ilvl w:val="0"/>
          <w:numId w:val="9"/>
        </w:numPr>
      </w:pPr>
      <w:r>
        <w:t xml:space="preserve">Clinics participating in ACO-based care models</w:t>
      </w:r>
    </w:p>
    <w:p>
      <w:pPr>
        <w:spacing w:after="80"/>
      </w:pPr>
      <w:r>
        <w:t xml:space="preserve"/>
      </w:r>
    </w:p>
    <w:p>
      <w:pPr>
        <w:spacing w:after="100"/>
      </w:pPr>
      <w:r>
        <w:t xml:space="preserve">The operational model is designed to remain viable across these different environments.</w:t>
      </w:r>
    </w:p>
    <w:p>
      <w:pPr>
        <w:spacing w:after="80"/>
      </w:pPr>
      <w:r>
        <w:t xml:space="preserve"/>
      </w:r>
    </w:p>
    <w:p>
      <w:pPr>
        <w:pStyle w:val="Heading2"/>
      </w:pPr>
      <w:r>
        <w:t xml:space="preserve">Role of Participating Clinics</w:t>
      </w:r>
    </w:p>
    <w:p>
      <w:pPr>
        <w:spacing w:after="100"/>
      </w:pPr>
      <w:r>
        <w:t xml:space="preserve">Participating rural clinics will serve as the primary care delivery environment for the pilot. The pilot will work with a small number of clinics to:</w:t>
      </w:r>
    </w:p>
    <w:p>
      <w:pPr>
        <w:pStyle w:val="ListParagraph"/>
        <w:numPr>
          <w:ilvl w:val="0"/>
          <w:numId w:val="10"/>
        </w:numPr>
      </w:pPr>
      <w:r>
        <w:t xml:space="preserve">Test signal-to-action workflows</w:t>
      </w:r>
    </w:p>
    <w:p>
      <w:pPr>
        <w:pStyle w:val="ListParagraph"/>
        <w:numPr>
          <w:ilvl w:val="0"/>
          <w:numId w:val="10"/>
        </w:numPr>
      </w:pPr>
      <w:r>
        <w:t xml:space="preserve">Validate readiness assessment outputs</w:t>
      </w:r>
    </w:p>
    <w:p>
      <w:pPr>
        <w:pStyle w:val="ListParagraph"/>
        <w:numPr>
          <w:ilvl w:val="0"/>
          <w:numId w:val="10"/>
        </w:numPr>
      </w:pPr>
      <w:r>
        <w:t xml:space="preserve">Identify operational barriers to data-driven care</w:t>
      </w:r>
    </w:p>
    <w:p>
      <w:pPr>
        <w:pStyle w:val="ListParagraph"/>
        <w:numPr>
          <w:ilvl w:val="0"/>
          <w:numId w:val="10"/>
        </w:numPr>
      </w:pPr>
      <w:r>
        <w:t xml:space="preserve">Refine escalation pathways between primary care and specialists</w:t>
      </w:r>
    </w:p>
    <w:p>
      <w:pPr>
        <w:spacing w:after="80"/>
      </w:pPr>
      <w:r>
        <w:t xml:space="preserve"/>
      </w:r>
    </w:p>
    <w:p>
      <w:pPr>
        <w:spacing w:after="100"/>
      </w:pPr>
      <w:r>
        <w:t xml:space="preserve">Lessons learned from these pilot environments will inform broader deployment across additional regions and conditions.</w:t>
      </w:r>
    </w:p>
    <w:p>
      <w:pPr>
        <w:spacing w:after="80"/>
      </w:pPr>
      <w:r>
        <w:t xml:space="preserve"/>
      </w:r>
    </w:p>
    <w:p>
      <w:pPr>
        <w:pStyle w:val="Heading2"/>
      </w:pPr>
      <w:r>
        <w:t xml:space="preserve">Relationship to Value-Based Care</w:t>
      </w:r>
    </w:p>
    <w:p>
      <w:pPr>
        <w:spacing w:after="100"/>
      </w:pPr>
      <w:r>
        <w:t xml:space="preserve">Over time, improvements in operational data readiness will enable participating organizations to support emerging value-based care programs that require reliable clinical data for performance reporting. Examples include emerging CMS programs such as ACCESS CKM reporting tracks, which require consistent data capture and reporting capabilities.</w:t>
      </w:r>
    </w:p>
    <w:p>
      <w:pPr>
        <w:spacing w:after="80"/>
      </w:pPr>
      <w:r>
        <w:t xml:space="preserve"/>
      </w:r>
    </w:p>
    <w:p>
      <w:pPr>
        <w:spacing w:after="100"/>
      </w:pPr>
      <w:r>
        <w:t xml:space="preserve">The pilot therefore aims to demonstrate how operational data readiness can support both clinical care improvement and value-based care alignment.</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abstractNum w:abstractNumId="5" w15:restartNumberingAfterBreak="0">
    <w:multiLevelType w:val="hybridMultilevel"/>
    <w:lvl w:ilvl="0" w15:tentative="1">
      <w:start w:val="1"/>
      <w:numFmt w:val="bullet"/>
      <w:lvlText w:val="•"/>
      <w:lvlJc w:val="left"/>
      <w:pPr>
        <w:spacing w:after="60"/>
        <w:ind w:left="600" w:hanging="300"/>
      </w:pPr>
    </w:lvl>
  </w:abstractNum>
  <w:abstractNum w:abstractNumId="6" w15:restartNumberingAfterBreak="0">
    <w:multiLevelType w:val="hybridMultilevel"/>
    <w:lvl w:ilvl="0" w15:tentative="1">
      <w:start w:val="1"/>
      <w:numFmt w:val="bullet"/>
      <w:lvlText w:val="•"/>
      <w:lvlJc w:val="left"/>
      <w:pPr>
        <w:spacing w:after="60"/>
        <w:ind w:left="600" w:hanging="300"/>
      </w:pPr>
    </w:lvl>
  </w:abstractNum>
  <w:abstractNum w:abstractNumId="7" w15:restartNumberingAfterBreak="0">
    <w:multiLevelType w:val="hybridMultilevel"/>
    <w:lvl w:ilvl="0" w15:tentative="1">
      <w:start w:val="1"/>
      <w:numFmt w:val="bullet"/>
      <w:lvlText w:val="•"/>
      <w:lvlJc w:val="left"/>
      <w:pPr>
        <w:spacing w:after="60"/>
        <w:ind w:left="600" w:hanging="300"/>
      </w:pPr>
    </w:lvl>
  </w:abstractNum>
  <w:abstractNum w:abstractNumId="8" w15:restartNumberingAfterBreak="0">
    <w:multiLevelType w:val="hybridMultilevel"/>
    <w:lvl w:ilvl="0" w15:tentative="1">
      <w:start w:val="1"/>
      <w:numFmt w:val="bullet"/>
      <w:lvlText w:val="•"/>
      <w:lvlJc w:val="left"/>
      <w:pPr>
        <w:spacing w:after="60"/>
        <w:ind w:left="600" w:hanging="300"/>
      </w:pPr>
    </w:lvl>
  </w:abstractNum>
  <w:abstractNum w:abstractNumId="9" w15:restartNumberingAfterBreak="0">
    <w:multiLevelType w:val="hybridMultilevel"/>
    <w:lvl w:ilvl="0" w15:tentative="1">
      <w:start w:val="1"/>
      <w:numFmt w:val="bullet"/>
      <w:lvlText w:val="•"/>
      <w:lvlJc w:val="left"/>
      <w:pPr>
        <w:spacing w:after="60"/>
        <w:ind w:left="600" w:hanging="300"/>
      </w:pPr>
    </w:lvl>
  </w:abstractNum>
  <w:abstractNum w:abstractNumId="10" w15:restartNumberingAfterBreak="0">
    <w:multiLevelType w:val="hybridMultilevel"/>
    <w:lvl w:ilvl="0" w15:tentative="1">
      <w:start w:val="1"/>
      <w:numFmt w:val="bullet"/>
      <w:lvlText w:val="•"/>
      <w:lvlJc w:val="left"/>
      <w:pPr>
        <w:spacing w:after="60"/>
        <w:ind w:left="600" w:hanging="300"/>
      </w:pPr>
    </w:lvl>
  </w:abstractNum>
  <w:abstractNum w:abstractNumId="11"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2026-03-30T14:46:52.425Z</dcterms:created>
  <dcterms:modified xsi:type="dcterms:W3CDTF">2026-03-30T14:46:52.425Z</dcterms:modified>
</cp:coreProperties>
</file>

<file path=docProps/custom.xml><?xml version="1.0" encoding="utf-8"?>
<Properties xmlns="http://schemas.openxmlformats.org/officeDocument/2006/custom-properties" xmlns:vt="http://schemas.openxmlformats.org/officeDocument/2006/docPropsVTypes"/>
</file>