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Participant C Presentation Merge Brief</w:t>
      </w:r>
    </w:p>
    <w:p>
      <w:pPr>
        <w:pStyle w:val="Subtitle"/>
      </w:pPr>
      <w:r>
        <w:t>English final review 28 October 2026 | Group tutorial presentation | Maximum group duration 10 minutes</w:t>
      </w:r>
    </w:p>
    <w:p>
      <w:r>
        <w:rPr>
          <w:b w:val="0"/>
        </w:rPr>
        <w:t>The assignment asks for a data-collection progress report: what has been collected, challenges encountered, next steps and the planned processing of collected data. The material below is a Participant C contribution for merging with teammates' cases. The group's combined slide and timing decisions remain shared work.</w:t>
      </w:r>
    </w:p>
    <w:p>
      <w:r>
        <w:t>This package contains three documents: this presentation brief, 02_Participant_C_Detailed_Video_Coding_EN.docx and 03_Participant_C_Interview_Analysis_EN.docx. The coding document contains 70 displayed rows: 63 retained original records and 7 linked details. These include nested observations and landmarks, so the row total is not an independent event count. The interview document develops initial case findings; higher-level themes remain separate from the action-code record.</w:t>
      </w:r>
    </w:p>
    <w:p>
      <w:pPr>
        <w:pStyle w:val="Heading1"/>
      </w:pPr>
      <w:r>
        <w:t>1 Coverage of the assignment brief</w:t>
      </w:r>
    </w:p>
    <w:tbl>
      <w:tblPr>
        <w:tblW w:type="auto" w:w="0"/>
        <w:jc w:val="center"/>
        <w:tblLayout w:type="fixed"/>
        <w:tblLook w:firstColumn="1" w:firstRow="1" w:lastColumn="0" w:lastRow="0" w:noHBand="0" w:noVBand="1" w:val="04A0"/>
      </w:tblPr>
      <w:tblGrid>
        <w:gridCol w:w="1944"/>
        <w:gridCol w:w="8280"/>
      </w:tblGrid>
      <w:tr>
        <w:trPr>
          <w:tblHeader w:val="true"/>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keepNext/>
              <w:spacing w:after="60" w:before="60" w:line="250" w:lineRule="auto"/>
            </w:pPr>
            <w:r>
              <w:rPr>
                <w:b/>
                <w:sz w:val="18"/>
              </w:rPr>
              <w:t>Required topic</w:t>
            </w:r>
          </w:p>
        </w:tc>
        <w:tc>
          <w:tcPr>
            <w:tcW w:type="dxa" w:w="82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keepNext/>
              <w:spacing w:after="60" w:before="60" w:line="250" w:lineRule="auto"/>
            </w:pPr>
            <w:r>
              <w:rPr>
                <w:b/>
                <w:sz w:val="18"/>
              </w:rPr>
              <w:t>Material ready for the presentation</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Collection progress</w:t>
            </w:r>
          </w:p>
        </w:tc>
        <w:tc>
          <w:tcPr>
            <w:tcW w:type="dxa" w:w="82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One participant's final observation: three clips totalling about 26:20; final GPX; one approximately 15:53 interview and supplied transcript. Warm-up materials are archived separately.</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Challenges</w:t>
            </w:r>
          </w:p>
        </w:tc>
        <w:tc>
          <w:tcPr>
            <w:tcW w:type="dxa" w:w="82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Two recording interruptions; researcher assistance; familiarity with some segments; waypoint/final-building ambiguity; partial visibility; GPX gaps and early ending.</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Data processing</w:t>
            </w:r>
          </w:p>
        </w:tc>
        <w:tc>
          <w:tcPr>
            <w:tcW w:type="dxa" w:w="82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Preserve raw sources → index and audit → apply action codes on separate tracks → identify overlaps and decision episodes → integrate interview explanations → compare cases.</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Filtering</w:t>
            </w:r>
          </w:p>
        </w:tc>
        <w:tc>
          <w:tcPr>
            <w:tcW w:type="dxa" w:w="82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Use scope, visibility, provenance and assistance rules. Retain subjective experience; distinguish it from verified device events and researcher suggestions.</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Next steps</w:t>
            </w:r>
          </w:p>
        </w:tc>
        <w:tc>
          <w:tcPr>
            <w:tcW w:type="dxa" w:w="82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Agree operational definitions; review shared clips independently; confirm interventions; complete visibility-aware annotation; merge cases by episode and context.</w:t>
            </w:r>
          </w:p>
        </w:tc>
      </w:tr>
    </w:tbl>
    <w:p>
      <w:pPr>
        <w:spacing w:after="0"/>
      </w:pPr>
    </w:p>
    <w:p>
      <w:pPr>
        <w:pStyle w:val="Heading1"/>
      </w:pPr>
      <w:r>
        <w:t>2 Suggested structure for the whole group</w:t>
      </w:r>
    </w:p>
    <w:tbl>
      <w:tblPr>
        <w:tblW w:type="auto" w:w="0"/>
        <w:jc w:val="center"/>
        <w:tblLayout w:type="fixed"/>
        <w:tblLook w:firstColumn="1" w:firstRow="1" w:lastColumn="0" w:lastRow="0" w:noHBand="0" w:noVBand="1" w:val="04A0"/>
      </w:tblPr>
      <w:tblGrid>
        <w:gridCol w:w="3384"/>
        <w:gridCol w:w="2016"/>
        <w:gridCol w:w="4824"/>
      </w:tblGrid>
      <w:tr>
        <w:trPr>
          <w:tblHeader w:val="true"/>
          <w:cantSplit/>
        </w:trPr>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keepNext/>
              <w:spacing w:after="60" w:before="60" w:line="250" w:lineRule="auto"/>
            </w:pPr>
            <w:r>
              <w:rPr>
                <w:b/>
                <w:sz w:val="18"/>
              </w:rPr>
              <w:t>Section</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keepNext/>
              <w:spacing w:after="60" w:before="60" w:line="250" w:lineRule="auto"/>
            </w:pPr>
            <w:r>
              <w:rPr>
                <w:b/>
                <w:sz w:val="18"/>
              </w:rPr>
              <w:t>Suggested allocation</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keepNext/>
              <w:spacing w:after="60" w:before="60" w:line="250" w:lineRule="auto"/>
            </w:pPr>
            <w:r>
              <w:rPr>
                <w:b/>
                <w:sz w:val="18"/>
              </w:rPr>
              <w:t>Purpose</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Research focus and route</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1 minute</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Remind the audience of the question and task.</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Collection progress</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2 minutes</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Summarise progress across all participants.</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Challenges and adaptations</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2 minutes</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Show what happened during collection and how it affected the record.</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Processing and selection rules</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2.5 minutes</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Demonstrate the coding layers, one combination example and the filtering decisions.</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Next steps</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2 minutes</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Set out calibration, completion and cross-case comparison.</w:t>
            </w:r>
          </w:p>
        </w:tc>
      </w:tr>
    </w:tbl>
    <w:p>
      <w:pPr>
        <w:spacing w:after="0"/>
      </w:pPr>
    </w:p>
    <w:p>
      <w:r>
        <w:rPr>
          <w:b w:val="0"/>
        </w:rPr>
        <w:t>This structure targets 9.5 minutes for the whole group, leaving 30 seconds for transitions within the 10-minute limit. The following case module can be delivered in approximately 90–120 seconds and shortened as teammates add their material.</w:t>
      </w:r>
    </w:p>
    <w:p>
      <w:pPr>
        <w:pStyle w:val="Heading1"/>
      </w:pPr>
      <w:r>
        <w:t>3 Slide ready English contribution</w:t>
      </w:r>
    </w:p>
    <w:p>
      <w:pPr>
        <w:pStyle w:val="Heading2"/>
      </w:pPr>
      <w:r>
        <w:t>Collection progress</w:t>
      </w:r>
    </w:p>
    <w:p>
      <w:r>
        <w:rPr>
          <w:b w:val="0"/>
        </w:rPr>
        <w:t>• Final route observation completed for Participant C: three video clips, approximately 26 minutes in total.</w:t>
      </w:r>
    </w:p>
    <w:p>
      <w:r>
        <w:rPr>
          <w:b w:val="0"/>
        </w:rPr>
        <w:t>• Final GPX and a follow-up interview are available; warm-up materials are stored separately.</w:t>
      </w:r>
    </w:p>
    <w:p>
      <w:r>
        <w:rPr>
          <w:b w:val="0"/>
        </w:rPr>
        <w:t>• The detailed English coding record retains all 63 original records and adds 7 linked review details, with simultaneous codes shown at the relevant times.</w:t>
      </w:r>
    </w:p>
    <w:p>
      <w:pPr>
        <w:pStyle w:val="Heading2"/>
      </w:pPr>
      <w:r>
        <w:t>Challenges during collection</w:t>
      </w:r>
    </w:p>
    <w:p>
      <w:r>
        <w:rPr>
          <w:b w:val="0"/>
        </w:rPr>
        <w:t>• The recording contains two interruptions, and some researcher interventions need to be marked.</w:t>
      </w:r>
    </w:p>
    <w:p>
      <w:r>
        <w:rPr>
          <w:b w:val="0"/>
        </w:rPr>
        <w:t>• Peter reported familiarity with some route segments and a separate ambiguity between the K11 waypoint and final destination.</w:t>
      </w:r>
    </w:p>
    <w:p>
      <w:r>
        <w:rPr>
          <w:b w:val="0"/>
        </w:rPr>
        <w:t>• The GPX has gaps and ends earlier than the recorded task, so it is being used with a coverage audit.</w:t>
      </w:r>
    </w:p>
    <w:p>
      <w:pPr>
        <w:pStyle w:val="Heading2"/>
      </w:pPr>
      <w:r>
        <w:t>How we will process the data</w:t>
      </w:r>
    </w:p>
    <w:p>
      <w:r>
        <w:rPr>
          <w:b w:val="0"/>
        </w:rPr>
        <w:t>• Code observable actions on separate time tracks, allowing overlapping codes.</w:t>
      </w:r>
    </w:p>
    <w:p>
      <w:r>
        <w:rPr>
          <w:b w:val="0"/>
        </w:rPr>
        <w:t>• Analyse both combinations, such as STOP + PHONE_VIEW, and sequences within a decision episode.</w:t>
      </w:r>
    </w:p>
    <w:p>
      <w:r>
        <w:rPr>
          <w:b w:val="0"/>
        </w:rPr>
        <w:t>• Link each episode to participant explanations, while keeping observation, self-report and interpretation distinct.</w:t>
      </w:r>
    </w:p>
    <w:p>
      <w:pPr>
        <w:pStyle w:val="Heading2"/>
      </w:pPr>
      <w:r>
        <w:t>What we retain and what we set aside</w:t>
      </w:r>
    </w:p>
    <w:p>
      <w:r>
        <w:rPr>
          <w:b w:val="0"/>
        </w:rPr>
        <w:t>• Retain route deviations, subjective experiences and familiarity as useful contextual evidence.</w:t>
      </w:r>
    </w:p>
    <w:p>
      <w:r>
        <w:rPr>
          <w:b w:val="0"/>
        </w:rPr>
        <w:t>• Keep warm-up data and unrelated closing conversation outside the main final-task analysis.</w:t>
      </w:r>
    </w:p>
    <w:p>
      <w:r>
        <w:rPr>
          <w:b w:val="0"/>
        </w:rPr>
        <w:t>• Flag assistance, missing footage and uncertain visibility; use each segment for the analyses it can support.</w:t>
      </w:r>
    </w:p>
    <w:p>
      <w:r>
        <w:rPr>
          <w:b w:val="0"/>
        </w:rPr>
        <w:t>• Merge nested annotations before duration totals, and reserve full-task pace estimates until GPS coverage is resolved.</w:t>
      </w:r>
    </w:p>
    <w:p>
      <w:pPr>
        <w:pStyle w:val="Heading1"/>
      </w:pPr>
      <w:r>
        <w:t>4 One example that explains multi code analysis</w:t>
      </w:r>
    </w:p>
    <w:p>
      <w:r>
        <w:rPr>
          <w:b w:val="0"/>
        </w:rPr>
        <w:t>At the SOUVENIR curb, STOP lasts through two phone-checking intervals and intervening head-direction changes. The sequence is STOP + PHONE_VIEW → STOP + HEAD_TURN → STOP + PHONE_VIEW → walking. The participant later explained that zooming out helped establish that the destination was on the same side of the road. This links the action pattern to a concrete navigation decision.</w:t>
      </w:r>
    </w:p>
    <w:p>
      <w:r>
        <w:rPr>
          <w:b w:val="0"/>
        </w:rPr>
        <w:t>For a self-contained slide example, use IMG_2940 at 09:49–10:08.5 in the detailed coding document: V17–V19 and C01a–C01c. The two confirmed S+P windows are 09:51–09:54 and 09:59–10:07; the added head-direction samples fall between them. These provide an exact time reference for the example. G* denotes electronic-directory viewing under the proposed team scope; D* denotes proposed public-directory input. The R? track is a prompt candidate, pending confirmation.</w:t>
      </w:r>
    </w:p>
    <w:p>
      <w:pPr>
        <w:pStyle w:val="Heading1"/>
      </w:pPr>
      <w:r>
        <w:t>5 Suggested spoken script</w:t>
      </w:r>
    </w:p>
    <w:p>
      <w:r>
        <w:rPr>
          <w:b w:val="0"/>
        </w:rPr>
        <w:t>For Participant C, we have completed the final-route observation and a follow-up interview. The observation consists of three clips, with about 26 minutes of recorded footage, supported by a GPX track. The main collection challenges were recording interruptions, researcher interventions, and ambiguity between the K11 waypoint and the final destination.</w:t>
      </w:r>
    </w:p>
    <w:p>
      <w:r>
        <w:rPr>
          <w:b w:val="0"/>
        </w:rPr>
        <w:t>The detailed coding document keeps every original timed record and adds simultaneous codes where the actions overlap. Our processing approach allows several codes to overlap. For example, a participant can stop and check the phone at the same time. Within that stop, they may switch between the phone and the surrounding environment. We will therefore examine combinations and sequences within decision episodes, rather than treat every code as an isolated event.</w:t>
      </w:r>
    </w:p>
    <w:p>
      <w:r>
        <w:rPr>
          <w:b w:val="0"/>
        </w:rPr>
        <w:t>For data selection, we keep subjective experiences and route deviations because they help explain decisions. We separate warm-up data, flag assisted or unclear segments, and avoid treating missing footage as no behaviour. Our next step is to agree the operational definitions, review shared examples independently, and compare the same kinds of episodes across participants.</w:t>
      </w:r>
    </w:p>
    <w:p>
      <w:pPr>
        <w:pStyle w:val="Heading1"/>
      </w:pPr>
      <w:r>
        <w:t>6 Filtering language for questions from the tutor</w:t>
      </w:r>
    </w:p>
    <w:p>
      <w:r>
        <w:rPr>
          <w:b w:val="0"/>
        </w:rPr>
        <w:t>We use the term data selection and quality control rather than calling participant accounts dirty data. Our decisions depend on the analysis: assisted footage can describe behaviour, but independent performance is analysed separately; perceived vibration is valid experience data, while the device's actual output needs separate verification. We preserve the raw material and keep a decision log.</w:t>
      </w:r>
    </w:p>
    <w:tbl>
      <w:tblPr>
        <w:tblW w:type="auto" w:w="0"/>
        <w:jc w:val="center"/>
        <w:tblLayout w:type="fixed"/>
        <w:tblLook w:firstColumn="1" w:firstRow="1" w:lastColumn="0" w:lastRow="0" w:noHBand="0" w:noVBand="1" w:val="04A0"/>
      </w:tblPr>
      <w:tblGrid>
        <w:gridCol w:w="2376"/>
        <w:gridCol w:w="7848"/>
      </w:tblGrid>
      <w:tr>
        <w:trPr>
          <w:tblHeader w:val="true"/>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keepNext/>
              <w:spacing w:after="60" w:before="60" w:line="250" w:lineRule="auto"/>
            </w:pPr>
            <w:r>
              <w:rPr>
                <w:b/>
                <w:sz w:val="18"/>
              </w:rPr>
              <w:t>Question</w:t>
            </w:r>
          </w:p>
        </w:tc>
        <w:tc>
          <w:tcPr>
            <w:tcW w:type="dxa" w:w="78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keepNext/>
              <w:spacing w:after="60" w:before="60" w:line="250" w:lineRule="auto"/>
            </w:pPr>
            <w:r>
              <w:rPr>
                <w:b/>
                <w:sz w:val="18"/>
              </w:rPr>
              <w:t>Suggested answer</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Did you remove familiar-route data?</w:t>
            </w:r>
          </w:p>
        </w:tc>
        <w:tc>
          <w:tcPr>
            <w:tcW w:type="dxa" w:w="78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We retained it and tagged familiarity by segment. An explicitly confirmed deliberate route choice is set aside from navigation-induced error counts, while its attention behaviour is retained. Reported missed turns and unresolved motives receive separate labels.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Did you exclude subjective statements?</w:t>
            </w:r>
          </w:p>
        </w:tc>
        <w:tc>
          <w:tcPr>
            <w:tcW w:type="dxa" w:w="78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No. They are evidence about experience and decision logic. We distinguish them from verified phone or GPS events.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How do codes support filtering?</w:t>
            </w:r>
          </w:p>
        </w:tc>
        <w:tc>
          <w:tcPr>
            <w:tcW w:type="dxa" w:w="78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The codebook defines observable evidence. Provisional labels are kept separate from confirmed labels, and context flags determine which comparisons a segment can support.</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What has been filtered already?</w:t>
            </w:r>
          </w:p>
        </w:tc>
        <w:tc>
          <w:tcPr>
            <w:tcW w:type="dxa" w:w="78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Warm-up is outside the main final-task analysis; unrelated closing conversation is outside the interview themes; overlapping subannotations are not double-counted in duration totals. Missing and assisted material is flagged rather than deleted.</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What remains to be done?</w:t>
            </w:r>
          </w:p>
        </w:tc>
        <w:tc>
          <w:tcPr>
            <w:tcW w:type="dxa" w:w="78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0" w:lineRule="auto"/>
            </w:pPr>
            <w:r>
              <w:rPr>
                <w:b w:val="0"/>
                <w:sz w:val="18"/>
              </w:rPr>
              <w:t>Team calibration, confirmation of intervention content, complete visibility-aware annotation and a shared cross-case evidence matrix.</w:t>
            </w:r>
          </w:p>
        </w:tc>
      </w:tr>
    </w:tbl>
    <w:p>
      <w:pPr>
        <w:spacing w:after="0"/>
      </w:pPr>
    </w:p>
    <w:p>
      <w:pPr>
        <w:pStyle w:val="Heading1"/>
      </w:pPr>
      <w:r>
        <w:t>7 Applying the selection rules consistently</w:t>
      </w:r>
    </w:p>
    <w:p>
      <w:r>
        <w:t>For route deviations, record intentional choice, reported missed turn and unresolved motive as separate categories. Set an explicitly confirmed deliberate alternative route aside from navigation-induced error counts, while retaining its behavioural evidence. Peter reports missing the Cotton On turn and not feeling an expected vibration; retain that account alongside familiarity and the observed path. Verified device output remains a separate evidence category.</w:t>
      </w:r>
    </w:p>
    <w:p>
      <w:r>
        <w:t>For behaviour counts and durations, preserve every source row and link nested details to their parent. Count independent episodes once and combine overlapping intervals of the same code before summing duration. For assisted progress, report the prompt context and distinguish it from independent performance. For uncertain visibility, retain the supported component and qualify only the uncertain code, for example S + P?.</w:t>
      </w:r>
    </w:p>
    <w:sectPr w:rsidR="00FC693F" w:rsidRPr="0006063C" w:rsidSect="00034616">
      <w:footerReference w:type="default" r:id="rId9"/>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SD5008 | Participant C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64"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64" w:lineRule="auto"/>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4"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64" w:lineRule="auto"/>
    </w:pPr>
    <w:rPr>
      <w:rFonts w:asciiTheme="majorHAnsi" w:eastAsiaTheme="majorEastAsia" w:hAnsiTheme="majorHAnsi" w:cstheme="majorBidi" w:ascii="Calibri" w:hAnsi="Calibr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C Presentation Merge Brief</dc:title>
  <dc:subject>Participant C case analysis and data processing</dc:subject>
  <dc:creator>SD5008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