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C Interview Findings and Video Integration</w:t>
      </w:r>
    </w:p>
    <w:p>
      <w:pPr>
        <w:pStyle w:val="Subtitle"/>
      </w:pPr>
      <w:r>
        <w:t>English final review 28 October 2026 | Interview 28 October 2026 | Findings for team synthesis | Internal case label Peter</w:t>
      </w:r>
    </w:p>
    <w:p>
      <w:r>
        <w:rPr>
          <w:b/>
        </w:rPr>
        <w:t>The interview explains how Peter decides when to check navigation information and what makes that information useful. Seven case findings connect decision-point checking, perceived vibration cues, junction context, task instructions and the shift to indoor information sources. Together they describe navigation as a sequence of information checks linked to action.</w:t>
      </w:r>
    </w:p>
    <w:p>
      <w:r>
        <w:rPr>
          <w:b w:val="0"/>
        </w:rPr>
        <w:t>The findings below use an evidence → interpretation → case conclusion structure. Method and verification notes are consolidated at the end so that each finding develops a clear analytical point.</w:t>
      </w:r>
    </w:p>
    <w:p>
      <w:r>
        <w:t>Case scope: the final task ran from PolyU South Gate via K11 Art Mall to the Barbour 3F 319 doorway in K11 MUSEA. The observation took place on 27 October 2026. The companion detailed coding document preserves all 63 original records and adds 7 linked review details; the 70 displayed rows include nested observations and landmarks, rather than 70 independent events.</w:t>
      </w:r>
    </w:p>
    <w:p>
      <w:pPr>
        <w:pStyle w:val="Heading1"/>
      </w:pPr>
      <w:r>
        <w:t>Evidence base and analytical approach</w:t>
      </w:r>
    </w:p>
    <w:p>
      <w:r>
        <w:rPr>
          <w:b w:val="0"/>
        </w:rPr>
        <w:t>Sources are the approximately 15:53 interview recording, its supplied timestamped transcript and the separately frozen video-only ledger. The supplied transcript combines speakers under a generic label and contains recognition errors. Local ASR and selected screen-replay anchors support retrieval. The interview was read after the initial 63 video records were frozen.</w:t>
      </w:r>
    </w:p>
    <w:p>
      <w:r>
        <w:rPr>
          <w:b w:val="0"/>
        </w:rPr>
        <w:t>All interview content below is paraphrased or translated analytical synthesis, rather than a verified verbatim quotation. MP4 times are approximate retrieval windows; P-numbers refer to the supplied transcript's paragraph order. Conclusions are scoped to Participant C.</w:t>
      </w:r>
    </w:p>
    <w:p>
      <w:pPr>
        <w:pStyle w:val="Heading2"/>
      </w:pPr>
      <w:r>
        <w:t>1 Route checking is organised around decision points</w:t>
      </w:r>
    </w:p>
    <w:p>
      <w:r>
        <w:rPr>
          <w:b w:val="0"/>
        </w:rPr>
        <w:t>Evidence: 01:20–02:00 | Supplied transcript P011–P017. Peter describes taking in the general direction, following a long straight section, and checking the phone before a junction. He also mentions comparing street names when uncertain. The walking record contains intermittent visible phone checks within longer movement and waiting periods.</w:t>
      </w:r>
    </w:p>
    <w:p>
      <w:r>
        <w:rPr>
          <w:b w:val="0"/>
        </w:rPr>
        <w:t>Interpretation: This describes a navigation strategy that combines an overview of the route with checks at relevant moments. Information is consulted as a decision becomes actionable.</w:t>
      </w:r>
    </w:p>
    <w:p>
      <w:r>
        <w:rPr>
          <w:b/>
        </w:rPr>
        <w:t>Case conclusion: attention is organised around decision points. The analysis should examine the timing and purpose of checks as well as how often they occur.</w:t>
      </w:r>
    </w:p>
    <w:p>
      <w:pPr>
        <w:pStyle w:val="Heading2"/>
      </w:pPr>
      <w:r>
        <w:t>2 A missed turn combines cue detection and route judgement</w:t>
      </w:r>
    </w:p>
    <w:p>
      <w:r>
        <w:rPr>
          <w:b w:val="0"/>
        </w:rPr>
        <w:t>Evidence: 02:42–04:02; 13:26–14:10 | P019–P031 and P097–P103. During replay of the Cotton On area, Peter says he did not notice the turn and was unsure which junction required a left turn. He also describes continuing along a larger, lit road and later links the missed turn to not feeling a vibration.</w:t>
      </w:r>
    </w:p>
    <w:p>
      <w:r>
        <w:rPr>
          <w:b w:val="0"/>
        </w:rPr>
        <w:t>Interpretation: Missing a cue and using a preferred road strategy can work together: an expected reminder may be absent from experience while the traveller continues using the broad direction already remembered. Familiarity can coexist with a need to follow the specified route.</w:t>
      </w:r>
    </w:p>
    <w:p>
      <w:r>
        <w:rPr>
          <w:b/>
        </w:rPr>
        <w:t>Case conclusion: retain this episode for analysis of how turn cues and route judgement interact. Classify it as a reported missed-turn episode, with familiarity retained as context.</w:t>
      </w:r>
    </w:p>
    <w:p>
      <w:pPr>
        <w:pStyle w:val="Heading2"/>
      </w:pPr>
      <w:r>
        <w:t>3 Junction decisions need the destination in spatial context</w:t>
      </w:r>
    </w:p>
    <w:p>
      <w:r>
        <w:rPr>
          <w:b w:val="0"/>
        </w:rPr>
        <w:t>Evidence: 04:11–05:17; 11:22–12:09 | P033–P041 and P081–P087. Peter says the close map view made it difficult to tell whether K11 was across the road or on his side. He reports zooming out, recognising the destination on the left-hand side, and continuing. IMG_2940 at 09:49–10:08.5 shows a stop, two phone-viewing windows, intervening head-direction changes and movement along the sidewalk (V17–V19 and added details C01a–C01c). The participant reports the zoom interaction in the interview.</w:t>
      </w:r>
    </w:p>
    <w:p>
      <w:r>
        <w:rPr>
          <w:b w:val="0"/>
        </w:rPr>
        <w:t>Interpretation: The sequence connects an observable decision pause with a specific account of what information resolved it. The problem concerns the destination's relationship to the crossing, rather than simply the route arrow at the current position.</w:t>
      </w:r>
    </w:p>
    <w:p>
      <w:r>
        <w:rPr>
          <w:b/>
        </w:rPr>
        <w:t>Case conclusion: spatial context around a junction is part of the information needed to decide whether to cross. A wider contextual view is a concrete design hypothesis emerging from this case.</w:t>
      </w:r>
    </w:p>
    <w:p>
      <w:pPr>
        <w:pStyle w:val="Heading2"/>
      </w:pPr>
      <w:r>
        <w:t>4 Task instructions shape the meaning of the destination</w:t>
      </w:r>
    </w:p>
    <w:p>
      <w:r>
        <w:rPr>
          <w:b w:val="0"/>
        </w:rPr>
        <w:t>Evidence: 05:21–08:13 | P043–P063. Peter recalls being told to go to the third floor of K11 without a clear distinction between the two buildings. He says he would normally establish the shop's building before travelling, whereas this time he followed the researcher-provided route. He also rejects the suggested explanation that familiarity alone made him assume Art Mall.</w:t>
      </w:r>
    </w:p>
    <w:p>
      <w:r>
        <w:rPr>
          <w:b w:val="0"/>
        </w:rPr>
        <w:t>Interpretation: The route represents a research task as well as a navigation interface. The participant's understanding of a waypoint, final building and shop influences how arrival is interpreted. His correction of the interviewer helps identify that distinction.</w:t>
      </w:r>
    </w:p>
    <w:p>
      <w:r>
        <w:rPr>
          <w:b/>
        </w:rPr>
        <w:t>Case conclusion: treat the Art Mall incident as a task-goal and route-handoff issue in this case. A clear waypoint/final-destination distinction should be part of the team's collection protocol.</w:t>
      </w:r>
    </w:p>
    <w:p>
      <w:pPr>
        <w:pStyle w:val="Heading2"/>
      </w:pPr>
      <w:r>
        <w:t>5 Indoor navigation changes the information workflow</w:t>
      </w:r>
    </w:p>
    <w:p>
      <w:r>
        <w:rPr>
          <w:b w:val="0"/>
        </w:rPr>
        <w:t>Evidence: 08:14–09:27 | P063–P071. Peter says he uses phone navigation mainly to reach a building and relies on in-building information to find the shop. The MUSEA footage shows electronic-directory viewing and input (IMG_2942 V51–V57 and C03a–C03c), followed by escalator travel and arrival at Barbour 319 (V58–V62).</w:t>
      </w:r>
    </w:p>
    <w:p>
      <w:r>
        <w:rPr>
          <w:b w:val="0"/>
        </w:rPr>
        <w:t>Interpretation: The task changes from outdoor route following to finding a floor and shop within a building. The directory provides locally relevant information, while the subsequent movement demonstrates how that information feeds the next stage of the task.</w:t>
      </w:r>
    </w:p>
    <w:p>
      <w:r>
        <w:rPr>
          <w:b/>
        </w:rPr>
        <w:t>Case conclusion: the outdoor-to-indoor transition is an information-source handoff. It gives the study a clear episode for comparing how participants select and act on different navigation resources.</w:t>
      </w:r>
    </w:p>
    <w:p>
      <w:pPr>
        <w:pStyle w:val="Heading2"/>
      </w:pPr>
      <w:r>
        <w:t>6 Vibration functions as a cue to check the phone</w:t>
      </w:r>
    </w:p>
    <w:p>
      <w:r>
        <w:rPr>
          <w:b w:val="0"/>
        </w:rPr>
        <w:t>Evidence: 12:52–14:10 | P093–P103. In response to an open invitation to add something important, Peter brings up vibration feedback. He says it was useful earlier, later seemed absent, and would normally prompt him to look at the phone.</w:t>
      </w:r>
    </w:p>
    <w:p>
      <w:r>
        <w:rPr>
          <w:b w:val="0"/>
        </w:rPr>
        <w:t>Interpretation: Within his account, vibration has an attentional role: it helps decide when to interrupt looking ahead and check the screen. The felt absence of that cue offers an explanation for continuing until another decision point or a longer wait triggers a check.</w:t>
      </w:r>
    </w:p>
    <w:p>
      <w:r>
        <w:rPr>
          <w:b/>
        </w:rPr>
        <w:t>Case conclusion: perceived cue availability belongs in the attention-allocation model. Future collection can connect phone checks with reported or recorded prompt timing to test this mechanism.</w:t>
      </w:r>
    </w:p>
    <w:p>
      <w:pPr>
        <w:pStyle w:val="Heading2"/>
      </w:pPr>
      <w:r>
        <w:t>7 Familiarity changes what the specified route demands</w:t>
      </w:r>
    </w:p>
    <w:p>
      <w:r>
        <w:rPr>
          <w:b w:val="0"/>
        </w:rPr>
        <w:t>Evidence: 14:22–15:29 | P105–P113. Peter says he knows the earlier area well and would use his phone less there on a self-directed trip. He also explains that following a research-specified route still requires checking. Later streets involve both turn decisions and more people.</w:t>
      </w:r>
    </w:p>
    <w:p>
      <w:r>
        <w:rPr>
          <w:b w:val="0"/>
        </w:rPr>
        <w:t>Interpretation: Familiarity reduces some uncertainty about location while the task can create a separate need to verify compliance with a particular path. Crowding adds an environmental demand that may interact with both.</w:t>
      </w:r>
    </w:p>
    <w:p>
      <w:r>
        <w:rPr>
          <w:b/>
        </w:rPr>
        <w:t>Case conclusion: code familiarity and local context at the segment level. This makes differences between participants and route sections more interpretable than a single familiar/unfamiliar label for the whole trip.</w:t>
      </w:r>
    </w:p>
    <w:p>
      <w:pPr>
        <w:pStyle w:val="Heading1"/>
      </w:pPr>
      <w:r>
        <w:t>A working model of navigation and attention</w:t>
      </w:r>
    </w:p>
    <w:p>
      <w:r>
        <w:rPr>
          <w:b w:val="0"/>
        </w:rPr>
        <w:t>Within this case, the emerging process is: establish a broad direction → encounter or expect a cue → consult a relevant source → interpret the next action → move or pause → check again when uncertainty or task context changes. Familiarity, traffic and crowds shape when a check is useful. Researcher assistance is recorded as an external input to that process.</w:t>
      </w:r>
    </w:p>
    <w:p>
      <w:r>
        <w:rPr>
          <w:b w:val="0"/>
        </w:rPr>
        <w:t>This model accommodates both simultaneous codes and sequences. S means STOP, P means PHONE_VIEW and H means HEAD_TURN. S+P describes a phone check during a stop; S+P → S+H → S+P describes switching within the stop. G* denotes electronic-directory viewing and D* denotes proposed DIRECTORY_INPUT; S+G*+D* captures coordinated information search at the directory, with those extensions awaiting team agreement. The interview supplies the participant's account of the decision that these actions served.</w:t>
      </w:r>
    </w:p>
    <w:p>
      <w:pPr>
        <w:pStyle w:val="Heading1"/>
      </w:pPr>
      <w:r>
        <w:t>Integrating sources into case conclusions</w:t>
      </w:r>
    </w:p>
    <w:tbl>
      <w:tblPr>
        <w:tblW w:type="auto" w:w="0"/>
        <w:jc w:val="center"/>
        <w:tblLayout w:type="fixed"/>
        <w:tblLook w:firstColumn="1" w:firstRow="1" w:lastColumn="0" w:lastRow="0" w:noHBand="0" w:noVBand="1" w:val="04A0"/>
      </w:tblPr>
      <w:tblGrid>
        <w:gridCol w:w="1440"/>
        <w:gridCol w:w="2880"/>
        <w:gridCol w:w="2952"/>
        <w:gridCol w:w="2952"/>
      </w:tblGrid>
      <w:tr>
        <w:trPr>
          <w:tblHeader w:val="true"/>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Episode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Video contribution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Interview contribution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Integrated conclusion</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Curbside decision at the SOUVENIR shop</w:t>
              <w:br/>
              <w:t>IMG_2940 09:49–10:08.5</w:t>
              <w:br/>
              <w:t>V17–V19 and C01a–C01c</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Stop, two phone checks, head-direction changes, then movement along the sidewalk.</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 closer view obscured same-side versus opposite-side placement; zooming out clarified it.</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pause supported a destination-position decision. Wider spatial context is a case-derived design hypothesis.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Art Mall handoff</w:t>
              <w:br/>
              <w:t>IMG_2940 14:06–end and IMG_2941 01:33.5–end</w:t>
              <w:br/>
              <w:t>V25–V27 and V36–V37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Conversation, a recording interruption and later phone-reset behaviour.</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building and waypoint distinction was unclear; Peter followed the supplied route.</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Task communication is part of the observed difficulty and should be reported with the interface experience.</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Indoor directory search</w:t>
              <w:br/>
              <w:t>IMG_2942 07:29.5–08:09</w:t>
              <w:br/>
              <w:t>V51–V57 and C03a–C03c</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Stationary viewing, repeated public-screen input, later movement to the shop.</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phone serves the trip to the building; mall information supports the indoor search.</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task stage changes the chosen information source and action workflow.</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Missed turn near Cotton On</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Replay locates continued walking; the original video ledger did not assign a cause.</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Peter reports missing the turn and not feeling an expected vibration.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Keep the reported cue-related account alongside the observable path and segment familiarity.</w:t>
            </w:r>
          </w:p>
        </w:tc>
      </w:tr>
    </w:tbl>
    <w:p>
      <w:pPr>
        <w:spacing w:after="0"/>
      </w:pPr>
    </w:p>
    <w:p>
      <w:pPr>
        <w:pStyle w:val="Heading1"/>
      </w:pPr>
      <w:r>
        <w:t>Data selection for interview synthesis</w:t>
      </w:r>
    </w:p>
    <w:p>
      <w:r>
        <w:rPr>
          <w:b w:val="0"/>
        </w:rPr>
        <w:t>Subjective experience is central interview evidence. Statements such as feeling no vibration, knowing a route, preferring a larger road or finding a view confusing are retained with a self-report label. Their role is to explain the participant's experience and decision logic. Verified system behaviour is maintained as a separate evidence category.</w:t>
      </w:r>
    </w:p>
    <w:p>
      <w:r>
        <w:rPr>
          <w:b w:val="0"/>
        </w:rPr>
        <w:t>Deviation classification uses the participant account together with the observed sequence and route evidence. An explicitly confirmed intentional route choice is tagged as deliberate and set aside from navigation-induced error counts; its attention behaviour remains available for analysis. A reported missed turn is retained as a separate category. Unresolved motives keep an unresolved label until review. Peter describes missing the turn near Cotton On, so this episode remains a reported missed turn with familiarity recorded as context.</w:t>
        <w:br/>
        <w:br/>
        <w:t>Interviewer proposals are stored as elicitation context. Participant disagreement is retained as a negative case: Peter's rejection of a familiarity-only explanation helps refine the account of Art Mall. Routine closing talk is outside the navigation theme, while recording gaps and uncertain speech remain explicitly marked for review. No raw source is deleted.</w:t>
      </w:r>
    </w:p>
    <w:p>
      <w:pPr>
        <w:pStyle w:val="Heading1"/>
      </w:pPr>
      <w:r>
        <w:t>Implications for the group study</w:t>
      </w:r>
    </w:p>
    <w:tbl>
      <w:tblPr>
        <w:tblW w:type="auto" w:w="0"/>
        <w:jc w:val="center"/>
        <w:tblLayout w:type="fixed"/>
        <w:tblLook w:firstColumn="1" w:firstRow="1" w:lastColumn="0" w:lastRow="0" w:noHBand="0" w:noVBand="1" w:val="04A0"/>
      </w:tblPr>
      <w:tblGrid>
        <w:gridCol w:w="2160"/>
        <w:gridCol w:w="3744"/>
        <w:gridCol w:w="4320"/>
      </w:tblGrid>
      <w:tr>
        <w:trPr>
          <w:tblHeader w:val="true"/>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Study improvement</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Reason emerging from this case</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Next action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Record the trigger for a check</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 head-down event becomes more informative when linked to a prompt, junction or uncertainty.</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Add a cue/trigger field and capture prompt timing where feasible.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Structure decision episodes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same S+P combination appears in different contexts.</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Compare goal, context, sequence and observable outcome for matched episode types.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Clarify the task handoff</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K11 is both a shared name and a route structure involving two buildings.</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Ask participants to restate the waypoint and final shop-door goal before starting.</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Separate independent and assisted progress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Researcher interaction can change the next action.</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Keep R and interruption flags in the merged dataset.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Retain variation and disagreement</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Familiarity and participant corrections reveal how the task is experienced.</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Use a shared evidence matrix, including contrary accounts, across cases.</w:t>
            </w:r>
          </w:p>
        </w:tc>
      </w:tr>
    </w:tbl>
    <w:p>
      <w:pPr>
        <w:spacing w:after="0"/>
      </w:pPr>
    </w:p>
    <w:p>
      <w:pPr>
        <w:pStyle w:val="Heading1"/>
      </w:pPr>
      <w:r>
        <w:t>Method and verification notes</w:t>
      </w:r>
    </w:p>
    <w:p>
      <w:r>
        <w:rPr>
          <w:b w:val="0"/>
        </w:rPr>
        <w:t>The conclusions describe one participant and use retrospective, sometimes prompted accounts. The reported loss of vibration is an experience report; its GPS or software cause remains a hypothesis for future verification. The interviewer's building, floor and familiarity suggestions are distinguished from the participant's own elaboration. Exact system-state claims and publication-quality quotations require source checks appropriate to those claims.</w:t>
      </w:r>
    </w:p>
    <w:p>
      <w:r>
        <w:rPr>
          <w:b w:val="0"/>
        </w:rPr>
        <w:t>Video evidence has partial occlusion and sampled review. R candidates and two recording gaps retain their existing review status. These are transparent boundaries on the current case findings and clear priorities for the next analysis phase, rather than reasons to discard the case.</w:t>
      </w:r>
    </w:p>
    <w:p>
      <w:pPr>
        <w:pStyle w:val="Heading1"/>
      </w:pPr>
      <w:r>
        <w:t>English synthesis for presentation use</w:t>
      </w:r>
    </w:p>
    <w:p>
      <w:pPr>
        <w:keepLines/>
      </w:pPr>
      <w:r>
        <w:rPr>
          <w:b w:val="0"/>
        </w:rPr>
        <w:t>Participant C checked information around decision points and described vibration as a cue to look at his phone. At one junction, he said zooming out helped him understand which side of the road the destination was on. Inside MUSEA, he used the mall directory to locate the shop. These accounts show why we will analyse combinations and sequences of actions, together with their context, rather than relying only on individual code counts.</w:t>
      </w:r>
    </w:p>
    <w:p>
      <w:pPr>
        <w:pStyle w:val="Heading1"/>
      </w:pPr>
      <w:r>
        <w:t>Companion documents</w:t>
      </w:r>
    </w:p>
    <w:p>
      <w:r>
        <w:t>02_Participant_C_Detailed_Video_Coding_EN.docx provides the complete timed action record. All V and C references in this analysis point to that document; times restart in each source clip. 01_Participant_C_Presentation_Brief_EN.docx provides the presentation material and shared data-selection rules. The findings here are initial case interpretations for group synthesis; any further theme such as information overload should be developed in a separate analysis linked to the relevant footage and interview.</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SD5008 | Participant 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C Interview Findings and Video Integration</dc:title>
  <dc:subject>Participant C case analysis and data processing</dc:subject>
  <dc:creator>SD5008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