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SD5008 Group Research 大纲</w:t>
      </w:r>
    </w:p>
    <w:p>
      <w:pPr>
        <w:keepNext w:val="0"/>
        <w:spacing w:before="0" w:after="280" w:line="293" w:lineRule="auto"/>
      </w:pPr>
      <w:r>
        <w:rPr>
          <w:rFonts w:ascii="Noto Sans CJK SC" w:hAnsi="Noto Sans CJK SC" w:eastAsia="Noto Sans CJK SC" w:cs="Noto Sans CJK SC"/>
          <w:b w:val="0"/>
          <w:color w:val="595959"/>
          <w:sz w:val="30"/>
        </w:rPr>
        <w:t>香港城市导航研究方向与开放式研究框架</w:t>
      </w:r>
    </w:p>
    <w:p>
      <w:pPr>
        <w:keepNext w:val="0"/>
        <w:spacing w:before="0" w:after="1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1"/>
        </w:rPr>
        <w:t>当前较稳妥的共同起点是香港城市导航中的潜在用户需要。小组仍需从人群、旅程、情境和机制中选择一个可验证的组合；本大纲提供比较路径，不固定最终 Research Question 或产品形态。</w:t>
      </w:r>
    </w:p>
    <w:p>
      <w:pPr>
        <w:keepNext w:val="0"/>
        <w:spacing w:before="0" w:after="1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使用边界  本文件供小组继续讨论和修改。候选理论、研究问题、方法与路径关系都是工作建议，不代表老师要求、小组最终决定或已经完成的研究发现。</w:t>
      </w:r>
    </w:p>
    <w:p>
      <w:pPr>
        <w:keepNext w:val="0"/>
        <w:spacing w:before="0" w:after="240" w:line="293" w:lineRule="auto"/>
      </w:pPr>
      <w:r>
        <w:rPr>
          <w:rFonts w:ascii="Noto Sans CJK SC" w:hAnsi="Noto Sans CJK SC" w:eastAsia="Noto Sans CJK SC" w:cs="Noto Sans CJK SC"/>
          <w:b/>
          <w:color w:val="000000"/>
          <w:sz w:val="20"/>
        </w:rPr>
        <w:t xml:space="preserve">小组共享文档  </w:t>
      </w:r>
      <w:hyperlink r:id="rId12">
        <w:r>
          <w:rPr>
            <w:rFonts w:ascii="Noto Sans CJK SC" w:hAnsi="Noto Sans CJK SC" w:eastAsia="Noto Sans CJK SC" w:cs="Noto Sans CJK SC"/>
            <w:color w:val="1F4E78"/>
            <w:u w:val="single"/>
          </w:rPr>
          <w:t>Google Doc  SD5008 research</w:t>
        </w:r>
      </w:hyperlink>
    </w:p>
    <w:p>
      <w:pPr>
        <w:pStyle w:val="Heading1"/>
      </w:pPr>
      <w:r>
        <w:t>一 当前共同起点</w:t>
      </w:r>
    </w:p>
    <w:p>
      <w:pPr>
        <w:keepNext w:val="0"/>
        <w:spacing w:before="0" w:after="100" w:line="293" w:lineRule="auto"/>
      </w:pPr>
      <w:r>
        <w:rPr>
          <w:rFonts w:ascii="Noto Sans CJK SC" w:hAnsi="Noto Sans CJK SC" w:eastAsia="Noto Sans CJK SC" w:cs="Noto Sans CJK SC"/>
          <w:b/>
          <w:color w:val="9C6500"/>
          <w:sz w:val="18"/>
        </w:rPr>
        <w:t xml:space="preserve">[MY NOTES] </w:t>
      </w:r>
      <w:r>
        <w:rPr>
          <w:rFonts w:ascii="Noto Sans CJK SC" w:hAnsi="Noto Sans CJK SC" w:eastAsia="Noto Sans CJK SC" w:cs="Noto Sans CJK SC"/>
          <w:b w:val="0"/>
          <w:color w:val="000000"/>
          <w:sz w:val="21"/>
        </w:rPr>
        <w:t>共享 Google Doc 把 navigation、HK urban area、newcomer、disabled users、first month、shopping、explore、planning 和 multitasking 列为候选维度。这些仍是方向草案。</w:t>
      </w:r>
    </w:p>
    <w:p>
      <w:pPr>
        <w:keepNext w:val="0"/>
        <w:spacing w:before="0" w:after="100" w:line="293" w:lineRule="auto"/>
      </w:pPr>
      <w:r>
        <w:rPr>
          <w:rFonts w:ascii="Noto Sans CJK SC" w:hAnsi="Noto Sans CJK SC" w:eastAsia="Noto Sans CJK SC" w:cs="Noto Sans CJK SC"/>
          <w:b/>
          <w:color w:val="2E7457"/>
          <w:sz w:val="18"/>
        </w:rPr>
        <w:t xml:space="preserve">[INSTRUCTOR CLARIFICATION] </w:t>
      </w:r>
      <w:r>
        <w:rPr>
          <w:rFonts w:ascii="Noto Sans CJK SC" w:hAnsi="Noto Sans CJK SC" w:eastAsia="Noto Sans CJK SC" w:cs="Noto Sans CJK SC"/>
          <w:b w:val="0"/>
          <w:color w:val="000000"/>
          <w:sz w:val="21"/>
        </w:rPr>
        <w:t>老师讨论的重点是把宽泛痛点连接到理论、HCI 研究和现实产品，并先验证问题和机制，不要预设 AI agent、非手机装置或其他产品答案。</w:t>
      </w:r>
    </w:p>
    <w:p>
      <w:pPr>
        <w:keepNext w:val="0"/>
        <w:spacing w:before="0" w:after="100" w:line="293" w:lineRule="auto"/>
      </w:pPr>
      <w:r>
        <w:rPr>
          <w:rFonts w:ascii="Noto Sans CJK SC" w:hAnsi="Noto Sans CJK SC" w:eastAsia="Noto Sans CJK SC" w:cs="Noto Sans CJK SC"/>
          <w:b/>
          <w:color w:val="1F4E78"/>
          <w:sz w:val="18"/>
        </w:rPr>
        <w:t xml:space="preserve">[OFFICIAL COURSE SOURCE] </w:t>
      </w:r>
      <w:r>
        <w:rPr>
          <w:rFonts w:ascii="Noto Sans CJK SC" w:hAnsi="Noto Sans CJK SC" w:eastAsia="Noto Sans CJK SC" w:cs="Noto Sans CJK SC"/>
          <w:b w:val="0"/>
          <w:color w:val="000000"/>
          <w:sz w:val="21"/>
        </w:rPr>
        <w:t>SD5008 Research Study Project 需要 literature review、第一手数据 gathering and/or generation、analysis 和 communication。</w:t>
      </w:r>
    </w:p>
    <w:p>
      <w:pPr>
        <w:pStyle w:val="Heading2"/>
      </w:pPr>
      <w:r>
        <w:t>暂定研究目的</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理解一个明确用户群体在香港完成一段日常城市旅程时，何处出现导航或信息协调困难、这些困难由什么机制产生、现有服务和用户办法解决了什么，以及仍有什么未被满足的需要。研究结果可形成设计启示，但不预先指定产品形态。</w:t>
      </w:r>
    </w:p>
    <w:p>
      <w:r>
        <w:br w:type="page"/>
      </w:r>
    </w:p>
    <w:p>
      <w:pPr>
        <w:pStyle w:val="Heading2"/>
      </w:pPr>
      <w:r>
        <w:t>可调整的范围框架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trPr>
        <w:tc>
          <w:tcPr>
            <w:tcW w:type="dxa" w:w="1512"/>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维度</w:t>
            </w:r>
          </w:p>
        </w:tc>
        <w:tc>
          <w:tcPr>
            <w:tcW w:type="dxa" w:w="3816"/>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当前候选范围</w:t>
            </w:r>
          </w:p>
        </w:tc>
        <w:tc>
          <w:tcPr>
            <w:tcW w:type="dxa" w:w="4723"/>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暂时保留的选择</w:t>
            </w:r>
          </w:p>
        </w:tc>
      </w:tr>
      <w:tr>
        <w:trPr>
          <w:cantSplit/>
        </w:trPr>
        <w:tc>
          <w:tcPr>
            <w:tcW w:type="dxa" w:w="1512"/>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7"/>
              </w:rPr>
              <w:t>研究领域</w:t>
            </w:r>
          </w:p>
        </w:tc>
        <w:tc>
          <w:tcPr>
            <w:tcW w:type="dxa" w:w="381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香港城市导航与相关信息交互</w:t>
            </w:r>
          </w:p>
        </w:tc>
        <w:tc>
          <w:tcPr>
            <w:tcW w:type="dxa" w:w="4723"/>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是否继续保留 navigation 作为主域</w:t>
            </w:r>
          </w:p>
        </w:tc>
      </w:tr>
      <w:tr>
        <w:trPr>
          <w:cantSplit/>
        </w:trPr>
        <w:tc>
          <w:tcPr>
            <w:tcW w:type="dxa" w:w="1512"/>
            <w:shd w:fill="EAF2F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7"/>
              </w:rPr>
              <w:t>研究对象</w:t>
            </w:r>
          </w:p>
        </w:tc>
        <w:tc>
          <w:tcPr>
            <w:tcW w:type="dxa" w:w="381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newcomer 是目前较连贯的候选</w:t>
            </w:r>
          </w:p>
        </w:tc>
        <w:tc>
          <w:tcPr>
            <w:tcW w:type="dxa" w:w="4723"/>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如何定义 newcomer；disabled users 是否另立方向</w:t>
            </w:r>
          </w:p>
        </w:tc>
      </w:tr>
      <w:tr>
        <w:trPr>
          <w:cantSplit/>
        </w:trPr>
        <w:tc>
          <w:tcPr>
            <w:tcW w:type="dxa" w:w="1512"/>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7"/>
              </w:rPr>
              <w:t>时间阶段</w:t>
            </w:r>
          </w:p>
        </w:tc>
        <w:tc>
          <w:tcPr>
            <w:tcW w:type="dxa" w:w="381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抵港早期或 first month</w:t>
            </w:r>
          </w:p>
        </w:tc>
        <w:tc>
          <w:tcPr>
            <w:tcW w:type="dxa" w:w="4723"/>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是否确实存在阶段差异，以及如何界定</w:t>
            </w:r>
          </w:p>
        </w:tc>
      </w:tr>
      <w:tr>
        <w:trPr>
          <w:cantSplit/>
        </w:trPr>
        <w:tc>
          <w:tcPr>
            <w:tcW w:type="dxa" w:w="1512"/>
            <w:shd w:fill="EAF2F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7"/>
              </w:rPr>
              <w:t>具体旅程</w:t>
            </w:r>
          </w:p>
        </w:tc>
        <w:tc>
          <w:tcPr>
            <w:tcW w:type="dxa" w:w="381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shopping、explore、planning、multitasking</w:t>
            </w:r>
          </w:p>
        </w:tc>
        <w:tc>
          <w:tcPr>
            <w:tcW w:type="dxa" w:w="4723"/>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选择一段可观察旅程，不同时覆盖全部场景</w:t>
            </w:r>
          </w:p>
        </w:tc>
      </w:tr>
      <w:tr>
        <w:trPr>
          <w:cantSplit/>
        </w:trPr>
        <w:tc>
          <w:tcPr>
            <w:tcW w:type="dxa" w:w="1512"/>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7"/>
              </w:rPr>
              <w:t>候选现象</w:t>
            </w:r>
          </w:p>
        </w:tc>
        <w:tc>
          <w:tcPr>
            <w:tcW w:type="dxa" w:w="381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信息碎片化、跨 App 切换、不确定感、持续看手机或不便操作</w:t>
            </w:r>
          </w:p>
        </w:tc>
        <w:tc>
          <w:tcPr>
            <w:tcW w:type="dxa" w:w="4723"/>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哪一个现象最常见、重要且可以验证</w:t>
            </w:r>
          </w:p>
        </w:tc>
      </w:tr>
      <w:tr>
        <w:trPr>
          <w:cantSplit/>
        </w:trPr>
        <w:tc>
          <w:tcPr>
            <w:tcW w:type="dxa" w:w="1512"/>
            <w:shd w:fill="EAF2F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7"/>
              </w:rPr>
              <w:t>候选机制</w:t>
            </w:r>
          </w:p>
        </w:tc>
        <w:tc>
          <w:tcPr>
            <w:tcW w:type="dxa" w:w="381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社会文化陌生感、认知负担、注意力分配、人体工学或情境限制</w:t>
            </w:r>
          </w:p>
        </w:tc>
        <w:tc>
          <w:tcPr>
            <w:tcW w:type="dxa" w:w="4723"/>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哪个机制有理论与数据支持</w:t>
            </w:r>
          </w:p>
        </w:tc>
      </w:tr>
      <w:tr>
        <w:trPr>
          <w:cantSplit/>
        </w:trPr>
        <w:tc>
          <w:tcPr>
            <w:tcW w:type="dxa" w:w="1512"/>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7"/>
              </w:rPr>
              <w:t>预期产出</w:t>
            </w:r>
          </w:p>
        </w:tc>
        <w:tc>
          <w:tcPr>
            <w:tcW w:type="dxa" w:w="381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对问题与潜在需要的解释，及初步设计启示</w:t>
            </w:r>
          </w:p>
        </w:tc>
        <w:tc>
          <w:tcPr>
            <w:tcW w:type="dxa" w:w="4723"/>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不预设最终产品或交互形态</w:t>
            </w:r>
          </w:p>
        </w:tc>
      </w:tr>
    </w:tbl>
    <w:p>
      <w:pPr>
        <w:keepNext w:val="0"/>
        <w:spacing w:before="0" w:after="0" w:line="293" w:lineRule="auto"/>
      </w:pPr>
    </w:p>
    <w:p>
      <w:pPr>
        <w:pStyle w:val="Heading1"/>
      </w:pPr>
      <w:r>
        <w:t>二 三条可比较的研究路径</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三条路径可以先并行做轻量 desk research，再选一条作为主要研究路径。它们不适合在没有证据时全部合并。</w:t>
      </w:r>
    </w:p>
    <w:p>
      <w:pPr>
        <w:pStyle w:val="Heading2"/>
      </w:pPr>
      <w:r>
        <w:t>路径 A 香港 newcomer 的城市与服务理解</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研究初到香港的人如何理解本地语言、地方术语、支付与服务习惯、App 结构和城市线索，以及这些差异如何影响一段具体旅程。</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理论检索入口  </w:t>
      </w:r>
      <w:r>
        <w:rPr>
          <w:rFonts w:ascii="Noto Sans CJK SC" w:hAnsi="Noto Sans CJK SC" w:eastAsia="Noto Sans CJK SC" w:cs="Noto Sans CJK SC"/>
          <w:b w:val="0"/>
          <w:color w:val="000000"/>
          <w:sz w:val="20"/>
        </w:rPr>
        <w:t>acculturation、cultural adaptation、place legibility、wayfinding、mental models、service literacy。</w:t>
      </w:r>
    </w:p>
    <w:p>
      <w:pPr>
        <w:pStyle w:val="ListBullet"/>
        <w:keepNext w:val="0"/>
        <w:spacing w:before="0" w:after="60" w:line="293" w:lineRule="auto"/>
      </w:pPr>
      <w:r>
        <w:rPr>
          <w:rFonts w:ascii="Noto Sans CJK SC" w:hAnsi="Noto Sans CJK SC" w:eastAsia="Noto Sans CJK SC" w:cs="Noto Sans CJK SC"/>
          <w:b/>
          <w:color w:val="9C6500"/>
          <w:sz w:val="18"/>
        </w:rPr>
        <w:t xml:space="preserve">[MY NOTES] </w:t>
      </w:r>
      <w:r>
        <w:rPr>
          <w:rFonts w:ascii="Noto Sans CJK SC" w:hAnsi="Noto Sans CJK SC" w:eastAsia="Noto Sans CJK SC" w:cs="Noto Sans CJK SC"/>
          <w:b/>
          <w:color w:val="000000"/>
          <w:sz w:val="20"/>
        </w:rPr>
        <w:t xml:space="preserve">旅程候选  </w:t>
      </w:r>
      <w:r>
        <w:rPr>
          <w:rFonts w:ascii="Noto Sans CJK SC" w:hAnsi="Noto Sans CJK SC" w:eastAsia="Noto Sans CJK SC" w:cs="Noto Sans CJK SC"/>
          <w:b w:val="0"/>
          <w:color w:val="000000"/>
          <w:sz w:val="20"/>
        </w:rPr>
        <w:t>购物、寻找地点或服务、探索陌生区域、安排一段多站行程。小组应从中选择一段。</w:t>
      </w:r>
    </w:p>
    <w:p>
      <w:pPr>
        <w:pStyle w:val="ListBullet"/>
        <w:keepNext w:val="0"/>
        <w:spacing w:before="0" w:after="60" w:line="293" w:lineRule="auto"/>
      </w:pPr>
      <w:r>
        <w:rPr>
          <w:rFonts w:ascii="Noto Sans CJK SC" w:hAnsi="Noto Sans CJK SC" w:eastAsia="Noto Sans CJK SC" w:cs="Noto Sans CJK SC"/>
          <w:b/>
          <w:color w:val="2E7457"/>
          <w:sz w:val="18"/>
        </w:rPr>
        <w:t xml:space="preserve">[INSTRUCTOR CLARIFICATION] </w:t>
      </w:r>
      <w:r>
        <w:rPr>
          <w:rFonts w:ascii="Noto Sans CJK SC" w:hAnsi="Noto Sans CJK SC" w:eastAsia="Noto Sans CJK SC" w:cs="Noto Sans CJK SC"/>
          <w:b/>
          <w:color w:val="000000"/>
          <w:sz w:val="20"/>
        </w:rPr>
        <w:t xml:space="preserve">主要风险  </w:t>
      </w:r>
      <w:r>
        <w:rPr>
          <w:rFonts w:ascii="Noto Sans CJK SC" w:hAnsi="Noto Sans CJK SC" w:eastAsia="Noto Sans CJK SC" w:cs="Noto Sans CJK SC"/>
          <w:b w:val="0"/>
          <w:color w:val="000000"/>
          <w:sz w:val="20"/>
        </w:rPr>
        <w:t>需要区分香港特定的社会文化障碍与任何人从陌生到熟悉都会经历的一般学习过程。</w:t>
      </w:r>
    </w:p>
    <w:p>
      <w:pPr>
        <w:pStyle w:val="Heading2"/>
      </w:pPr>
      <w:r>
        <w:t>路径 B 多 App 信息协调与任务切换</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研究用户在陌生、多站或多任务旅程中如何在导航、交通、支付、评价和内容平台之间寻找、保存和协调信息。</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理论检索入口  </w:t>
      </w:r>
      <w:r>
        <w:rPr>
          <w:rFonts w:ascii="Noto Sans CJK SC" w:hAnsi="Noto Sans CJK SC" w:eastAsia="Noto Sans CJK SC" w:cs="Noto Sans CJK SC"/>
          <w:b w:val="0"/>
          <w:color w:val="000000"/>
          <w:sz w:val="20"/>
        </w:rPr>
        <w:t>cognitive load、task switching、distributed cognition、prospective memory、information fragmentation。</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可观察现象  </w:t>
      </w:r>
      <w:r>
        <w:rPr>
          <w:rFonts w:ascii="Noto Sans CJK SC" w:hAnsi="Noto Sans CJK SC" w:eastAsia="Noto Sans CJK SC" w:cs="Noto Sans CJK SC"/>
          <w:b w:val="0"/>
          <w:color w:val="000000"/>
          <w:sz w:val="20"/>
        </w:rPr>
        <w:t>反复切换、遗漏信息、重复确认、路线改变、任务中断、依赖截图或向他人求助。</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主要风险  </w:t>
      </w:r>
      <w:r>
        <w:rPr>
          <w:rFonts w:ascii="Noto Sans CJK SC" w:hAnsi="Noto Sans CJK SC" w:eastAsia="Noto Sans CJK SC" w:cs="Noto Sans CJK SC"/>
          <w:b w:val="0"/>
          <w:color w:val="000000"/>
          <w:sz w:val="20"/>
        </w:rPr>
        <w:t>如果该问题与香港或 newcomer 没有明显关系，研究可能需要改为更一般的跨 App 导航研究，或重新寻找香港情境中的独特机制。</w:t>
      </w:r>
    </w:p>
    <w:p>
      <w:pPr>
        <w:pStyle w:val="Heading2"/>
      </w:pPr>
      <w:r>
        <w:t>路径 C 特定情境下的手机导航摩擦</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研究天气、疲劳、双手被占用、行走安全或其他身体与环境条件，何时使手机导航变得困难。</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理论检索入口  </w:t>
      </w:r>
      <w:r>
        <w:rPr>
          <w:rFonts w:ascii="Noto Sans CJK SC" w:hAnsi="Noto Sans CJK SC" w:eastAsia="Noto Sans CJK SC" w:cs="Noto Sans CJK SC"/>
          <w:b w:val="0"/>
          <w:color w:val="000000"/>
          <w:sz w:val="20"/>
        </w:rPr>
        <w:t>situational impairment、embodied interaction、ergonomics、divided attention、pedestrian safety。</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可观察现象  </w:t>
      </w:r>
      <w:r>
        <w:rPr>
          <w:rFonts w:ascii="Noto Sans CJK SC" w:hAnsi="Noto Sans CJK SC" w:eastAsia="Noto Sans CJK SC" w:cs="Noto Sans CJK SC"/>
          <w:b w:val="0"/>
          <w:color w:val="000000"/>
          <w:sz w:val="20"/>
        </w:rPr>
        <w:t>减少查看屏幕、错过转向、停下来操作、依赖语音或他人、暂时放弃任务。</w:t>
      </w:r>
    </w:p>
    <w:p>
      <w:pPr>
        <w:pStyle w:val="ListBullet"/>
        <w:keepNext w:val="0"/>
        <w:spacing w:before="0" w:after="60" w:line="293" w:lineRule="auto"/>
      </w:pPr>
      <w:r>
        <w:rPr>
          <w:rFonts w:ascii="Noto Sans CJK SC" w:hAnsi="Noto Sans CJK SC" w:eastAsia="Noto Sans CJK SC" w:cs="Noto Sans CJK SC"/>
          <w:b/>
          <w:color w:val="2E7457"/>
          <w:sz w:val="18"/>
        </w:rPr>
        <w:t xml:space="preserve">[INSTRUCTOR CLARIFICATION] </w:t>
      </w:r>
      <w:r>
        <w:rPr>
          <w:rFonts w:ascii="Noto Sans CJK SC" w:hAnsi="Noto Sans CJK SC" w:eastAsia="Noto Sans CJK SC" w:cs="Noto Sans CJK SC"/>
          <w:b/>
          <w:color w:val="000000"/>
          <w:sz w:val="20"/>
        </w:rPr>
        <w:t xml:space="preserve">主要风险  </w:t>
      </w:r>
      <w:r>
        <w:rPr>
          <w:rFonts w:ascii="Noto Sans CJK SC" w:hAnsi="Noto Sans CJK SC" w:eastAsia="Noto Sans CJK SC" w:cs="Noto Sans CJK SC"/>
          <w:b w:val="0"/>
          <w:color w:val="000000"/>
          <w:sz w:val="20"/>
        </w:rPr>
        <w:t>不能先假设非手机交互更好。小组必须先确认问题确实存在，再讨论可能的交互支持。</w:t>
      </w:r>
    </w:p>
    <w:p>
      <w:pPr>
        <w:pStyle w:val="Heading2"/>
      </w:pPr>
      <w:r>
        <w:t>路径关系建议</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路径 A 可以作为较宽的社会文化入口，路径 B 可以成为其中一个可验证的交互机制，路径 C 可以保留为对照或转向条件。如果早期证据显示 B 或 C 更强，也可以将其独立为主线。</w:t>
      </w:r>
    </w:p>
    <w:p>
      <w:pPr>
        <w:pStyle w:val="Heading1"/>
      </w:pPr>
      <w:r>
        <w:t>三 研究问题的开放式结构</w:t>
      </w:r>
    </w:p>
    <w:p>
      <w:pPr>
        <w:pStyle w:val="Heading2"/>
      </w:pPr>
      <w:r>
        <w:t>通用问题模板</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1"/>
        </w:rPr>
        <w:t>对于某一明确人群，在香港的一段具体城市旅程或情境中，某一有理论依据的机制如何影响可观察的行为或体验，而现有研究、产品和用户办法仍未满足哪些需要？</w:t>
      </w:r>
    </w:p>
    <w:p>
      <w:pPr>
        <w:pStyle w:val="Heading2"/>
      </w:pPr>
      <w:r>
        <w:t>候选问题方向</w:t>
      </w:r>
    </w:p>
    <w:p>
      <w:pPr>
        <w:pStyle w:val="ListNumber"/>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香港 newcomer 在抵港早期如何理解和协调一段日常城市旅程所需的本地信息，现有服务与用户办法仍留下哪些不匹配？</w:t>
      </w:r>
    </w:p>
    <w:p>
      <w:pPr>
        <w:pStyle w:val="ListNumber"/>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在什么条件下，跨多个导航与服务 App 的切换会影响陌生多站旅程中的不确定感、注意力或任务协调，用户目前如何应对？</w:t>
      </w:r>
    </w:p>
    <w:p>
      <w:pPr>
        <w:pStyle w:val="ListNumber"/>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在哪些身体或环境条件下，手机导航会变得困难，用户采取什么办法，哪些支持需要仍未被满足？</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小组不需要现在从三句中选一条原样采用。它们的作用是暴露仍需决定的人群、旅程、机制、结果和 gap。</w:t>
      </w:r>
    </w:p>
    <w:p>
      <w:pPr>
        <w:pStyle w:val="Heading1"/>
      </w:pPr>
      <w:r>
        <w:t>四 证据与 literature mapping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trPr>
        <w:tc>
          <w:tcPr>
            <w:tcW w:type="dxa" w:w="2088"/>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证据层</w:t>
            </w:r>
          </w:p>
        </w:tc>
        <w:tc>
          <w:tcPr>
            <w:tcW w:type="dxa" w:w="4536"/>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要回答的问题</w:t>
            </w:r>
          </w:p>
        </w:tc>
        <w:tc>
          <w:tcPr>
            <w:tcW w:type="dxa" w:w="3427"/>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工作产出</w:t>
            </w:r>
          </w:p>
        </w:tc>
      </w:tr>
      <w:tr>
        <w:trPr>
          <w:cantSplit/>
        </w:trPr>
        <w:tc>
          <w:tcPr>
            <w:tcW w:type="dxa" w:w="208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理论与相关领域</w:t>
            </w:r>
          </w:p>
        </w:tc>
        <w:tc>
          <w:tcPr>
            <w:tcW w:type="dxa" w:w="453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什么机制可以解释现象；哪些概念适合当前人群和情境</w:t>
            </w:r>
          </w:p>
        </w:tc>
        <w:tc>
          <w:tcPr>
            <w:tcW w:type="dxa" w:w="3427"/>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概念图、关键词组、核心文献摘要</w:t>
            </w:r>
          </w:p>
        </w:tc>
      </w:tr>
      <w:tr>
        <w:trPr>
          <w:cantSplit/>
        </w:trPr>
        <w:tc>
          <w:tcPr>
            <w:tcW w:type="dxa" w:w="2088"/>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HCI 与 interaction design</w:t>
            </w:r>
          </w:p>
        </w:tc>
        <w:tc>
          <w:tcPr>
            <w:tcW w:type="dxa" w:w="453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是否已有研究原型、实验系统或相近研究处理该问题</w:t>
            </w:r>
          </w:p>
        </w:tc>
        <w:tc>
          <w:tcPr>
            <w:tcW w:type="dxa" w:w="3427"/>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precedent map、方法与发现对比</w:t>
            </w:r>
          </w:p>
        </w:tc>
      </w:tr>
      <w:tr>
        <w:trPr>
          <w:cantSplit/>
        </w:trPr>
        <w:tc>
          <w:tcPr>
            <w:tcW w:type="dxa" w:w="208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现实产品与用户办法</w:t>
            </w:r>
          </w:p>
        </w:tc>
        <w:tc>
          <w:tcPr>
            <w:tcW w:type="dxa" w:w="453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现有 App、服务、内容平台、截图、询问他人等如何支持用户</w:t>
            </w:r>
          </w:p>
        </w:tc>
        <w:tc>
          <w:tcPr>
            <w:tcW w:type="dxa" w:w="3427"/>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product and workaround audit</w:t>
            </w:r>
          </w:p>
        </w:tc>
      </w:tr>
      <w:tr>
        <w:trPr>
          <w:cantSplit/>
        </w:trPr>
        <w:tc>
          <w:tcPr>
            <w:tcW w:type="dxa" w:w="2088"/>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第一手研究</w:t>
            </w:r>
          </w:p>
        </w:tc>
        <w:tc>
          <w:tcPr>
            <w:tcW w:type="dxa" w:w="453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目标用户是否真的经历该问题；何时、为何、如何应对</w:t>
            </w:r>
          </w:p>
        </w:tc>
        <w:tc>
          <w:tcPr>
            <w:tcW w:type="dxa" w:w="3427"/>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访谈、journey reconstruction、观察或日志材料</w:t>
            </w:r>
          </w:p>
        </w:tc>
      </w:tr>
      <w:tr>
        <w:trPr>
          <w:cantSplit/>
        </w:trPr>
        <w:tc>
          <w:tcPr>
            <w:tcW w:type="dxa" w:w="208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Gap synthesis</w:t>
            </w:r>
          </w:p>
        </w:tc>
        <w:tc>
          <w:tcPr>
            <w:tcW w:type="dxa" w:w="453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现有知识和办法仍无法解释或满足什么</w:t>
            </w:r>
          </w:p>
        </w:tc>
        <w:tc>
          <w:tcPr>
            <w:tcW w:type="dxa" w:w="3427"/>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7"/>
              </w:rPr>
              <w:t>challenge statement 与可论证的 Research Question</w:t>
            </w:r>
          </w:p>
        </w:tc>
      </w:tr>
    </w:tbl>
    <w:p>
      <w:pPr>
        <w:keepNext w:val="0"/>
        <w:spacing w:before="0" w:after="0" w:line="293" w:lineRule="auto"/>
      </w:pPr>
    </w:p>
    <w:p>
      <w:pPr>
        <w:pStyle w:val="Heading2"/>
      </w:pPr>
      <w:r>
        <w:t>建议的 mapping 分类</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人群与情境  </w:t>
      </w:r>
      <w:r>
        <w:rPr>
          <w:rFonts w:ascii="Noto Sans CJK SC" w:hAnsi="Noto Sans CJK SC" w:eastAsia="Noto Sans CJK SC" w:cs="Noto Sans CJK SC"/>
          <w:b w:val="0"/>
          <w:color w:val="000000"/>
          <w:sz w:val="20"/>
        </w:rPr>
        <w:t>newcomer、urban onboarding、Hong Kong context。</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行为与体验  </w:t>
      </w:r>
      <w:r>
        <w:rPr>
          <w:rFonts w:ascii="Noto Sans CJK SC" w:hAnsi="Noto Sans CJK SC" w:eastAsia="Noto Sans CJK SC" w:cs="Noto Sans CJK SC"/>
          <w:b w:val="0"/>
          <w:color w:val="000000"/>
          <w:sz w:val="20"/>
        </w:rPr>
        <w:t>wayfinding、uncertainty、task coordination、attention、trust。</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交互与媒介  </w:t>
      </w:r>
      <w:r>
        <w:rPr>
          <w:rFonts w:ascii="Noto Sans CJK SC" w:hAnsi="Noto Sans CJK SC" w:eastAsia="Noto Sans CJK SC" w:cs="Noto Sans CJK SC"/>
          <w:b w:val="0"/>
          <w:color w:val="000000"/>
          <w:sz w:val="20"/>
        </w:rPr>
        <w:t>mobile navigation、cross-app journeys、voice or glanceable support、information workarounds。</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机制与理论  </w:t>
      </w:r>
      <w:r>
        <w:rPr>
          <w:rFonts w:ascii="Noto Sans CJK SC" w:hAnsi="Noto Sans CJK SC" w:eastAsia="Noto Sans CJK SC" w:cs="Noto Sans CJK SC"/>
          <w:b w:val="0"/>
          <w:color w:val="000000"/>
          <w:sz w:val="20"/>
        </w:rPr>
        <w:t>根据三条路径选择，不追求一次覆盖全部。</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研究缺口  </w:t>
      </w:r>
      <w:r>
        <w:rPr>
          <w:rFonts w:ascii="Noto Sans CJK SC" w:hAnsi="Noto Sans CJK SC" w:eastAsia="Noto Sans CJK SC" w:cs="Noto Sans CJK SC"/>
          <w:b w:val="0"/>
          <w:color w:val="000000"/>
          <w:sz w:val="20"/>
        </w:rPr>
        <w:t>每篇文献记录它解释了什么、没有解释什么，以及是否与小组情境可比。</w:t>
      </w:r>
    </w:p>
    <w:p>
      <w:pPr>
        <w:pStyle w:val="Heading1"/>
      </w:pPr>
      <w:r>
        <w:t>五 第一手研究方法菜单</w:t>
      </w:r>
    </w:p>
    <w:p>
      <w:pPr>
        <w:keepNext w:val="0"/>
        <w:spacing w:before="0" w:after="100" w:line="293" w:lineRule="auto"/>
      </w:pPr>
      <w:r>
        <w:rPr>
          <w:rFonts w:ascii="Noto Sans CJK SC" w:hAnsi="Noto Sans CJK SC" w:eastAsia="Noto Sans CJK SC" w:cs="Noto Sans CJK SC"/>
          <w:b/>
          <w:color w:val="1F4E78"/>
          <w:sz w:val="18"/>
        </w:rPr>
        <w:t xml:space="preserve">[OFFICIAL COURSE SOURCE] </w:t>
      </w:r>
      <w:r>
        <w:rPr>
          <w:rFonts w:ascii="Noto Sans CJK SC" w:hAnsi="Noto Sans CJK SC" w:eastAsia="Noto Sans CJK SC" w:cs="Noto Sans CJK SC"/>
          <w:b w:val="0"/>
          <w:color w:val="000000"/>
          <w:sz w:val="21"/>
        </w:rPr>
        <w:t>课程要求 Research Study Project 包含第一手数据 gathering and/or generation。具体方法应由研究问题决定。</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Exploratory interview  </w:t>
      </w:r>
      <w:r>
        <w:rPr>
          <w:rFonts w:ascii="Noto Sans CJK SC" w:hAnsi="Noto Sans CJK SC" w:eastAsia="Noto Sans CJK SC" w:cs="Noto Sans CJK SC"/>
          <w:b w:val="0"/>
          <w:color w:val="000000"/>
          <w:sz w:val="20"/>
        </w:rPr>
        <w:t>了解抵港经历、困难事件、信息来源和已有应对办法。</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Journey reconstruction  </w:t>
      </w:r>
      <w:r>
        <w:rPr>
          <w:rFonts w:ascii="Noto Sans CJK SC" w:hAnsi="Noto Sans CJK SC" w:eastAsia="Noto Sans CJK SC" w:cs="Noto Sans CJK SC"/>
          <w:b w:val="0"/>
          <w:color w:val="000000"/>
          <w:sz w:val="20"/>
        </w:rPr>
        <w:t>让参与者回顾一段真实旅程，按时间说明使用了什么信息、何时犹豫或切换。</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Contextual walkthrough  </w:t>
      </w:r>
      <w:r>
        <w:rPr>
          <w:rFonts w:ascii="Noto Sans CJK SC" w:hAnsi="Noto Sans CJK SC" w:eastAsia="Noto Sans CJK SC" w:cs="Noto Sans CJK SC"/>
          <w:b w:val="0"/>
          <w:color w:val="000000"/>
          <w:sz w:val="20"/>
        </w:rPr>
        <w:t>围绕选定任务观察或陪同一段安全、可控的旅程；避免要求参与者边走边完成会增加风险的任务。</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Short diary or screenshot log  </w:t>
      </w:r>
      <w:r>
        <w:rPr>
          <w:rFonts w:ascii="Noto Sans CJK SC" w:hAnsi="Noto Sans CJK SC" w:eastAsia="Noto Sans CJK SC" w:cs="Noto Sans CJK SC"/>
          <w:b w:val="0"/>
          <w:color w:val="000000"/>
          <w:sz w:val="20"/>
        </w:rPr>
        <w:t>在有限时段记录查询、切换、停顿、求助与 workaround；需明确隐私边界。</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Focused observation  </w:t>
      </w:r>
      <w:r>
        <w:rPr>
          <w:rFonts w:ascii="Noto Sans CJK SC" w:hAnsi="Noto Sans CJK SC" w:eastAsia="Noto Sans CJK SC" w:cs="Noto Sans CJK SC"/>
          <w:b w:val="0"/>
          <w:color w:val="000000"/>
          <w:sz w:val="20"/>
        </w:rPr>
        <w:t>记录可观察行为，不把行为直接解释为动机。</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color w:val="000000"/>
          <w:sz w:val="20"/>
        </w:rPr>
        <w:t xml:space="preserve">Product and workaround walkthrough  </w:t>
      </w:r>
      <w:r>
        <w:rPr>
          <w:rFonts w:ascii="Noto Sans CJK SC" w:hAnsi="Noto Sans CJK SC" w:eastAsia="Noto Sans CJK SC" w:cs="Noto Sans CJK SC"/>
          <w:b w:val="0"/>
          <w:color w:val="000000"/>
          <w:sz w:val="20"/>
        </w:rPr>
        <w:t>让参与者展示常用 App 或办法，并解释选择原因。</w:t>
      </w:r>
    </w:p>
    <w:p>
      <w:pPr>
        <w:pStyle w:val="Heading2"/>
      </w:pPr>
      <w:r>
        <w:t>方法选择原则</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早期可以选择两种互补方法，一种帮助理解经历，一种帮助还原实际行为。</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样本规模、招募方式和具体问题在研究对象确定后再制定，当前保持 TBC。</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先验证现象和机制，再决定是否需要 prototype 或 Research through Design 活动。</w:t>
      </w:r>
    </w:p>
    <w:p>
      <w:r>
        <w:br w:type="page"/>
      </w:r>
    </w:p>
    <w:p>
      <w:pPr>
        <w:pStyle w:val="Heading1"/>
      </w:pPr>
      <w:r>
        <w:t>六 初步分析与综合</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小组可用同一套字段整理不同材料，避免把单个故事直接变成普遍结论。</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1.  </w:t>
      </w:r>
      <w:r>
        <w:rPr>
          <w:rFonts w:ascii="Noto Sans CJK SC" w:hAnsi="Noto Sans CJK SC" w:eastAsia="Noto Sans CJK SC" w:cs="Noto Sans CJK SC"/>
          <w:b w:val="0"/>
          <w:color w:val="000000"/>
          <w:sz w:val="20"/>
        </w:rPr>
        <w:t>情境与旅程阶段。</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2.  </w:t>
      </w:r>
      <w:r>
        <w:rPr>
          <w:rFonts w:ascii="Noto Sans CJK SC" w:hAnsi="Noto Sans CJK SC" w:eastAsia="Noto Sans CJK SC" w:cs="Noto Sans CJK SC"/>
          <w:b w:val="0"/>
          <w:color w:val="000000"/>
          <w:sz w:val="20"/>
        </w:rPr>
        <w:t>触发条件。</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3.  </w:t>
      </w:r>
      <w:r>
        <w:rPr>
          <w:rFonts w:ascii="Noto Sans CJK SC" w:hAnsi="Noto Sans CJK SC" w:eastAsia="Noto Sans CJK SC" w:cs="Noto Sans CJK SC"/>
          <w:b w:val="0"/>
          <w:color w:val="000000"/>
          <w:sz w:val="20"/>
        </w:rPr>
        <w:t>可观察的 breakdown 或 hesitation。</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4.  </w:t>
      </w:r>
      <w:r>
        <w:rPr>
          <w:rFonts w:ascii="Noto Sans CJK SC" w:hAnsi="Noto Sans CJK SC" w:eastAsia="Noto Sans CJK SC" w:cs="Noto Sans CJK SC"/>
          <w:b w:val="0"/>
          <w:color w:val="000000"/>
          <w:sz w:val="20"/>
        </w:rPr>
        <w:t>用户解释和感受。</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5.  </w:t>
      </w:r>
      <w:r>
        <w:rPr>
          <w:rFonts w:ascii="Noto Sans CJK SC" w:hAnsi="Noto Sans CJK SC" w:eastAsia="Noto Sans CJK SC" w:cs="Noto Sans CJK SC"/>
          <w:b w:val="0"/>
          <w:color w:val="000000"/>
          <w:sz w:val="20"/>
        </w:rPr>
        <w:t>采取的 workaround。</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6.  </w:t>
      </w:r>
      <w:r>
        <w:rPr>
          <w:rFonts w:ascii="Noto Sans CJK SC" w:hAnsi="Noto Sans CJK SC" w:eastAsia="Noto Sans CJK SC" w:cs="Noto Sans CJK SC"/>
          <w:b w:val="0"/>
          <w:color w:val="000000"/>
          <w:sz w:val="20"/>
        </w:rPr>
        <w:t>后果或影响。</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7.  </w:t>
      </w:r>
      <w:r>
        <w:rPr>
          <w:rFonts w:ascii="Noto Sans CJK SC" w:hAnsi="Noto Sans CJK SC" w:eastAsia="Noto Sans CJK SC" w:cs="Noto Sans CJK SC"/>
          <w:b w:val="0"/>
          <w:color w:val="000000"/>
          <w:sz w:val="20"/>
        </w:rPr>
        <w:t>可能的机制。</w:t>
      </w:r>
    </w:p>
    <w:p>
      <w:pPr>
        <w:keepNext w:val="0"/>
        <w:spacing w:before="0" w:after="60" w:line="293" w:lineRule="auto"/>
        <w:ind w:left="403" w:hanging="403"/>
      </w:pPr>
      <w:r>
        <w:rPr>
          <w:rFonts w:ascii="Noto Sans CJK SC" w:hAnsi="Noto Sans CJK SC" w:eastAsia="Noto Sans CJK SC" w:cs="Noto Sans CJK SC"/>
          <w:b w:val="0"/>
          <w:color w:val="000000"/>
          <w:sz w:val="20"/>
        </w:rPr>
        <w:t xml:space="preserve">8.  </w:t>
      </w:r>
      <w:r>
        <w:rPr>
          <w:rFonts w:ascii="Noto Sans CJK SC" w:hAnsi="Noto Sans CJK SC" w:eastAsia="Noto Sans CJK SC" w:cs="Noto Sans CJK SC"/>
          <w:b w:val="0"/>
          <w:color w:val="000000"/>
          <w:sz w:val="20"/>
        </w:rPr>
        <w:t>现有支持与未解决 gap。</w:t>
      </w:r>
    </w:p>
    <w:p>
      <w:pPr>
        <w:keepNext w:val="0"/>
        <w:spacing w:before="0" w:after="10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1"/>
        </w:rPr>
        <w:t>初步主题可通过访谈、旅程材料、产品审查和文献互相核对。无法互相支持的解释保留为待验证假设。</w:t>
      </w:r>
    </w:p>
    <w:p>
      <w:pPr>
        <w:pStyle w:val="Heading1"/>
      </w:pPr>
      <w:r>
        <w:t>七 研究伦理与范围边界</w:t>
      </w:r>
    </w:p>
    <w:p>
      <w:pPr>
        <w:pStyle w:val="ListBullet"/>
        <w:keepNext w:val="0"/>
        <w:spacing w:before="0" w:after="60" w:line="293" w:lineRule="auto"/>
      </w:pPr>
      <w:r>
        <w:rPr>
          <w:rFonts w:ascii="Noto Sans CJK SC" w:hAnsi="Noto Sans CJK SC" w:eastAsia="Noto Sans CJK SC" w:cs="Noto Sans CJK SC"/>
          <w:b/>
          <w:color w:val="1F4E78"/>
          <w:sz w:val="18"/>
        </w:rPr>
        <w:t xml:space="preserve">[OFFICIAL COURSE SOURCE] </w:t>
      </w:r>
      <w:r>
        <w:rPr>
          <w:rFonts w:ascii="Noto Sans CJK SC" w:hAnsi="Noto Sans CJK SC" w:eastAsia="Noto Sans CJK SC" w:cs="Noto Sans CJK SC"/>
          <w:b w:val="0"/>
          <w:color w:val="000000"/>
          <w:sz w:val="20"/>
        </w:rPr>
        <w:t>Week 2 课程内容将 ethical considerations 纳入研究设计；具体课堂要求应继续以原始课件和老师后续说明为准。</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不记录参与者不愿分享的账户、位置历史、支付或个人通信内容。</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观察或 walkthrough 不应增加步行、交通或设备操作风险。</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disabled users 不应作为笼统标签与 newcomer 自动合并。如小组希望研究，应重新定义具体群体、access need、招募与研究伦理，并视为独立方向。</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不把麻烦、不方便或难用直接当作 finding；需要可观察证据和参与者解释。</w:t>
      </w:r>
    </w:p>
    <w:p>
      <w:pPr>
        <w:pStyle w:val="Heading1"/>
      </w:pPr>
      <w:r>
        <w:t>八 与课程进度的对齐</w:t>
      </w:r>
    </w:p>
    <w:p>
      <w:pPr>
        <w:pStyle w:val="ListBullet"/>
        <w:keepNext w:val="0"/>
        <w:spacing w:before="0" w:after="60" w:line="293" w:lineRule="auto"/>
      </w:pPr>
      <w:r>
        <w:rPr>
          <w:rFonts w:ascii="Noto Sans CJK SC" w:hAnsi="Noto Sans CJK SC" w:eastAsia="Noto Sans CJK SC" w:cs="Noto Sans CJK SC"/>
          <w:b/>
          <w:color w:val="1F4E78"/>
          <w:sz w:val="18"/>
        </w:rPr>
        <w:t xml:space="preserve">[OFFICIAL COURSE SOURCE] </w:t>
      </w:r>
      <w:r>
        <w:rPr>
          <w:rFonts w:ascii="Noto Sans CJK SC" w:hAnsi="Noto Sans CJK SC" w:eastAsia="Noto Sans CJK SC" w:cs="Noto Sans CJK SC"/>
          <w:b w:val="0"/>
          <w:color w:val="000000"/>
          <w:sz w:val="20"/>
        </w:rPr>
        <w:t>2026-09-17 节点包括继续 background review，并形成 draft research question or creative proposition；该页未说明具体时间和时区。</w:t>
      </w:r>
    </w:p>
    <w:p>
      <w:pPr>
        <w:pStyle w:val="ListBullet"/>
        <w:keepNext w:val="0"/>
        <w:spacing w:before="0" w:after="60" w:line="293" w:lineRule="auto"/>
      </w:pPr>
      <w:r>
        <w:rPr>
          <w:rFonts w:ascii="Noto Sans CJK SC" w:hAnsi="Noto Sans CJK SC" w:eastAsia="Noto Sans CJK SC" w:cs="Noto Sans CJK SC"/>
          <w:b/>
          <w:color w:val="1F4E78"/>
          <w:sz w:val="18"/>
        </w:rPr>
        <w:t xml:space="preserve">[OFFICIAL COURSE SOURCE] </w:t>
      </w:r>
      <w:r>
        <w:rPr>
          <w:rFonts w:ascii="Noto Sans CJK SC" w:hAnsi="Noto Sans CJK SC" w:eastAsia="Noto Sans CJK SC" w:cs="Noto Sans CJK SC"/>
          <w:b w:val="0"/>
          <w:color w:val="000000"/>
          <w:sz w:val="20"/>
        </w:rPr>
        <w:t>2026-09-24 为 Research Study Project Presentation 1，内容包括 research topic、literature mapping、inquisitive direction 和 research modalities in consideration；具体时间和时区未说明。</w:t>
      </w:r>
    </w:p>
    <w:p>
      <w:pPr>
        <w:pStyle w:val="ListBullet"/>
        <w:keepNext w:val="0"/>
        <w:spacing w:before="0" w:after="60" w:line="293" w:lineRule="auto"/>
      </w:pPr>
      <w:r>
        <w:rPr>
          <w:rFonts w:ascii="Noto Sans CJK SC" w:hAnsi="Noto Sans CJK SC" w:eastAsia="Noto Sans CJK SC" w:cs="Noto Sans CJK SC"/>
          <w:b/>
          <w:color w:val="7030A0"/>
          <w:sz w:val="18"/>
        </w:rPr>
        <w:t xml:space="preserve">[AI INTERPRETATION] </w:t>
      </w:r>
      <w:r>
        <w:rPr>
          <w:rFonts w:ascii="Noto Sans CJK SC" w:hAnsi="Noto Sans CJK SC" w:eastAsia="Noto Sans CJK SC" w:cs="Noto Sans CJK SC"/>
          <w:b w:val="0"/>
          <w:color w:val="000000"/>
          <w:sz w:val="20"/>
        </w:rPr>
        <w:t>现阶段可以把本大纲作为小组讨论底稿；Presentation 1 只呈现已有证据、当前选择和未决问题，不把计划中的研究写成已经完成的发现。</w:t>
      </w:r>
    </w:p>
    <w:p>
      <w:pPr>
        <w:pStyle w:val="Heading1"/>
      </w:pPr>
      <w:r>
        <w:t>九 小组下一轮需要决定的事项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13"/>
        <w:gridCol w:w="2513"/>
        <w:gridCol w:w="2513"/>
        <w:gridCol w:w="2513"/>
      </w:tblGrid>
      <w:tr>
        <w:trPr>
          <w:tblHeader w:val="true"/>
        </w:trPr>
        <w:tc>
          <w:tcPr>
            <w:tcW w:type="dxa" w:w="936"/>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优先级</w:t>
            </w:r>
          </w:p>
        </w:tc>
        <w:tc>
          <w:tcPr>
            <w:tcW w:type="dxa" w:w="3096"/>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需要决定</w:t>
            </w:r>
          </w:p>
        </w:tc>
        <w:tc>
          <w:tcPr>
            <w:tcW w:type="dxa" w:w="1224"/>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当前状态</w:t>
            </w:r>
          </w:p>
        </w:tc>
        <w:tc>
          <w:tcPr>
            <w:tcW w:type="dxa" w:w="4795"/>
            <w:shd w:fill="1F4E7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color w:val="FFFFFF"/>
                <w:sz w:val="17"/>
              </w:rPr>
              <w:t>可接受结果</w:t>
            </w:r>
          </w:p>
        </w:tc>
      </w:tr>
      <w:tr>
        <w:trPr>
          <w:cantSplit/>
        </w:trPr>
        <w:tc>
          <w:tcPr>
            <w:tcW w:type="dxa" w:w="936"/>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6"/>
              </w:rPr>
              <w:t>P0</w:t>
            </w:r>
          </w:p>
        </w:tc>
        <w:tc>
          <w:tcPr>
            <w:tcW w:type="dxa" w:w="309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主要研究路径与目标人群</w:t>
            </w:r>
          </w:p>
        </w:tc>
        <w:tc>
          <w:tcPr>
            <w:tcW w:type="dxa" w:w="1224"/>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TBC</w:t>
            </w:r>
          </w:p>
        </w:tc>
        <w:tc>
          <w:tcPr>
            <w:tcW w:type="dxa" w:w="4795"/>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选择 A、B、C 之一或一主一辅，并写清人群的包含与排除条件</w:t>
            </w:r>
          </w:p>
        </w:tc>
      </w:tr>
      <w:tr>
        <w:trPr>
          <w:cantSplit/>
        </w:trPr>
        <w:tc>
          <w:tcPr>
            <w:tcW w:type="dxa" w:w="936"/>
            <w:shd w:fill="EAF2F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6"/>
              </w:rPr>
              <w:t>P0</w:t>
            </w:r>
          </w:p>
        </w:tc>
        <w:tc>
          <w:tcPr>
            <w:tcW w:type="dxa" w:w="309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一段具体旅程</w:t>
            </w:r>
          </w:p>
        </w:tc>
        <w:tc>
          <w:tcPr>
            <w:tcW w:type="dxa" w:w="1224"/>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TBC</w:t>
            </w:r>
          </w:p>
        </w:tc>
        <w:tc>
          <w:tcPr>
            <w:tcW w:type="dxa" w:w="4795"/>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起点、任务、终点与情境可描述</w:t>
            </w:r>
          </w:p>
        </w:tc>
      </w:tr>
      <w:tr>
        <w:trPr>
          <w:cantSplit/>
        </w:trPr>
        <w:tc>
          <w:tcPr>
            <w:tcW w:type="dxa" w:w="936"/>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6"/>
              </w:rPr>
              <w:t>P0</w:t>
            </w:r>
          </w:p>
        </w:tc>
        <w:tc>
          <w:tcPr>
            <w:tcW w:type="dxa" w:w="309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一个候选现象和机制</w:t>
            </w:r>
          </w:p>
        </w:tc>
        <w:tc>
          <w:tcPr>
            <w:tcW w:type="dxa" w:w="1224"/>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TBC</w:t>
            </w:r>
          </w:p>
        </w:tc>
        <w:tc>
          <w:tcPr>
            <w:tcW w:type="dxa" w:w="4795"/>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可观察，可通过文献与数据验证</w:t>
            </w:r>
          </w:p>
        </w:tc>
      </w:tr>
      <w:tr>
        <w:trPr>
          <w:cantSplit/>
        </w:trPr>
        <w:tc>
          <w:tcPr>
            <w:tcW w:type="dxa" w:w="936"/>
            <w:shd w:fill="EAF2F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6"/>
              </w:rPr>
              <w:t>P1</w:t>
            </w:r>
          </w:p>
        </w:tc>
        <w:tc>
          <w:tcPr>
            <w:tcW w:type="dxa" w:w="309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初步检索关键词和分工</w:t>
            </w:r>
          </w:p>
        </w:tc>
        <w:tc>
          <w:tcPr>
            <w:tcW w:type="dxa" w:w="1224"/>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TBC</w:t>
            </w:r>
          </w:p>
        </w:tc>
        <w:tc>
          <w:tcPr>
            <w:tcW w:type="dxa" w:w="4795"/>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理论、HCI precedent、现实产品均有人负责</w:t>
            </w:r>
          </w:p>
        </w:tc>
      </w:tr>
      <w:tr>
        <w:trPr>
          <w:cantSplit/>
        </w:trPr>
        <w:tc>
          <w:tcPr>
            <w:tcW w:type="dxa" w:w="936"/>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6"/>
              </w:rPr>
              <w:t>P1</w:t>
            </w:r>
          </w:p>
        </w:tc>
        <w:tc>
          <w:tcPr>
            <w:tcW w:type="dxa" w:w="3096"/>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第一手研究方法组合</w:t>
            </w:r>
          </w:p>
        </w:tc>
        <w:tc>
          <w:tcPr>
            <w:tcW w:type="dxa" w:w="1224"/>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TBC</w:t>
            </w:r>
          </w:p>
        </w:tc>
        <w:tc>
          <w:tcPr>
            <w:tcW w:type="dxa" w:w="4795"/>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方法与问题匹配，伦理和记录方式清楚</w:t>
            </w:r>
          </w:p>
        </w:tc>
      </w:tr>
      <w:tr>
        <w:trPr>
          <w:cantSplit/>
        </w:trPr>
        <w:tc>
          <w:tcPr>
            <w:tcW w:type="dxa" w:w="936"/>
            <w:shd w:fill="EAF2F8"/>
            <w:vAlign w:val="center"/>
            <w:tcMar>
              <w:top w:w="105" w:type="dxa"/>
              <w:start w:w="115" w:type="dxa"/>
              <w:bottom w:w="105" w:type="dxa"/>
              <w:end w:w="115" w:type="dxa"/>
            </w:tcMar>
          </w:tcPr>
          <w:p>
            <w:pPr>
              <w:keepNext w:val="0"/>
              <w:spacing w:before="0" w:after="0" w:line="259" w:lineRule="auto"/>
              <w:jc w:val="center"/>
            </w:pPr>
            <w:r/>
            <w:r>
              <w:rPr>
                <w:rFonts w:ascii="Noto Sans CJK SC" w:hAnsi="Noto Sans CJK SC" w:eastAsia="Noto Sans CJK SC" w:cs="Noto Sans CJK SC"/>
                <w:b w:val="0"/>
                <w:color w:val="000000"/>
                <w:sz w:val="16"/>
              </w:rPr>
              <w:t>P1</w:t>
            </w:r>
          </w:p>
        </w:tc>
        <w:tc>
          <w:tcPr>
            <w:tcW w:type="dxa" w:w="3096"/>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工作版 challenge statement 与 Research Question</w:t>
            </w:r>
          </w:p>
        </w:tc>
        <w:tc>
          <w:tcPr>
            <w:tcW w:type="dxa" w:w="1224"/>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TBC</w:t>
            </w:r>
          </w:p>
        </w:tc>
        <w:tc>
          <w:tcPr>
            <w:tcW w:type="dxa" w:w="4795"/>
            <w:shd w:fill="EAF2F8"/>
            <w:vAlign w:val="center"/>
            <w:tcMar>
              <w:top w:w="105" w:type="dxa"/>
              <w:start w:w="115" w:type="dxa"/>
              <w:bottom w:w="105" w:type="dxa"/>
              <w:end w:w="115" w:type="dxa"/>
            </w:tcMar>
          </w:tcPr>
          <w:p>
            <w:pPr>
              <w:keepNext w:val="0"/>
              <w:spacing w:before="0" w:after="0" w:line="259" w:lineRule="auto"/>
              <w:jc w:val="left"/>
            </w:pPr>
            <w:r/>
            <w:r>
              <w:rPr>
                <w:rFonts w:ascii="Noto Sans CJK SC" w:hAnsi="Noto Sans CJK SC" w:eastAsia="Noto Sans CJK SC" w:cs="Noto Sans CJK SC"/>
                <w:b w:val="0"/>
                <w:color w:val="000000"/>
                <w:sz w:val="16"/>
              </w:rPr>
              <w:t>能说明对象、情境、机制和未解决 gap</w:t>
            </w:r>
          </w:p>
        </w:tc>
      </w:tr>
    </w:tbl>
    <w:p>
      <w:pPr>
        <w:keepNext w:val="0"/>
        <w:spacing w:before="0" w:after="0" w:line="293" w:lineRule="auto"/>
      </w:pPr>
    </w:p>
    <w:p>
      <w:pPr>
        <w:pStyle w:val="Heading1"/>
      </w:pPr>
      <w:r>
        <w:t>十 来源与使用说明</w:t>
      </w:r>
    </w:p>
    <w:p>
      <w:pPr>
        <w:keepNext w:val="0"/>
        <w:spacing w:before="0" w:after="40" w:line="259" w:lineRule="auto"/>
      </w:pPr>
      <w:r>
        <w:rPr>
          <w:rFonts w:ascii="Noto Sans CJK SC" w:hAnsi="Noto Sans CJK SC" w:eastAsia="Noto Sans CJK SC" w:cs="Noto Sans CJK SC"/>
          <w:b/>
          <w:color w:val="1F4E78"/>
          <w:sz w:val="16"/>
        </w:rPr>
        <w:t xml:space="preserve">[OFFICIAL COURSE SOURCE] </w:t>
      </w:r>
      <w:r>
        <w:rPr>
          <w:rFonts w:ascii="Noto Sans CJK SC" w:hAnsi="Noto Sans CJK SC" w:eastAsia="Noto Sans CJK SC" w:cs="Noto Sans CJK SC"/>
          <w:b w:val="0"/>
          <w:color w:val="000000"/>
          <w:sz w:val="18"/>
        </w:rPr>
        <w:t>Course brief SD5008 dated 3 September 2026，pp. 2–3；W02 lecture，p. 3 and pp. 67–68。</w:t>
      </w:r>
    </w:p>
    <w:p>
      <w:pPr>
        <w:keepNext w:val="0"/>
        <w:spacing w:before="0" w:after="40" w:line="259" w:lineRule="auto"/>
      </w:pPr>
      <w:r>
        <w:rPr>
          <w:rFonts w:ascii="Noto Sans CJK SC" w:hAnsi="Noto Sans CJK SC" w:eastAsia="Noto Sans CJK SC" w:cs="Noto Sans CJK SC"/>
          <w:b/>
          <w:color w:val="9C6500"/>
          <w:sz w:val="16"/>
        </w:rPr>
        <w:t xml:space="preserve">[MY NOTES] </w:t>
      </w:r>
      <w:r>
        <w:rPr>
          <w:rFonts w:ascii="Noto Sans CJK SC" w:hAnsi="Noto Sans CJK SC" w:eastAsia="Noto Sans CJK SC" w:cs="Noto Sans CJK SC"/>
          <w:b w:val="0"/>
          <w:color w:val="000000"/>
          <w:sz w:val="18"/>
        </w:rPr>
        <w:t>Google Doc SD5008 research，live-read 2026-09-12；本次工作没有修改共享文档。</w:t>
      </w:r>
    </w:p>
    <w:p>
      <w:pPr>
        <w:keepNext w:val="0"/>
        <w:spacing w:before="0" w:after="40" w:line="259" w:lineRule="auto"/>
      </w:pPr>
      <w:r>
        <w:rPr>
          <w:rFonts w:ascii="Noto Sans CJK SC" w:hAnsi="Noto Sans CJK SC" w:eastAsia="Noto Sans CJK SC" w:cs="Noto Sans CJK SC"/>
          <w:b/>
          <w:color w:val="2E7457"/>
          <w:sz w:val="16"/>
        </w:rPr>
        <w:t xml:space="preserve">[INSTRUCTOR CLARIFICATION] </w:t>
      </w:r>
      <w:r>
        <w:rPr>
          <w:rFonts w:ascii="Noto Sans CJK SC" w:hAnsi="Noto Sans CJK SC" w:eastAsia="Noto Sans CJK SC" w:cs="Noto Sans CJK SC"/>
          <w:b w:val="0"/>
          <w:color w:val="000000"/>
          <w:sz w:val="18"/>
        </w:rPr>
        <w:t>Eric 提供的删减版会议纪要；原始音频、实际讨论日期、说话人归属与部分术语仍待核实。</w:t>
      </w:r>
    </w:p>
    <w:p>
      <w:pPr>
        <w:keepNext w:val="0"/>
        <w:spacing w:before="0" w:after="40" w:line="259" w:lineRule="auto"/>
      </w:pPr>
      <w:r>
        <w:rPr>
          <w:rFonts w:ascii="Noto Sans CJK SC" w:hAnsi="Noto Sans CJK SC" w:eastAsia="Noto Sans CJK SC" w:cs="Noto Sans CJK SC"/>
          <w:b/>
          <w:color w:val="7030A0"/>
          <w:sz w:val="16"/>
        </w:rPr>
        <w:t xml:space="preserve">[AI INTERPRETATION] </w:t>
      </w:r>
      <w:r>
        <w:rPr>
          <w:rFonts w:ascii="Noto Sans CJK SC" w:hAnsi="Noto Sans CJK SC" w:eastAsia="Noto Sans CJK SC" w:cs="Noto Sans CJK SC"/>
          <w:b w:val="0"/>
          <w:color w:val="000000"/>
          <w:sz w:val="18"/>
        </w:rPr>
        <w:t>ChatGPT Codex 用于整理来源和生成可修改的大纲。候选理论、Research Question、方法与路径关系均需由小组核实，不得陈述为研究发现。</w:t>
      </w:r>
    </w:p>
    <w:sectPr w:rsidR="00776AE9" w:rsidSect="00034616">
      <w:footerReference w:type="default" r:id="rId9"/>
      <w:pgSz w:w="12240" w:h="15840"/>
      <w:pgMar w:top="1037" w:right="1094" w:bottom="979"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C977D0" w14:textId="77777777" w:rsidR="00C10E3D" w:rsidRDefault="00C10E3D">
      <w:pPr>
        <w:spacing w:after="0" w:line="240" w:lineRule="auto"/>
      </w:pPr>
      <w:r>
        <w:separator/>
      </w:r>
    </w:p>
  </w:endnote>
  <w:endnote w:type="continuationSeparator" w:id="0">
    <w:p w14:paraId="62FB8B6F" w14:textId="77777777" w:rsidR="00C10E3D" w:rsidRDefault="00C10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oto Sans CJK SC">
    <w:panose1 w:val="020B0604020202020204"/>
    <w:charset w:val="80"/>
    <w:family w:val="swiss"/>
    <w:pitch w:val="variable"/>
    <w:sig w:usb0="30000083" w:usb1="2BDF3C10" w:usb2="00000016" w:usb3="00000000" w:csb0="002E0107"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val="0"/>
      <w:spacing w:before="0" w:after="0" w:line="240" w:lineRule="auto"/>
      <w:jc w:val="right"/>
    </w:pPr>
    <w:r>
      <w:rPr>
        <w:rFonts w:ascii="Noto Sans CJK SC" w:hAnsi="Noto Sans CJK SC" w:eastAsia="Noto Sans CJK SC" w:cs="Noto Sans CJK SC"/>
        <w:b w:val="0"/>
        <w:color w:val="595959"/>
        <w:sz w:val="17"/>
      </w:rPr>
      <w:t xml:space="preserve">SD5008 Group Research Outline  第 </w:t>
    </w:r>
    <w:r>
      <w:fldChar w:fldCharType="begin"/>
      <w:instrText xml:space="preserve"> PAGE </w:instrText>
      <w:fldChar w:fldCharType="end"/>
    </w:r>
    <w:r>
      <w:rPr>
        <w:rFonts w:ascii="Noto Sans CJK SC" w:hAnsi="Noto Sans CJK SC" w:eastAsia="Noto Sans CJK SC" w:cs="Noto Sans CJK SC"/>
        <w:b w:val="0"/>
        <w:color w:val="595959"/>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FAB80A" w14:textId="77777777" w:rsidR="00C10E3D" w:rsidRDefault="00C10E3D">
      <w:pPr>
        <w:spacing w:after="0" w:line="240" w:lineRule="auto"/>
      </w:pPr>
      <w:r>
        <w:separator/>
      </w:r>
    </w:p>
  </w:footnote>
  <w:footnote w:type="continuationSeparator" w:id="0">
    <w:p w14:paraId="3C7F2F9D" w14:textId="77777777" w:rsidR="00C10E3D" w:rsidRDefault="00C10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292919">
    <w:abstractNumId w:val="8"/>
  </w:num>
  <w:num w:numId="2" w16cid:durableId="1756244869">
    <w:abstractNumId w:val="6"/>
  </w:num>
  <w:num w:numId="3" w16cid:durableId="1592856013">
    <w:abstractNumId w:val="5"/>
  </w:num>
  <w:num w:numId="4" w16cid:durableId="1301154131">
    <w:abstractNumId w:val="4"/>
  </w:num>
  <w:num w:numId="5" w16cid:durableId="1119497015">
    <w:abstractNumId w:val="7"/>
  </w:num>
  <w:num w:numId="6" w16cid:durableId="1551109114">
    <w:abstractNumId w:val="3"/>
  </w:num>
  <w:num w:numId="7" w16cid:durableId="719090360">
    <w:abstractNumId w:val="2"/>
  </w:num>
  <w:num w:numId="8" w16cid:durableId="1466196252">
    <w:abstractNumId w:val="1"/>
  </w:num>
  <w:num w:numId="9" w16cid:durableId="658840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25A"/>
    <w:rsid w:val="0029639D"/>
    <w:rsid w:val="00326F90"/>
    <w:rsid w:val="00776AE9"/>
    <w:rsid w:val="008851B7"/>
    <w:rsid w:val="00AA1D8D"/>
    <w:rsid w:val="00B47730"/>
    <w:rsid w:val="00C10E3D"/>
    <w:rsid w:val="00CB0664"/>
    <w:rsid w:val="00DC6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933DC"/>
  <w14:defaultImageDpi w14:val="300"/>
  <w15:docId w15:val="{BCEE0616-3244-C841-919E-15DA5474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rFonts w:ascii="Noto Sans CJK SC" w:eastAsia="Noto Sans CJK SC" w:hAnsi="Noto Sans CJK SC" w:cs="Noto Sans CJK SC"/>
      <w:color w:val="000000"/>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CJK SC" w:hAnsi="Noto Sans CJK SC" w:eastAsia="Noto Sans CJK SC" w:cs="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SC" w:hAnsi="Noto Sans CJK SC" w:eastAsia="Noto Sans CJK SC" w:cs="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cs="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Noto Sans CJK SC" w:hAnsi="Noto Sans CJK SC" w:eastAsia="Noto Sans CJK SC" w:cs="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color w:val="000000"/>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keepNext/>
      <w:spacing w:before="120" w:after="40"/>
    </w:pPr>
    <w:rPr>
      <w:rFonts w:ascii="Noto Sans CJK SC" w:eastAsia="Noto Sans CJK SC" w:hAnsi="Noto Sans CJK SC" w:cs="Noto Sans CJK SC"/>
      <w:b/>
      <w:color w:val="1F4E7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8uKGccyRHpIVWC_uuWzjueGzsqMXQBGmwq--YaWyO1s/edit?tab=t.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docs.google.com/document/d/18uKGccyRHpIVWC_uuWzjueGzsqMXQBGmwq--YaWyO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SD5008 Group Research 大纲</dc:title>
  <dc:subject>香港城市导航研究方向与开放式研究框架</dc:subject>
  <dc:creator>Eric Liu and SD5008 group</dc:creator>
  <cp:keywords>SD5008, group research, navigation, newcomer, research outline</cp:keywords>
  <dc:description>Working outline based on group notes, instructor-discussion summary, and official course sources.</dc:description>
  <cp:lastModifiedBy>Liu, Eric</cp:lastModifiedBy>
  <cp:revision>2</cp:revision>
  <dcterms:created xsi:type="dcterms:W3CDTF">2026-09-12T09:01:00Z</dcterms:created>
  <dcterms:modified xsi:type="dcterms:W3CDTF">2026-09-12T09:01:00Z</dcterms:modified>
  <cp:category/>
</cp:coreProperties>
</file>