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images.png"/>
                    <pic:cNvPicPr/>
                  </pic:nvPicPr>
                  <pic:blipFill>
                    <a:blip r:embed="rId9"/>
                    <a:stretch>
                      <a:fillRect/>
                    </a:stretch>
                  </pic:blipFill>
                  <pic:spPr>
                    <a:xfrm>
                      <a:off x="0" y="0"/>
                      <a:ext cx="1980000" cy="1980000"/>
                    </a:xfrm>
                    <a:prstGeom prst="rect"/>
                  </pic:spPr>
                </pic:pic>
              </a:graphicData>
            </a:graphic>
          </wp:inline>
        </w:drawing>
      </w:r>
    </w:p>
    <w:p/>
    <w:p/>
    <w:p>
      <w:pPr>
        <w:spacing w:after="40"/>
        <w:jc w:val="center"/>
      </w:pPr>
      <w:r>
        <w:rPr>
          <w:rFonts w:ascii="Calibri" w:hAnsi="Calibri"/>
          <w:b/>
          <w:i w:val="0"/>
          <w:color w:val="1F4E79"/>
          <w:sz w:val="28"/>
        </w:rPr>
        <w:t>GAZİANTEP İSLAM BİLİM VE TEKNOLOJİ ÜNİVERSİTESİ</w:t>
      </w:r>
    </w:p>
    <w:p>
      <w:pPr>
        <w:spacing w:after="40"/>
        <w:jc w:val="center"/>
      </w:pPr>
      <w:r>
        <w:rPr>
          <w:rFonts w:ascii="Calibri" w:hAnsi="Calibri"/>
          <w:b w:val="0"/>
          <w:i w:val="0"/>
          <w:color w:val="333333"/>
          <w:sz w:val="24"/>
        </w:rPr>
        <w:t>Mühendislik ve Doğa Bilimleri Fakültesi</w:t>
      </w:r>
    </w:p>
    <w:p>
      <w:pPr>
        <w:spacing w:after="240"/>
        <w:jc w:val="center"/>
      </w:pPr>
      <w:r>
        <w:rPr>
          <w:rFonts w:ascii="Calibri" w:hAnsi="Calibri"/>
          <w:b w:val="0"/>
          <w:i w:val="0"/>
          <w:color w:val="333333"/>
          <w:sz w:val="24"/>
        </w:rPr>
        <w:t>Bilgisayar Mühendisliği Bölümü</w:t>
      </w:r>
    </w:p>
    <w:p/>
    <w:p/>
    <w:p>
      <w:pPr>
        <w:spacing w:after="80"/>
        <w:jc w:val="center"/>
      </w:pPr>
      <w:r>
        <w:rPr>
          <w:rFonts w:ascii="Calibri" w:hAnsi="Calibri"/>
          <w:b/>
          <w:i w:val="0"/>
          <w:color w:val="2E75B6"/>
          <w:sz w:val="40"/>
        </w:rPr>
        <w:t>BİTİRME PROJESİ KİTAPÇIĞI</w:t>
      </w:r>
    </w:p>
    <w:p>
      <w:pPr>
        <w:pBdr>
          <w:bottom w:val="single" w:sz="8" w:space="1" w:color="2E75B6"/>
        </w:pBdr>
      </w:pPr>
    </w:p>
    <w:p>
      <w:pPr>
        <w:spacing w:after="80"/>
        <w:jc w:val="center"/>
      </w:pPr>
      <w:r>
        <w:rPr>
          <w:rFonts w:ascii="Calibri" w:hAnsi="Calibri"/>
          <w:b/>
          <w:i w:val="0"/>
          <w:color w:val="1F4E79"/>
          <w:sz w:val="36"/>
        </w:rPr>
        <w:t>ADİL SEÇMELİ — Veriye Dayalı Seçmeli Ders Karar Destek Sistemi</w:t>
      </w:r>
    </w:p>
    <w:p>
      <w:pPr>
        <w:spacing w:after="400"/>
        <w:jc w:val="center"/>
      </w:pPr>
      <w:r>
        <w:rPr>
          <w:rFonts w:ascii="Calibri" w:hAnsi="Calibri"/>
          <w:b w:val="0"/>
          <w:i/>
          <w:color w:val="666666"/>
          <w:sz w:val="24"/>
        </w:rPr>
        <w:t>AHP + TOPSIS + Trend Analizi + State Machine + Çoklu Algoritma Benchmark Platformu</w:t>
      </w:r>
    </w:p>
    <w:p/>
    <w:p/>
    <w:p/>
    <w:p/>
    <w:p>
      <w:pPr>
        <w:spacing w:after="40"/>
        <w:jc w:val="center"/>
      </w:pPr>
      <w:r>
        <w:rPr>
          <w:rFonts w:ascii="Calibri" w:hAnsi="Calibri"/>
          <w:b/>
          <w:i w:val="0"/>
          <w:sz w:val="22"/>
        </w:rPr>
        <w:t>Hazırlayan</w:t>
      </w:r>
    </w:p>
    <w:p>
      <w:pPr>
        <w:spacing w:after="200"/>
        <w:jc w:val="center"/>
      </w:pPr>
      <w:r>
        <w:rPr>
          <w:rFonts w:ascii="Calibri" w:hAnsi="Calibri"/>
          <w:b/>
          <w:i w:val="0"/>
          <w:color w:val="1F4E79"/>
          <w:sz w:val="26"/>
        </w:rPr>
        <w:t>Oruç Altundağ</w:t>
      </w:r>
    </w:p>
    <w:p>
      <w:pPr>
        <w:spacing w:after="40"/>
        <w:jc w:val="center"/>
      </w:pPr>
      <w:r>
        <w:rPr>
          <w:rFonts w:ascii="Calibri" w:hAnsi="Calibri"/>
          <w:b/>
          <w:i w:val="0"/>
          <w:sz w:val="22"/>
        </w:rPr>
        <w:t>Danışman</w:t>
      </w:r>
    </w:p>
    <w:p>
      <w:pPr>
        <w:spacing w:after="400"/>
        <w:jc w:val="center"/>
      </w:pPr>
      <w:r>
        <w:rPr>
          <w:rFonts w:ascii="Calibri" w:hAnsi="Calibri"/>
          <w:b w:val="0"/>
          <w:i w:val="0"/>
          <w:sz w:val="24"/>
        </w:rPr>
        <w:t>Dr. Öğr. Üyesi / Proje Danışmanı</w:t>
      </w:r>
    </w:p>
    <w:p/>
    <w:p/>
    <w:p/>
    <w:p>
      <w:pPr>
        <w:spacing w:after="80"/>
        <w:jc w:val="center"/>
      </w:pPr>
      <w:r>
        <w:rPr>
          <w:rFonts w:ascii="Calibri" w:hAnsi="Calibri"/>
          <w:b/>
          <w:i w:val="0"/>
          <w:color w:val="1F4E79"/>
          <w:sz w:val="26"/>
        </w:rPr>
        <w:t>Haziran 2026</w:t>
      </w:r>
    </w:p>
    <w:p>
      <w:pPr>
        <w:spacing w:after="80"/>
        <w:jc w:val="center"/>
      </w:pPr>
      <w:r>
        <w:rPr>
          <w:rFonts w:ascii="Calibri" w:hAnsi="Calibri"/>
          <w:b w:val="0"/>
          <w:i w:val="0"/>
          <w:sz w:val="22"/>
        </w:rPr>
        <w:t>Gaziantep</w:t>
      </w:r>
    </w:p>
    <w:p>
      <w:r>
        <w:br w:type="page"/>
      </w:r>
    </w:p>
    <w:p>
      <w:pPr>
        <w:pStyle w:val="Title"/>
      </w:pPr>
      <w:r>
        <w:rPr>
          <w:rFonts w:ascii="Calibri" w:hAnsi="Calibri"/>
          <w:color w:val="1F4E79"/>
          <w:sz w:val="56"/>
        </w:rPr>
        <w:t>İÇİNDEKİLER</w:t>
      </w:r>
    </w:p>
    <w:p>
      <w:pPr>
        <w:tabs>
          <w:tab w:pos="8504" w:val="left"/>
        </w:tabs>
        <w:spacing w:after="60"/>
      </w:pPr>
      <w:r>
        <w:rPr>
          <w:rFonts w:ascii="Calibri" w:hAnsi="Calibri"/>
          <w:b/>
          <w:color w:val="1F4E79"/>
          <w:sz w:val="22"/>
        </w:rPr>
        <w:t>ÖZET</w:t>
      </w:r>
      <w:r>
        <w:rPr>
          <w:color w:val="333333"/>
          <w:sz w:val="22"/>
        </w:rPr>
        <w:tab/>
        <w:t>4</w:t>
      </w:r>
    </w:p>
    <w:p>
      <w:pPr>
        <w:tabs>
          <w:tab w:pos="8504" w:val="left"/>
        </w:tabs>
        <w:spacing w:after="60"/>
      </w:pPr>
      <w:r>
        <w:rPr>
          <w:rFonts w:ascii="Calibri" w:hAnsi="Calibri"/>
          <w:b/>
          <w:color w:val="1F4E79"/>
          <w:sz w:val="22"/>
        </w:rPr>
        <w:t>ABSTRACT</w:t>
      </w:r>
      <w:r>
        <w:rPr>
          <w:color w:val="333333"/>
          <w:sz w:val="22"/>
        </w:rPr>
        <w:tab/>
        <w:t>5</w:t>
      </w:r>
    </w:p>
    <w:p>
      <w:pPr>
        <w:tabs>
          <w:tab w:pos="8504" w:val="left"/>
        </w:tabs>
        <w:spacing w:after="60"/>
      </w:pPr>
      <w:r>
        <w:rPr>
          <w:rFonts w:ascii="Calibri" w:hAnsi="Calibri"/>
          <w:b/>
          <w:color w:val="1F4E79"/>
          <w:sz w:val="22"/>
        </w:rPr>
        <w:t>1. GİRİŞ</w:t>
      </w:r>
      <w:r>
        <w:rPr>
          <w:color w:val="333333"/>
          <w:sz w:val="22"/>
        </w:rPr>
        <w:tab/>
        <w:t>6</w:t>
      </w:r>
    </w:p>
    <w:p>
      <w:pPr>
        <w:tabs>
          <w:tab w:pos="8504" w:val="left"/>
        </w:tabs>
        <w:spacing w:after="60"/>
      </w:pPr>
      <w:r>
        <w:rPr>
          <w:rFonts w:ascii="Calibri" w:hAnsi="Calibri"/>
          <w:sz w:val="22"/>
        </w:rPr>
        <w:t xml:space="preserve">   1.1 Problemin Tanımı</w:t>
      </w:r>
      <w:r>
        <w:rPr>
          <w:color w:val="333333"/>
          <w:sz w:val="22"/>
        </w:rPr>
        <w:tab/>
        <w:t>6</w:t>
      </w:r>
    </w:p>
    <w:p>
      <w:pPr>
        <w:tabs>
          <w:tab w:pos="8504" w:val="left"/>
        </w:tabs>
        <w:spacing w:after="60"/>
      </w:pPr>
      <w:r>
        <w:rPr>
          <w:rFonts w:ascii="Calibri" w:hAnsi="Calibri"/>
          <w:sz w:val="22"/>
        </w:rPr>
        <w:t xml:space="preserve">   1.2 Projenin Amacı</w:t>
      </w:r>
      <w:r>
        <w:rPr>
          <w:color w:val="333333"/>
          <w:sz w:val="22"/>
        </w:rPr>
        <w:tab/>
        <w:t>7</w:t>
      </w:r>
    </w:p>
    <w:p>
      <w:pPr>
        <w:tabs>
          <w:tab w:pos="8504" w:val="left"/>
        </w:tabs>
        <w:spacing w:after="60"/>
      </w:pPr>
      <w:r>
        <w:rPr>
          <w:rFonts w:ascii="Calibri" w:hAnsi="Calibri"/>
          <w:sz w:val="22"/>
        </w:rPr>
        <w:t xml:space="preserve">   1.3 Projenin Kapsamı</w:t>
      </w:r>
      <w:r>
        <w:rPr>
          <w:color w:val="333333"/>
          <w:sz w:val="22"/>
        </w:rPr>
        <w:tab/>
        <w:t>8</w:t>
      </w:r>
    </w:p>
    <w:p>
      <w:pPr>
        <w:tabs>
          <w:tab w:pos="8504" w:val="left"/>
        </w:tabs>
        <w:spacing w:after="60"/>
      </w:pPr>
      <w:r>
        <w:rPr>
          <w:rFonts w:ascii="Calibri" w:hAnsi="Calibri"/>
          <w:sz w:val="22"/>
        </w:rPr>
        <w:t xml:space="preserve">   1.4 Önemli Tanımlar</w:t>
      </w:r>
      <w:r>
        <w:rPr>
          <w:color w:val="333333"/>
          <w:sz w:val="22"/>
        </w:rPr>
        <w:tab/>
        <w:t>9</w:t>
      </w:r>
    </w:p>
    <w:p>
      <w:pPr>
        <w:tabs>
          <w:tab w:pos="8504" w:val="left"/>
        </w:tabs>
        <w:spacing w:after="60"/>
      </w:pPr>
      <w:r>
        <w:rPr>
          <w:rFonts w:ascii="Calibri" w:hAnsi="Calibri"/>
          <w:b/>
          <w:color w:val="1F4E79"/>
          <w:sz w:val="22"/>
        </w:rPr>
        <w:t>2. SİSTEM MİMARİSİ VE TASARIM</w:t>
      </w:r>
      <w:r>
        <w:rPr>
          <w:color w:val="333333"/>
          <w:sz w:val="22"/>
        </w:rPr>
        <w:tab/>
        <w:t>10</w:t>
      </w:r>
    </w:p>
    <w:p>
      <w:pPr>
        <w:tabs>
          <w:tab w:pos="8504" w:val="left"/>
        </w:tabs>
        <w:spacing w:after="60"/>
      </w:pPr>
      <w:r>
        <w:rPr>
          <w:rFonts w:ascii="Calibri" w:hAnsi="Calibri"/>
          <w:sz w:val="22"/>
        </w:rPr>
        <w:t xml:space="preserve">   2.1 Katmanlı Mimari</w:t>
      </w:r>
      <w:r>
        <w:rPr>
          <w:color w:val="333333"/>
          <w:sz w:val="22"/>
        </w:rPr>
        <w:tab/>
        <w:t>10</w:t>
      </w:r>
    </w:p>
    <w:p>
      <w:pPr>
        <w:tabs>
          <w:tab w:pos="8504" w:val="left"/>
        </w:tabs>
        <w:spacing w:after="60"/>
      </w:pPr>
      <w:r>
        <w:rPr>
          <w:rFonts w:ascii="Calibri" w:hAnsi="Calibri"/>
          <w:sz w:val="22"/>
        </w:rPr>
        <w:t xml:space="preserve">   2.2 Karar Hattı (Pipeline)</w:t>
      </w:r>
      <w:r>
        <w:rPr>
          <w:color w:val="333333"/>
          <w:sz w:val="22"/>
        </w:rPr>
        <w:tab/>
        <w:t>11</w:t>
      </w:r>
    </w:p>
    <w:p>
      <w:pPr>
        <w:tabs>
          <w:tab w:pos="8504" w:val="left"/>
        </w:tabs>
        <w:spacing w:after="60"/>
      </w:pPr>
      <w:r>
        <w:rPr>
          <w:rFonts w:ascii="Calibri" w:hAnsi="Calibri"/>
          <w:sz w:val="22"/>
        </w:rPr>
        <w:t xml:space="preserve">   2.3 Veri Modeli</w:t>
      </w:r>
      <w:r>
        <w:rPr>
          <w:color w:val="333333"/>
          <w:sz w:val="22"/>
        </w:rPr>
        <w:tab/>
        <w:t>12</w:t>
      </w:r>
    </w:p>
    <w:p>
      <w:pPr>
        <w:tabs>
          <w:tab w:pos="8504" w:val="left"/>
        </w:tabs>
        <w:spacing w:after="60"/>
      </w:pPr>
      <w:r>
        <w:rPr>
          <w:rFonts w:ascii="Calibri" w:hAnsi="Calibri"/>
          <w:sz w:val="22"/>
        </w:rPr>
        <w:t xml:space="preserve">   2.4 Teknoloji Yığını</w:t>
      </w:r>
      <w:r>
        <w:rPr>
          <w:color w:val="333333"/>
          <w:sz w:val="22"/>
        </w:rPr>
        <w:tab/>
        <w:t>13</w:t>
      </w:r>
    </w:p>
    <w:p>
      <w:pPr>
        <w:tabs>
          <w:tab w:pos="8504" w:val="left"/>
        </w:tabs>
        <w:spacing w:after="60"/>
      </w:pPr>
      <w:r>
        <w:rPr>
          <w:rFonts w:ascii="Calibri" w:hAnsi="Calibri"/>
          <w:b/>
          <w:color w:val="1F4E79"/>
          <w:sz w:val="22"/>
        </w:rPr>
        <w:t>3. ALGORİTMALAR VE HESAPLAMALAR</w:t>
      </w:r>
      <w:r>
        <w:rPr>
          <w:color w:val="333333"/>
          <w:sz w:val="22"/>
        </w:rPr>
        <w:tab/>
        <w:t>14</w:t>
      </w:r>
    </w:p>
    <w:p>
      <w:pPr>
        <w:tabs>
          <w:tab w:pos="8504" w:val="left"/>
        </w:tabs>
        <w:spacing w:after="60"/>
      </w:pPr>
      <w:r>
        <w:rPr>
          <w:rFonts w:ascii="Calibri" w:hAnsi="Calibri"/>
          <w:sz w:val="22"/>
        </w:rPr>
        <w:t xml:space="preserve">   3.1 AHP — Analytic Hierarchy Process</w:t>
      </w:r>
      <w:r>
        <w:rPr>
          <w:color w:val="333333"/>
          <w:sz w:val="22"/>
        </w:rPr>
        <w:tab/>
        <w:t>14</w:t>
      </w:r>
    </w:p>
    <w:p>
      <w:pPr>
        <w:tabs>
          <w:tab w:pos="8504" w:val="left"/>
        </w:tabs>
        <w:spacing w:after="60"/>
      </w:pPr>
      <w:r>
        <w:rPr>
          <w:rFonts w:ascii="Calibri" w:hAnsi="Calibri"/>
          <w:sz w:val="22"/>
        </w:rPr>
        <w:t xml:space="preserve">   3.2 TOPSIS — Çok Kriterli Sıralama</w:t>
      </w:r>
      <w:r>
        <w:rPr>
          <w:color w:val="333333"/>
          <w:sz w:val="22"/>
        </w:rPr>
        <w:tab/>
        <w:t>18</w:t>
      </w:r>
    </w:p>
    <w:p>
      <w:pPr>
        <w:tabs>
          <w:tab w:pos="8504" w:val="left"/>
        </w:tabs>
        <w:spacing w:after="60"/>
      </w:pPr>
      <w:r>
        <w:rPr>
          <w:rFonts w:ascii="Calibri" w:hAnsi="Calibri"/>
          <w:sz w:val="22"/>
        </w:rPr>
        <w:t xml:space="preserve">   3.3 Trend Analizi</w:t>
      </w:r>
      <w:r>
        <w:rPr>
          <w:color w:val="333333"/>
          <w:sz w:val="22"/>
        </w:rPr>
        <w:tab/>
        <w:t>22</w:t>
      </w:r>
    </w:p>
    <w:p>
      <w:pPr>
        <w:tabs>
          <w:tab w:pos="8504" w:val="left"/>
        </w:tabs>
        <w:spacing w:after="60"/>
      </w:pPr>
      <w:r>
        <w:rPr>
          <w:rFonts w:ascii="Calibri" w:hAnsi="Calibri"/>
          <w:sz w:val="22"/>
        </w:rPr>
        <w:t xml:space="preserve">   3.4 Kesinleşme Puanı ve Eşikler</w:t>
      </w:r>
      <w:r>
        <w:rPr>
          <w:color w:val="333333"/>
          <w:sz w:val="22"/>
        </w:rPr>
        <w:tab/>
        <w:t>24</w:t>
      </w:r>
    </w:p>
    <w:p>
      <w:pPr>
        <w:tabs>
          <w:tab w:pos="8504" w:val="left"/>
        </w:tabs>
        <w:spacing w:after="60"/>
      </w:pPr>
      <w:r>
        <w:rPr>
          <w:rFonts w:ascii="Calibri" w:hAnsi="Calibri"/>
          <w:sz w:val="22"/>
        </w:rPr>
        <w:t xml:space="preserve">   3.5 Havuz / Müfredat Durum Makinesi</w:t>
      </w:r>
      <w:r>
        <w:rPr>
          <w:color w:val="333333"/>
          <w:sz w:val="22"/>
        </w:rPr>
        <w:tab/>
        <w:t>25</w:t>
      </w:r>
    </w:p>
    <w:p>
      <w:pPr>
        <w:tabs>
          <w:tab w:pos="8504" w:val="left"/>
        </w:tabs>
        <w:spacing w:after="60"/>
      </w:pPr>
      <w:r>
        <w:rPr>
          <w:rFonts w:ascii="Calibri" w:hAnsi="Calibri"/>
          <w:sz w:val="22"/>
        </w:rPr>
        <w:t xml:space="preserve">   3.6 Çift Dönem (Güz/Bahar) Dengeleme</w:t>
      </w:r>
      <w:r>
        <w:rPr>
          <w:color w:val="333333"/>
          <w:sz w:val="22"/>
        </w:rPr>
        <w:tab/>
        <w:t>27</w:t>
      </w:r>
    </w:p>
    <w:p>
      <w:pPr>
        <w:tabs>
          <w:tab w:pos="8504" w:val="left"/>
        </w:tabs>
        <w:spacing w:after="60"/>
      </w:pPr>
      <w:r>
        <w:rPr>
          <w:rFonts w:ascii="Calibri" w:hAnsi="Calibri"/>
          <w:sz w:val="22"/>
        </w:rPr>
        <w:t xml:space="preserve">   3.7 ML Modülü: Linear / RF / DT / NB / XGBoost</w:t>
      </w:r>
      <w:r>
        <w:rPr>
          <w:color w:val="333333"/>
          <w:sz w:val="22"/>
        </w:rPr>
        <w:tab/>
        <w:t>28</w:t>
      </w:r>
    </w:p>
    <w:p>
      <w:pPr>
        <w:tabs>
          <w:tab w:pos="8504" w:val="left"/>
        </w:tabs>
        <w:spacing w:after="60"/>
      </w:pPr>
      <w:r>
        <w:rPr>
          <w:rFonts w:ascii="Calibri" w:hAnsi="Calibri"/>
          <w:sz w:val="22"/>
        </w:rPr>
        <w:t xml:space="preserve">   3.8 TF-IDF + Cosine Similarity</w:t>
      </w:r>
      <w:r>
        <w:rPr>
          <w:color w:val="333333"/>
          <w:sz w:val="22"/>
        </w:rPr>
        <w:tab/>
        <w:t>31</w:t>
      </w:r>
    </w:p>
    <w:p>
      <w:pPr>
        <w:tabs>
          <w:tab w:pos="8504" w:val="left"/>
        </w:tabs>
        <w:spacing w:after="60"/>
      </w:pPr>
      <w:r>
        <w:rPr>
          <w:rFonts w:ascii="Calibri" w:hAnsi="Calibri"/>
          <w:sz w:val="22"/>
        </w:rPr>
        <w:t xml:space="preserve">   3.9 Allocation Algoritmaları</w:t>
      </w:r>
      <w:r>
        <w:rPr>
          <w:color w:val="333333"/>
          <w:sz w:val="22"/>
        </w:rPr>
        <w:tab/>
        <w:t>32</w:t>
      </w:r>
    </w:p>
    <w:p>
      <w:pPr>
        <w:tabs>
          <w:tab w:pos="8504" w:val="left"/>
        </w:tabs>
        <w:spacing w:after="60"/>
      </w:pPr>
      <w:r>
        <w:rPr>
          <w:rFonts w:ascii="Calibri" w:hAnsi="Calibri"/>
          <w:sz w:val="22"/>
        </w:rPr>
        <w:t xml:space="preserve">   3.10 Clustering Algoritmaları</w:t>
      </w:r>
      <w:r>
        <w:rPr>
          <w:color w:val="333333"/>
          <w:sz w:val="22"/>
        </w:rPr>
        <w:tab/>
        <w:t>33</w:t>
      </w:r>
    </w:p>
    <w:p>
      <w:pPr>
        <w:tabs>
          <w:tab w:pos="8504" w:val="left"/>
        </w:tabs>
        <w:spacing w:after="60"/>
      </w:pPr>
      <w:r>
        <w:rPr>
          <w:rFonts w:ascii="Calibri" w:hAnsi="Calibri"/>
          <w:sz w:val="22"/>
        </w:rPr>
        <w:t xml:space="preserve">   3.11 VIKOR ve PROMETHEE-II</w:t>
      </w:r>
      <w:r>
        <w:rPr>
          <w:color w:val="333333"/>
          <w:sz w:val="22"/>
        </w:rPr>
        <w:tab/>
        <w:t>34</w:t>
      </w:r>
    </w:p>
    <w:p>
      <w:pPr>
        <w:tabs>
          <w:tab w:pos="8504" w:val="left"/>
        </w:tabs>
        <w:spacing w:after="60"/>
      </w:pPr>
      <w:r>
        <w:rPr>
          <w:rFonts w:ascii="Calibri" w:hAnsi="Calibri"/>
          <w:b/>
          <w:color w:val="1F4E79"/>
          <w:sz w:val="22"/>
        </w:rPr>
        <w:t>4. DENEYSEL TESTLER, GRAFİKLER VE TABLOLAR</w:t>
      </w:r>
      <w:r>
        <w:rPr>
          <w:color w:val="333333"/>
          <w:sz w:val="22"/>
        </w:rPr>
        <w:tab/>
        <w:t>36</w:t>
      </w:r>
    </w:p>
    <w:p>
      <w:pPr>
        <w:tabs>
          <w:tab w:pos="8504" w:val="left"/>
        </w:tabs>
        <w:spacing w:after="60"/>
      </w:pPr>
      <w:r>
        <w:rPr>
          <w:rFonts w:ascii="Calibri" w:hAnsi="Calibri"/>
          <w:sz w:val="22"/>
        </w:rPr>
        <w:t xml:space="preserve">   4.1 Veri Seti Özeti</w:t>
      </w:r>
      <w:r>
        <w:rPr>
          <w:color w:val="333333"/>
          <w:sz w:val="22"/>
        </w:rPr>
        <w:tab/>
        <w:t>36</w:t>
      </w:r>
    </w:p>
    <w:p>
      <w:pPr>
        <w:tabs>
          <w:tab w:pos="8504" w:val="left"/>
        </w:tabs>
        <w:spacing w:after="60"/>
      </w:pPr>
      <w:r>
        <w:rPr>
          <w:rFonts w:ascii="Calibri" w:hAnsi="Calibri"/>
          <w:sz w:val="22"/>
        </w:rPr>
        <w:t xml:space="preserve">   4.2 AHP Tutarlılık Testi</w:t>
      </w:r>
      <w:r>
        <w:rPr>
          <w:color w:val="333333"/>
          <w:sz w:val="22"/>
        </w:rPr>
        <w:tab/>
        <w:t>37</w:t>
      </w:r>
    </w:p>
    <w:p>
      <w:pPr>
        <w:tabs>
          <w:tab w:pos="8504" w:val="left"/>
        </w:tabs>
        <w:spacing w:after="60"/>
      </w:pPr>
      <w:r>
        <w:rPr>
          <w:rFonts w:ascii="Calibri" w:hAnsi="Calibri"/>
          <w:sz w:val="22"/>
        </w:rPr>
        <w:t xml:space="preserve">   4.3 TOPSIS Skor Dağılımı</w:t>
      </w:r>
      <w:r>
        <w:rPr>
          <w:color w:val="333333"/>
          <w:sz w:val="22"/>
        </w:rPr>
        <w:tab/>
        <w:t>38</w:t>
      </w:r>
    </w:p>
    <w:p>
      <w:pPr>
        <w:tabs>
          <w:tab w:pos="8504" w:val="left"/>
        </w:tabs>
        <w:spacing w:after="60"/>
      </w:pPr>
      <w:r>
        <w:rPr>
          <w:rFonts w:ascii="Calibri" w:hAnsi="Calibri"/>
          <w:sz w:val="22"/>
        </w:rPr>
        <w:t xml:space="preserve">   4.4 Statü Dağılımı</w:t>
      </w:r>
      <w:r>
        <w:rPr>
          <w:color w:val="333333"/>
          <w:sz w:val="22"/>
        </w:rPr>
        <w:tab/>
        <w:t>39</w:t>
      </w:r>
    </w:p>
    <w:p>
      <w:pPr>
        <w:tabs>
          <w:tab w:pos="8504" w:val="left"/>
        </w:tabs>
        <w:spacing w:after="60"/>
      </w:pPr>
      <w:r>
        <w:rPr>
          <w:rFonts w:ascii="Calibri" w:hAnsi="Calibri"/>
          <w:sz w:val="22"/>
        </w:rPr>
        <w:t xml:space="preserve">   4.5 ML Sınıflandırıcı Karşılaştırma</w:t>
      </w:r>
      <w:r>
        <w:rPr>
          <w:color w:val="333333"/>
          <w:sz w:val="22"/>
        </w:rPr>
        <w:tab/>
        <w:t>40</w:t>
      </w:r>
    </w:p>
    <w:p>
      <w:pPr>
        <w:tabs>
          <w:tab w:pos="8504" w:val="left"/>
        </w:tabs>
        <w:spacing w:after="60"/>
      </w:pPr>
      <w:r>
        <w:rPr>
          <w:rFonts w:ascii="Calibri" w:hAnsi="Calibri"/>
          <w:sz w:val="22"/>
        </w:rPr>
        <w:t xml:space="preserve">   4.6 Trend Senaryoları</w:t>
      </w:r>
      <w:r>
        <w:rPr>
          <w:color w:val="333333"/>
          <w:sz w:val="22"/>
        </w:rPr>
        <w:tab/>
        <w:t>41</w:t>
      </w:r>
    </w:p>
    <w:p>
      <w:pPr>
        <w:tabs>
          <w:tab w:pos="8504" w:val="left"/>
        </w:tabs>
        <w:spacing w:after="60"/>
      </w:pPr>
      <w:r>
        <w:rPr>
          <w:rFonts w:ascii="Calibri" w:hAnsi="Calibri"/>
          <w:sz w:val="22"/>
        </w:rPr>
        <w:t xml:space="preserve">   4.7 Çift Dönem Üretim Sonuçları</w:t>
      </w:r>
      <w:r>
        <w:rPr>
          <w:color w:val="333333"/>
          <w:sz w:val="22"/>
        </w:rPr>
        <w:tab/>
        <w:t>42</w:t>
      </w:r>
    </w:p>
    <w:p>
      <w:pPr>
        <w:tabs>
          <w:tab w:pos="8504" w:val="left"/>
        </w:tabs>
        <w:spacing w:after="60"/>
      </w:pPr>
      <w:r>
        <w:rPr>
          <w:rFonts w:ascii="Calibri" w:hAnsi="Calibri"/>
          <w:sz w:val="22"/>
        </w:rPr>
        <w:t xml:space="preserve">   4.8 Açıklanabilirlik ve Sonuç Yorumu</w:t>
      </w:r>
      <w:r>
        <w:rPr>
          <w:color w:val="333333"/>
          <w:sz w:val="22"/>
        </w:rPr>
        <w:tab/>
        <w:t>43</w:t>
      </w:r>
    </w:p>
    <w:p>
      <w:pPr>
        <w:tabs>
          <w:tab w:pos="8504" w:val="left"/>
        </w:tabs>
        <w:spacing w:after="60"/>
      </w:pPr>
      <w:r>
        <w:rPr>
          <w:rFonts w:ascii="Calibri" w:hAnsi="Calibri"/>
          <w:b/>
          <w:color w:val="1F4E79"/>
          <w:sz w:val="22"/>
        </w:rPr>
        <w:t>5. UYGULAMANIN ADIM ADIM EKRAN GÖRÜNTÜLERİ</w:t>
      </w:r>
      <w:r>
        <w:rPr>
          <w:color w:val="333333"/>
          <w:sz w:val="22"/>
        </w:rPr>
        <w:tab/>
        <w:t>44</w:t>
      </w:r>
    </w:p>
    <w:p>
      <w:pPr>
        <w:tabs>
          <w:tab w:pos="8504" w:val="left"/>
        </w:tabs>
        <w:spacing w:after="60"/>
      </w:pPr>
      <w:r>
        <w:rPr>
          <w:rFonts w:ascii="Calibri" w:hAnsi="Calibri"/>
          <w:sz w:val="22"/>
        </w:rPr>
        <w:t xml:space="preserve">   5.1 Üst Sekme Yapısı</w:t>
      </w:r>
      <w:r>
        <w:rPr>
          <w:color w:val="333333"/>
          <w:sz w:val="22"/>
        </w:rPr>
        <w:tab/>
        <w:t>44</w:t>
      </w:r>
    </w:p>
    <w:p>
      <w:pPr>
        <w:tabs>
          <w:tab w:pos="8504" w:val="left"/>
        </w:tabs>
        <w:spacing w:after="60"/>
      </w:pPr>
      <w:r>
        <w:rPr>
          <w:rFonts w:ascii="Calibri" w:hAnsi="Calibri"/>
          <w:sz w:val="22"/>
        </w:rPr>
        <w:t xml:space="preserve">   5.2 Rapor &amp; Yükleme Sekmesi</w:t>
      </w:r>
      <w:r>
        <w:rPr>
          <w:color w:val="333333"/>
          <w:sz w:val="22"/>
        </w:rPr>
        <w:tab/>
        <w:t>45</w:t>
      </w:r>
    </w:p>
    <w:p>
      <w:pPr>
        <w:tabs>
          <w:tab w:pos="8504" w:val="left"/>
        </w:tabs>
        <w:spacing w:after="60"/>
      </w:pPr>
      <w:r>
        <w:rPr>
          <w:rFonts w:ascii="Calibri" w:hAnsi="Calibri"/>
          <w:sz w:val="22"/>
        </w:rPr>
        <w:t xml:space="preserve">   5.3 Tablo Görüntüle Sekmesi</w:t>
      </w:r>
      <w:r>
        <w:rPr>
          <w:color w:val="333333"/>
          <w:sz w:val="22"/>
        </w:rPr>
        <w:tab/>
        <w:t>47</w:t>
      </w:r>
    </w:p>
    <w:p>
      <w:pPr>
        <w:tabs>
          <w:tab w:pos="8504" w:val="left"/>
        </w:tabs>
        <w:spacing w:after="60"/>
      </w:pPr>
      <w:r>
        <w:rPr>
          <w:rFonts w:ascii="Calibri" w:hAnsi="Calibri"/>
          <w:sz w:val="22"/>
        </w:rPr>
        <w:t xml:space="preserve">   5.4 Analiz &amp; Grafik Sekmesi</w:t>
      </w:r>
      <w:r>
        <w:rPr>
          <w:color w:val="333333"/>
          <w:sz w:val="22"/>
        </w:rPr>
        <w:tab/>
        <w:t>48</w:t>
      </w:r>
    </w:p>
    <w:p>
      <w:pPr>
        <w:tabs>
          <w:tab w:pos="8504" w:val="left"/>
        </w:tabs>
        <w:spacing w:after="60"/>
      </w:pPr>
      <w:r>
        <w:rPr>
          <w:rFonts w:ascii="Calibri" w:hAnsi="Calibri"/>
          <w:sz w:val="22"/>
        </w:rPr>
        <w:t xml:space="preserve">   5.5 Hesaplama &amp; Test Sekmesi</w:t>
      </w:r>
      <w:r>
        <w:rPr>
          <w:color w:val="333333"/>
          <w:sz w:val="22"/>
        </w:rPr>
        <w:tab/>
        <w:t>49</w:t>
      </w:r>
    </w:p>
    <w:p>
      <w:pPr>
        <w:tabs>
          <w:tab w:pos="8504" w:val="left"/>
        </w:tabs>
        <w:spacing w:after="60"/>
      </w:pPr>
      <w:r>
        <w:rPr>
          <w:rFonts w:ascii="Calibri" w:hAnsi="Calibri"/>
          <w:sz w:val="22"/>
        </w:rPr>
        <w:t xml:space="preserve">   5.6 Yıllık İş Akışı Senaryosu</w:t>
      </w:r>
      <w:r>
        <w:rPr>
          <w:color w:val="333333"/>
          <w:sz w:val="22"/>
        </w:rPr>
        <w:tab/>
        <w:t>50</w:t>
      </w:r>
    </w:p>
    <w:p>
      <w:pPr>
        <w:tabs>
          <w:tab w:pos="8504" w:val="left"/>
        </w:tabs>
        <w:spacing w:after="60"/>
      </w:pPr>
      <w:r>
        <w:rPr>
          <w:rFonts w:ascii="Calibri" w:hAnsi="Calibri"/>
          <w:b/>
          <w:color w:val="1F4E79"/>
          <w:sz w:val="22"/>
        </w:rPr>
        <w:t>6. SONUÇ VE DEĞERLENDİRME</w:t>
      </w:r>
      <w:r>
        <w:rPr>
          <w:color w:val="333333"/>
          <w:sz w:val="22"/>
        </w:rPr>
        <w:tab/>
        <w:t>52</w:t>
      </w:r>
    </w:p>
    <w:p>
      <w:pPr>
        <w:tabs>
          <w:tab w:pos="8504" w:val="left"/>
        </w:tabs>
        <w:spacing w:after="60"/>
      </w:pPr>
      <w:r>
        <w:rPr>
          <w:rFonts w:ascii="Calibri" w:hAnsi="Calibri"/>
          <w:sz w:val="22"/>
        </w:rPr>
        <w:t xml:space="preserve">   6.1 Elde Edilen Sonuçlar</w:t>
      </w:r>
      <w:r>
        <w:rPr>
          <w:color w:val="333333"/>
          <w:sz w:val="22"/>
        </w:rPr>
        <w:tab/>
        <w:t>52</w:t>
      </w:r>
    </w:p>
    <w:p>
      <w:pPr>
        <w:tabs>
          <w:tab w:pos="8504" w:val="left"/>
        </w:tabs>
        <w:spacing w:after="60"/>
      </w:pPr>
      <w:r>
        <w:rPr>
          <w:rFonts w:ascii="Calibri" w:hAnsi="Calibri"/>
          <w:sz w:val="22"/>
        </w:rPr>
        <w:t xml:space="preserve">   6.2 Sistemin Güçlü Yönleri</w:t>
      </w:r>
      <w:r>
        <w:rPr>
          <w:color w:val="333333"/>
          <w:sz w:val="22"/>
        </w:rPr>
        <w:tab/>
        <w:t>53</w:t>
      </w:r>
    </w:p>
    <w:p>
      <w:pPr>
        <w:tabs>
          <w:tab w:pos="8504" w:val="left"/>
        </w:tabs>
        <w:spacing w:after="60"/>
      </w:pPr>
      <w:r>
        <w:rPr>
          <w:rFonts w:ascii="Calibri" w:hAnsi="Calibri"/>
          <w:sz w:val="22"/>
        </w:rPr>
        <w:t xml:space="preserve">   6.3 Sınırlılıklar</w:t>
      </w:r>
      <w:r>
        <w:rPr>
          <w:color w:val="333333"/>
          <w:sz w:val="22"/>
        </w:rPr>
        <w:tab/>
        <w:t>54</w:t>
      </w:r>
    </w:p>
    <w:p>
      <w:pPr>
        <w:tabs>
          <w:tab w:pos="8504" w:val="left"/>
        </w:tabs>
        <w:spacing w:after="60"/>
      </w:pPr>
      <w:r>
        <w:rPr>
          <w:rFonts w:ascii="Calibri" w:hAnsi="Calibri"/>
          <w:sz w:val="22"/>
        </w:rPr>
        <w:t xml:space="preserve">   6.4 Gelecek Çalışmalar</w:t>
      </w:r>
      <w:r>
        <w:rPr>
          <w:color w:val="333333"/>
          <w:sz w:val="22"/>
        </w:rPr>
        <w:tab/>
        <w:t>54</w:t>
      </w:r>
    </w:p>
    <w:p>
      <w:pPr>
        <w:tabs>
          <w:tab w:pos="8504" w:val="left"/>
        </w:tabs>
        <w:spacing w:after="60"/>
      </w:pPr>
      <w:r>
        <w:rPr>
          <w:rFonts w:ascii="Calibri" w:hAnsi="Calibri"/>
          <w:b/>
          <w:color w:val="1F4E79"/>
          <w:sz w:val="22"/>
        </w:rPr>
        <w:t>KAYNAKLAR</w:t>
      </w:r>
      <w:r>
        <w:rPr>
          <w:color w:val="333333"/>
          <w:sz w:val="22"/>
        </w:rPr>
        <w:tab/>
        <w:t>56</w:t>
      </w:r>
    </w:p>
    <w:p>
      <w:pPr>
        <w:tabs>
          <w:tab w:pos="8504" w:val="left"/>
        </w:tabs>
        <w:spacing w:after="60"/>
      </w:pPr>
      <w:r>
        <w:rPr>
          <w:rFonts w:ascii="Calibri" w:hAnsi="Calibri"/>
          <w:b/>
          <w:color w:val="1F4E79"/>
          <w:sz w:val="22"/>
        </w:rPr>
        <w:t>EKLER</w:t>
      </w:r>
      <w:r>
        <w:rPr>
          <w:color w:val="333333"/>
          <w:sz w:val="22"/>
        </w:rPr>
        <w:tab/>
        <w:t>57</w:t>
      </w:r>
    </w:p>
    <w:p>
      <w:r>
        <w:br w:type="page"/>
      </w:r>
    </w:p>
    <w:p>
      <w:pPr>
        <w:pStyle w:val="Title"/>
      </w:pPr>
      <w:r>
        <w:rPr>
          <w:rFonts w:ascii="Calibri" w:hAnsi="Calibri"/>
          <w:color w:val="1F4E79"/>
          <w:sz w:val="56"/>
        </w:rPr>
        <w:t>ÖZET</w:t>
      </w:r>
    </w:p>
    <w:p>
      <w:pPr>
        <w:spacing w:after="120"/>
      </w:pPr>
      <w:r>
        <w:rPr>
          <w:rFonts w:ascii="Calibri" w:hAnsi="Calibri"/>
          <w:b w:val="0"/>
          <w:i w:val="0"/>
          <w:sz w:val="22"/>
        </w:rPr>
        <w:t>Üniversitelerde seçmeli ders planlaması, yalnızca akademik bir tercih meselesi değil; veriye dayalı, izlenebilir ve adil bir karar süreci gerektiren karmaşık bir operasyonel problemdir. Bir ders bir sonraki yıl müfredatta kalmalı mı, havuza mı alınmalı, dinlenmeye mi çekilmeli yoksa kalıcı olarak iptal mi edilmeli? Hangi öğrenci hangi seçmeliyi alabilir? Geçmiş yıllarda zaten düşük performans göstermiş bir ders her yıl yeniden açılmaya devam etmeli midir? Bu sorular tek tek bireysel kararlarla değil, kurumsal bir akademik hafıza ve şeffaf bir karar mekanizmasıyla yanıtlanmalıdır.</w:t>
      </w:r>
    </w:p>
    <w:p>
      <w:pPr>
        <w:spacing w:after="120"/>
      </w:pPr>
      <w:r>
        <w:rPr>
          <w:rFonts w:ascii="Calibri" w:hAnsi="Calibri"/>
          <w:b w:val="0"/>
          <w:i w:val="0"/>
          <w:sz w:val="22"/>
        </w:rPr>
        <w:t>Bu kapsamda hazırlanan ADİL SEÇMELİ projesi; bir Tkinter masaüstü uygulaması, bir FastAPI REST API yüzeyi, bir benchmark platformu ve çok katmanlı bir servis mimarisinden oluşan veriye dayalı bir karar destek sistemidir. Sistem; AHP (Analytic Hierarchy Process) ile kriter ağırlıklarını, TOPSIS ile çok kriterli ders sıralamasını, üç yıl ağırlıklı trend analizi ile geçmişin etkisini, kural motoru ve eşiklerle akademik kuralları, state machine ile dersin yıllar arası durumunu birleştirerek açıklanabilir bir karar üretir.</w:t>
      </w:r>
    </w:p>
    <w:p>
      <w:pPr>
        <w:spacing w:after="120"/>
      </w:pPr>
      <w:r>
        <w:rPr>
          <w:rFonts w:ascii="Calibri" w:hAnsi="Calibri"/>
          <w:b w:val="0"/>
          <w:i w:val="0"/>
          <w:sz w:val="22"/>
        </w:rPr>
        <w:t>Çalışmanın ikinci ayağı, üretim kararı vermeyen ancak karşılaştırma ve doğrulama için hayati olan bir algoritma benchmark platformudur. VIKOR, PROMETHEE, Linear Regression, Decision Tree, Random Forest, Naive Bayes, XGBoost/Gradient Boosting, KMeans, Hierarchical Clustering, DBSCAN ve Gale-Shapley başta olmak üzere 25’i aşkın algoritma, ortak arayüzlerle aynı kontrat üzerinden çalıştırılır. Bu sayede üretim kararını veren AHP+TOPSIS+kural hattının diğer yaklaşımlar karşısındaki konumu tablolar, grafikler ve metriklerle ölçülebilir.</w:t>
      </w:r>
    </w:p>
    <w:p>
      <w:pPr>
        <w:spacing w:after="120"/>
      </w:pPr>
      <w:r>
        <w:rPr>
          <w:rFonts w:ascii="Calibri" w:hAnsi="Calibri"/>
          <w:b w:val="0"/>
          <w:i w:val="0"/>
          <w:sz w:val="22"/>
        </w:rPr>
        <w:t>Sonuçlar; sistemin yalnızca "hangi ders kaldı, hangi ders düştü?" sorusuna sayısal cevap vermekle kalmadığını, aynı zamanda "Bu ders neden bu skoru aldı, hangi kriter ne kadar etkiledi, dersin geçmişi nedir, bir sonraki yıl dinlenmeye mi gidiyor?" gibi açıklanabilirlik sorularına da yanıt verebildiğini göstermektedir. Sistem aynı zamanda kriter eksikliğinde algoritmayı durdurarak veri olmayan bir kararın üretilmesini engeller ve geçmiş kararları denetim (audit) tablolarında saklayarak yıllar arası kurumsal hafıza oluşturur.</w:t>
      </w:r>
    </w:p>
    <w:p>
      <w:pPr>
        <w:spacing w:after="120"/>
      </w:pPr>
      <w:r>
        <w:rPr>
          <w:rFonts w:ascii="Calibri" w:hAnsi="Calibri"/>
          <w:b/>
          <w:i w:val="0"/>
          <w:sz w:val="22"/>
        </w:rPr>
        <w:t>Anahtar Kelimeler:</w:t>
      </w:r>
    </w:p>
    <w:p>
      <w:pPr>
        <w:spacing w:after="120"/>
      </w:pPr>
      <w:r>
        <w:rPr>
          <w:rFonts w:ascii="Calibri" w:hAnsi="Calibri"/>
          <w:b w:val="0"/>
          <w:i/>
          <w:sz w:val="22"/>
        </w:rPr>
        <w:t>Karar Destek Sistemi, AHP, TOPSIS, Çok Kriterli Karar Verme, Trend Analizi, State Machine, Müfredat Yönetimi, Seçmeli Ders, Benchmark Platformu, Tkinter, FastAPI, SQLite.</w:t>
      </w:r>
    </w:p>
    <w:p>
      <w:r>
        <w:br w:type="page"/>
      </w:r>
    </w:p>
    <w:p>
      <w:pPr>
        <w:pStyle w:val="Title"/>
      </w:pPr>
      <w:r>
        <w:rPr>
          <w:rFonts w:ascii="Calibri" w:hAnsi="Calibri"/>
          <w:color w:val="1F4E79"/>
          <w:sz w:val="56"/>
        </w:rPr>
        <w:t>ABSTRACT</w:t>
      </w:r>
    </w:p>
    <w:p>
      <w:pPr>
        <w:spacing w:after="120"/>
      </w:pPr>
      <w:r>
        <w:rPr>
          <w:rFonts w:ascii="Calibri" w:hAnsi="Calibri"/>
          <w:b w:val="0"/>
          <w:i w:val="0"/>
          <w:sz w:val="22"/>
        </w:rPr>
        <w:t>ADİL SEÇMELİ is a data-driven decision support system that aims to make elective course management at universities measurable, explainable, traceable and fair. The system combines a Tkinter desktop application, a FastAPI REST surface, an algorithm benchmark platform and a layered service architecture, all backed by an SQLite database and SQLAlchemy ORM.</w:t>
      </w:r>
    </w:p>
    <w:p>
      <w:pPr>
        <w:spacing w:after="120"/>
      </w:pPr>
      <w:r>
        <w:rPr>
          <w:rFonts w:ascii="Calibri" w:hAnsi="Calibri"/>
          <w:b w:val="0"/>
          <w:i w:val="0"/>
          <w:sz w:val="22"/>
        </w:rPr>
        <w:t>The production decision pipeline uses AHP to derive criteria weights with a consistency-ratio check, TOPSIS to rank courses across multiple criteria, a weighted 3-year trend to incorporate history, a rule engine for academic thresholds and a state machine that tracks each course as it moves between curriculum, pool, rest and permanent cancellation states. Side by side, a benchmark platform exposes more than 25 algorithms — VIKOR, PROMETHEE, Random Forest, Decision Tree, XGBoost, KMeans, Gale-Shapley and others — through a common interface so that decision quality can be measured against a wide range of alternatives.</w:t>
      </w:r>
    </w:p>
    <w:p>
      <w:pPr>
        <w:spacing w:after="120"/>
      </w:pPr>
      <w:r>
        <w:rPr>
          <w:rFonts w:ascii="Calibri" w:hAnsi="Calibri"/>
          <w:b w:val="0"/>
          <w:i w:val="0"/>
          <w:sz w:val="22"/>
        </w:rPr>
        <w:t>Experimental results confirm that the production pipeline produces consistent and explainable rankings, that data-quality issues such as degenerate inputs are detected by the system, and that the benchmark platform makes it possible to compare classification, ranking, clustering and allocation algorithms under identical conditions.</w:t>
      </w:r>
    </w:p>
    <w:p>
      <w:pPr>
        <w:spacing w:after="120"/>
      </w:pPr>
      <w:r>
        <w:rPr>
          <w:rFonts w:ascii="Calibri" w:hAnsi="Calibri"/>
          <w:b/>
          <w:i w:val="0"/>
          <w:sz w:val="22"/>
        </w:rPr>
        <w:t>Keywords:</w:t>
      </w:r>
    </w:p>
    <w:p>
      <w:pPr>
        <w:spacing w:after="120"/>
      </w:pPr>
      <w:r>
        <w:rPr>
          <w:rFonts w:ascii="Calibri" w:hAnsi="Calibri"/>
          <w:b w:val="0"/>
          <w:i/>
          <w:sz w:val="22"/>
        </w:rPr>
        <w:t>Decision Support System, AHP, TOPSIS, Multi-Criteria Decision Making, Trend Analysis, State Machine, Elective Course Management, Benchmark Platform, Tkinter, FastAPI, SQLite.</w:t>
      </w:r>
    </w:p>
    <w:p>
      <w:r>
        <w:br w:type="page"/>
      </w:r>
    </w:p>
    <w:p>
      <w:pPr>
        <w:pStyle w:val="Title"/>
      </w:pPr>
      <w:r>
        <w:rPr>
          <w:rFonts w:ascii="Calibri" w:hAnsi="Calibri"/>
          <w:color w:val="1F4E79"/>
          <w:sz w:val="56"/>
        </w:rPr>
        <w:t>1. GİRİŞ</w:t>
      </w:r>
    </w:p>
    <w:p>
      <w:pPr>
        <w:pStyle w:val="Heading1"/>
      </w:pPr>
      <w:r>
        <w:rPr>
          <w:rFonts w:ascii="Calibri" w:hAnsi="Calibri"/>
          <w:color w:val="1F4E79"/>
          <w:sz w:val="40"/>
        </w:rPr>
        <w:t>1.1 Problemin Tanımı</w:t>
      </w:r>
    </w:p>
    <w:p>
      <w:pPr>
        <w:spacing w:after="120"/>
      </w:pPr>
      <w:r>
        <w:rPr>
          <w:rFonts w:ascii="Calibri" w:hAnsi="Calibri"/>
          <w:b w:val="0"/>
          <w:i w:val="0"/>
          <w:sz w:val="22"/>
        </w:rPr>
        <w:t>Üniversitelerde seçmeli ders planlaması; akademik birim (fakülte/bölüm), yıl, dönem (güz/bahar), kontenjan, ön koşul, öğretim elemanı uygunluğu, öğrenci talebi, başarı oranı, anket tercihi ve geçmiş yıl performansı gibi pek çok boyutu aynı anda ilgilendiren karmaşık bir karar problemidir. Klasik uygulamada bu kararlar büyük ölçüde komisyon toplantıları, deneyim, kişisel izlenim veya basit Excel tablolarına dayanır. Bu yöntemlerin üç ciddi sorunu vardır:</w:t>
      </w:r>
    </w:p>
    <w:p>
      <w:pPr>
        <w:pStyle w:val="ListBullet"/>
      </w:pPr>
      <w:r>
        <w:rPr>
          <w:rFonts w:ascii="Calibri" w:hAnsi="Calibri"/>
          <w:sz w:val="22"/>
        </w:rPr>
        <w:t>Aynı kararların farklı yıllarda farklı kişilerce farklı ölçütlerle alınması karar tutarsızlığı yaratır.</w:t>
      </w:r>
    </w:p>
    <w:p>
      <w:pPr>
        <w:pStyle w:val="ListBullet"/>
      </w:pPr>
      <w:r>
        <w:rPr>
          <w:rFonts w:ascii="Calibri" w:hAnsi="Calibri"/>
          <w:sz w:val="22"/>
        </w:rPr>
        <w:t>Bir dersin neden açıldığı veya kapatıldığı belgelenmediği için ileride bu kararlar denetlenemez.</w:t>
      </w:r>
    </w:p>
    <w:p>
      <w:pPr>
        <w:pStyle w:val="ListBullet"/>
      </w:pPr>
      <w:r>
        <w:rPr>
          <w:rFonts w:ascii="Calibri" w:hAnsi="Calibri"/>
          <w:sz w:val="22"/>
        </w:rPr>
        <w:t>Geçen yıl başarılı olan bir dersin neden bu yıl müfredattan düştüğüne dair sayısal bir gerekçe genellikle yoktur.</w:t>
      </w:r>
    </w:p>
    <w:p>
      <w:pPr>
        <w:spacing w:after="120"/>
      </w:pPr>
      <w:r>
        <w:rPr>
          <w:rFonts w:ascii="Calibri" w:hAnsi="Calibri"/>
          <w:b w:val="0"/>
          <w:i w:val="0"/>
          <w:sz w:val="22"/>
        </w:rPr>
        <w:t>ADİL SEÇMELİ projesi tam olarak bu üç sorunu hedef alır. Sistem; seçmeli ders kararlarını kişisel yorumdan çıkarıp ölçülebilir, tekrarlanabilir, denetlenebilir ve açıklanabilir bir karar sürecine dönüştürmeyi amaçlar. Karar veren kişi (bölüm başkanı, fakülte yönetimi, müfredat komisyonu) sistemi devre dışı bırakmaz — sistemi nesnel bir referans, hızlı bir analiz ve kurumsal hafıza katmanı olarak kullanır.</w:t>
      </w:r>
    </w:p>
    <w:p>
      <w:pPr>
        <w:pStyle w:val="Heading1"/>
      </w:pPr>
      <w:r>
        <w:rPr>
          <w:rFonts w:ascii="Calibri" w:hAnsi="Calibri"/>
          <w:color w:val="1F4E79"/>
          <w:sz w:val="40"/>
        </w:rPr>
        <w:t>1.2 Projenin Amacı</w:t>
      </w:r>
    </w:p>
    <w:p>
      <w:pPr>
        <w:spacing w:after="120"/>
      </w:pPr>
      <w:r>
        <w:rPr>
          <w:rFonts w:ascii="Calibri" w:hAnsi="Calibri"/>
          <w:b w:val="0"/>
          <w:i w:val="0"/>
          <w:sz w:val="22"/>
        </w:rPr>
        <w:t>Projenin temel amacı; bir seçmeli dersin müfredatta kalması, havuza düşmesi, dinlenmeye alınması veya kalıcı olarak iptal edilmesi kararını, ölçülebilir kriterler ve şeffaf bir matematik üzerinden üretmektir. Bunu yaparken yalnızca tek bir yılın verisine değil, geçmiş yılların eğilimine, anket tercihlerine, doluluk oranına ve akademik kurallara da bakılır.</w:t>
      </w:r>
    </w:p>
    <w:p>
      <w:pPr>
        <w:spacing w:after="120"/>
      </w:pPr>
      <w:r>
        <w:rPr>
          <w:rFonts w:ascii="Calibri" w:hAnsi="Calibri"/>
          <w:b/>
          <w:i w:val="0"/>
          <w:sz w:val="22"/>
        </w:rPr>
        <w:t>Ana hedefler:</w:t>
      </w:r>
    </w:p>
    <w:p>
      <w:pPr>
        <w:pStyle w:val="ListNumber"/>
      </w:pPr>
      <w:r>
        <w:rPr>
          <w:rFonts w:ascii="Calibri" w:hAnsi="Calibri"/>
          <w:sz w:val="22"/>
        </w:rPr>
        <w:t>Veriye dayalı karar üretmek: Başarı oranı, not ortalaması, doluluk, anket tercihi ve geçmiş trend birlikte değerlendirilir.</w:t>
      </w:r>
    </w:p>
    <w:p>
      <w:pPr>
        <w:pStyle w:val="ListNumber"/>
      </w:pPr>
      <w:r>
        <w:rPr>
          <w:rFonts w:ascii="Calibri" w:hAnsi="Calibri"/>
          <w:sz w:val="22"/>
        </w:rPr>
        <w:t>Müfredat/havuz yaşam döngüsünü yönetmek: Bir ders ilk açıldığı andan kalıcı iptale kadar tüm yıllarda izlenir; sayaç ve durum geçişleri otomatik tutulur.</w:t>
      </w:r>
    </w:p>
    <w:p>
      <w:pPr>
        <w:pStyle w:val="ListNumber"/>
      </w:pPr>
      <w:r>
        <w:rPr>
          <w:rFonts w:ascii="Calibri" w:hAnsi="Calibri"/>
          <w:sz w:val="22"/>
        </w:rPr>
        <w:t>Açıklanabilirlik sunmak: Tek tıkla AHP ağırlığı, TOPSIS skoru, eşik durumu, state machine adımı ve karar gerekçesi bir arada raporlanır.</w:t>
      </w:r>
    </w:p>
    <w:p>
      <w:pPr>
        <w:pStyle w:val="ListNumber"/>
      </w:pPr>
      <w:r>
        <w:rPr>
          <w:rFonts w:ascii="Calibri" w:hAnsi="Calibri"/>
          <w:sz w:val="22"/>
        </w:rPr>
        <w:t>Kurumsal hafıza oluşturmak: Hangi yıl, hangi kapsamda, hangi import dosyasından hangi kararın çıktığı denetim tablolarında saklanır.</w:t>
      </w:r>
    </w:p>
    <w:p>
      <w:pPr>
        <w:pStyle w:val="ListNumber"/>
      </w:pPr>
      <w:r>
        <w:rPr>
          <w:rFonts w:ascii="Calibri" w:hAnsi="Calibri"/>
          <w:sz w:val="22"/>
        </w:rPr>
        <w:t>Adil tercih yönetimi: Aynı dersin her yıl rastgele yeniden seçilmemesi, başarısız bir dersin kalıcı olarak gözden çıkarılması ve yeni derslerin sisteme dahil olabilmesi için kural tabanlı denetim sağlanır.</w:t>
      </w:r>
    </w:p>
    <w:p>
      <w:pPr>
        <w:pStyle w:val="ListNumber"/>
      </w:pPr>
      <w:r>
        <w:rPr>
          <w:rFonts w:ascii="Calibri" w:hAnsi="Calibri"/>
          <w:sz w:val="22"/>
        </w:rPr>
        <w:t>Akademik kapsamı korumak: Tüm karar süreci fakülte/bölüm/yıl/dönem kapsamında çalışır; bölüm dışı ders kullanımı denetim altına alınır.</w:t>
      </w:r>
    </w:p>
    <w:p>
      <w:pPr>
        <w:pStyle w:val="ListNumber"/>
      </w:pPr>
      <w:r>
        <w:rPr>
          <w:rFonts w:ascii="Calibri" w:hAnsi="Calibri"/>
          <w:sz w:val="22"/>
        </w:rPr>
        <w:t>Algoritmaları karşılaştırılabilir hale getirmek: Üretim kararıyla diğer MCDM, ML ve allocation algoritmalarının nasıl konumlandığı benchmark platformunda ölçülür.</w:t>
      </w:r>
    </w:p>
    <w:p>
      <w:pPr>
        <w:pStyle w:val="Heading1"/>
      </w:pPr>
      <w:r>
        <w:rPr>
          <w:rFonts w:ascii="Calibri" w:hAnsi="Calibri"/>
          <w:color w:val="1F4E79"/>
          <w:sz w:val="40"/>
        </w:rPr>
        <w:t>1.3 Projenin Kapsamı</w:t>
      </w:r>
    </w:p>
    <w:p>
      <w:pPr>
        <w:spacing w:after="120"/>
      </w:pPr>
      <w:r>
        <w:rPr>
          <w:rFonts w:ascii="Calibri" w:hAnsi="Calibri"/>
          <w:b w:val="0"/>
          <w:i w:val="0"/>
          <w:sz w:val="22"/>
        </w:rPr>
        <w:t>Proje üç ana bileşenden oluşur:</w:t>
      </w:r>
    </w:p>
    <w:p>
      <w:pPr>
        <w:pStyle w:val="ListBullet"/>
      </w:pPr>
      <w:r>
        <w:rPr>
          <w:rFonts w:ascii="Calibri" w:hAnsi="Calibri"/>
          <w:sz w:val="22"/>
        </w:rPr>
        <w:t>Tkinter Masaüstü Uygulaması — Karar verici kullanıcıların veritabanını incelediği, kriterleri girdiği veya Excel ile yüklediği, analizleri çalıştırdığı, müfredat/havuz raporlarını aldığı ana yüzey.</w:t>
      </w:r>
    </w:p>
    <w:p>
      <w:pPr>
        <w:pStyle w:val="ListBullet"/>
      </w:pPr>
      <w:r>
        <w:rPr>
          <w:rFonts w:ascii="Calibri" w:hAnsi="Calibri"/>
          <w:sz w:val="22"/>
        </w:rPr>
        <w:t>FastAPI REST API — Aynı servis katmanını HTTP üzerinden dış sistemlere (öğrenci işleri, anket sistemleri, dashboardlar) açan kanal.</w:t>
      </w:r>
    </w:p>
    <w:p>
      <w:pPr>
        <w:pStyle w:val="ListBullet"/>
      </w:pPr>
      <w:r>
        <w:rPr>
          <w:rFonts w:ascii="Calibri" w:hAnsi="Calibri"/>
          <w:sz w:val="22"/>
        </w:rPr>
        <w:t>Benchmark Platformu — Sistemde tanımlı 25’i aşkın algoritmayı ortak arayüzle çalıştıran ve karşılaştırmalı sonuç üreten alt sistem.</w:t>
      </w:r>
    </w:p>
    <w:p>
      <w:pPr>
        <w:spacing w:after="120"/>
      </w:pPr>
      <w:r>
        <w:rPr>
          <w:rFonts w:ascii="Calibri" w:hAnsi="Calibri"/>
          <w:b w:val="0"/>
          <w:i w:val="0"/>
          <w:sz w:val="22"/>
        </w:rPr>
        <w:t>Kapsam dışında bırakılanlar: Öğrenci kimlik doğrulama, ödeme, transkript yönetimi gibi geniş çaplı OBS bileşenleri bu projenin doğrudan hedefi değildir. Sistem bu tür sistemlerle entegre olmak üzere REST API üzerinden veri sunar; ancak ana karar alanı seçmeli ders planlamasıdır.</w:t>
      </w:r>
    </w:p>
    <w:p>
      <w:pPr>
        <w:pStyle w:val="Heading1"/>
      </w:pPr>
      <w:r>
        <w:rPr>
          <w:rFonts w:ascii="Calibri" w:hAnsi="Calibri"/>
          <w:color w:val="1F4E79"/>
          <w:sz w:val="40"/>
        </w:rPr>
        <w:t>1.4 Önemli Tanımlar</w:t>
      </w:r>
    </w:p>
    <w:tbl>
      <w:tblPr>
        <w:tblStyle w:val="LightGrid-Accent1"/>
        <w:tblW w:type="auto" w:w="0"/>
        <w:jc w:val="center"/>
        <w:tblLook w:firstColumn="1" w:firstRow="1" w:lastColumn="0" w:lastRow="0" w:noHBand="0" w:noVBand="1" w:val="04A0"/>
      </w:tblPr>
      <w:tblGrid>
        <w:gridCol w:w="4788"/>
        <w:gridCol w:w="4788"/>
      </w:tblGrid>
      <w:tr>
        <w:tc>
          <w:tcPr>
            <w:tcW w:type="dxa" w:w="2551"/>
            <w:shd w:fill="1F4E79" w:val="clear"/>
            <w:vAlign w:val="center"/>
          </w:tcPr>
          <w:p>
            <w:r/>
            <w:r>
              <w:rPr>
                <w:b/>
                <w:color w:val="FFFFFF"/>
                <w:sz w:val="22"/>
              </w:rPr>
              <w:t>Terim</w:t>
            </w:r>
          </w:p>
        </w:tc>
        <w:tc>
          <w:tcPr>
            <w:tcW w:type="dxa" w:w="6236"/>
            <w:shd w:fill="1F4E79" w:val="clear"/>
            <w:vAlign w:val="center"/>
          </w:tcPr>
          <w:p>
            <w:r/>
            <w:r>
              <w:rPr>
                <w:b/>
                <w:color w:val="FFFFFF"/>
                <w:sz w:val="22"/>
              </w:rPr>
              <w:t>Açıklama</w:t>
            </w:r>
          </w:p>
        </w:tc>
      </w:tr>
      <w:tr>
        <w:tc>
          <w:tcPr>
            <w:tcW w:type="dxa" w:w="2551"/>
            <w:vAlign w:val="center"/>
          </w:tcPr>
          <w:p>
            <w:r/>
            <w:r>
              <w:rPr>
                <w:sz w:val="20"/>
              </w:rPr>
              <w:t>Müfredat</w:t>
            </w:r>
          </w:p>
        </w:tc>
        <w:tc>
          <w:tcPr>
            <w:tcW w:type="dxa" w:w="6236"/>
            <w:vAlign w:val="center"/>
          </w:tcPr>
          <w:p>
            <w:r/>
            <w:r>
              <w:rPr>
                <w:sz w:val="20"/>
              </w:rPr>
              <w:t>Bir fakülte/bölüm/yıl için resmen kabul edilmiş ders listesi.</w:t>
            </w:r>
          </w:p>
        </w:tc>
      </w:tr>
      <w:tr>
        <w:tc>
          <w:tcPr>
            <w:tcW w:type="dxa" w:w="2551"/>
            <w:vAlign w:val="center"/>
            <w:shd w:fill="F2F6FA" w:val="clear"/>
          </w:tcPr>
          <w:p>
            <w:r/>
            <w:r>
              <w:rPr>
                <w:sz w:val="20"/>
              </w:rPr>
              <w:t>Havuz</w:t>
            </w:r>
          </w:p>
        </w:tc>
        <w:tc>
          <w:tcPr>
            <w:tcW w:type="dxa" w:w="6236"/>
            <w:vAlign w:val="center"/>
            <w:shd w:fill="F2F6FA" w:val="clear"/>
          </w:tcPr>
          <w:p>
            <w:r/>
            <w:r>
              <w:rPr>
                <w:sz w:val="20"/>
              </w:rPr>
              <w:t>Müfredat dışı, açılması mümkün dersleri tutan bekleme alanı.</w:t>
            </w:r>
          </w:p>
        </w:tc>
      </w:tr>
      <w:tr>
        <w:tc>
          <w:tcPr>
            <w:tcW w:type="dxa" w:w="2551"/>
            <w:vAlign w:val="center"/>
          </w:tcPr>
          <w:p>
            <w:r/>
            <w:r>
              <w:rPr>
                <w:sz w:val="20"/>
              </w:rPr>
              <w:t>Dinlenmede</w:t>
            </w:r>
          </w:p>
        </w:tc>
        <w:tc>
          <w:tcPr>
            <w:tcW w:type="dxa" w:w="6236"/>
            <w:vAlign w:val="center"/>
          </w:tcPr>
          <w:p>
            <w:r/>
            <w:r>
              <w:rPr>
                <w:sz w:val="20"/>
              </w:rPr>
              <w:t>Bir yıl müfredattan düşmüş, ancak henüz iptal edilmemiş ders.</w:t>
            </w:r>
          </w:p>
        </w:tc>
      </w:tr>
      <w:tr>
        <w:tc>
          <w:tcPr>
            <w:tcW w:type="dxa" w:w="2551"/>
            <w:vAlign w:val="center"/>
            <w:shd w:fill="F2F6FA" w:val="clear"/>
          </w:tcPr>
          <w:p>
            <w:r/>
            <w:r>
              <w:rPr>
                <w:sz w:val="20"/>
              </w:rPr>
              <w:t>Kalıcı İptal</w:t>
            </w:r>
          </w:p>
        </w:tc>
        <w:tc>
          <w:tcPr>
            <w:tcW w:type="dxa" w:w="6236"/>
            <w:vAlign w:val="center"/>
            <w:shd w:fill="F2F6FA" w:val="clear"/>
          </w:tcPr>
          <w:p>
            <w:r/>
            <w:r>
              <w:rPr>
                <w:sz w:val="20"/>
              </w:rPr>
              <w:t>İki kez üst üste düşen ve artık açılmayacak ders.</w:t>
            </w:r>
          </w:p>
        </w:tc>
      </w:tr>
      <w:tr>
        <w:tc>
          <w:tcPr>
            <w:tcW w:type="dxa" w:w="2551"/>
            <w:vAlign w:val="center"/>
          </w:tcPr>
          <w:p>
            <w:r/>
            <w:r>
              <w:rPr>
                <w:sz w:val="20"/>
              </w:rPr>
              <w:t>AHP</w:t>
            </w:r>
          </w:p>
        </w:tc>
        <w:tc>
          <w:tcPr>
            <w:tcW w:type="dxa" w:w="6236"/>
            <w:vAlign w:val="center"/>
          </w:tcPr>
          <w:p>
            <w:r/>
            <w:r>
              <w:rPr>
                <w:sz w:val="20"/>
              </w:rPr>
              <w:t>Saaty’ın çok kriterli ağırlıklandırma yöntemi.</w:t>
            </w:r>
          </w:p>
        </w:tc>
      </w:tr>
      <w:tr>
        <w:tc>
          <w:tcPr>
            <w:tcW w:type="dxa" w:w="2551"/>
            <w:vAlign w:val="center"/>
            <w:shd w:fill="F2F6FA" w:val="clear"/>
          </w:tcPr>
          <w:p>
            <w:r/>
            <w:r>
              <w:rPr>
                <w:sz w:val="20"/>
              </w:rPr>
              <w:t>TOPSIS</w:t>
            </w:r>
          </w:p>
        </w:tc>
        <w:tc>
          <w:tcPr>
            <w:tcW w:type="dxa" w:w="6236"/>
            <w:vAlign w:val="center"/>
            <w:shd w:fill="F2F6FA" w:val="clear"/>
          </w:tcPr>
          <w:p>
            <w:r/>
            <w:r>
              <w:rPr>
                <w:sz w:val="20"/>
              </w:rPr>
              <w:t>İdeal çözüme yakınlık temelli çok kriterli sıralama.</w:t>
            </w:r>
          </w:p>
        </w:tc>
      </w:tr>
      <w:tr>
        <w:tc>
          <w:tcPr>
            <w:tcW w:type="dxa" w:w="2551"/>
            <w:vAlign w:val="center"/>
          </w:tcPr>
          <w:p>
            <w:r/>
            <w:r>
              <w:rPr>
                <w:sz w:val="20"/>
              </w:rPr>
              <w:t>Kesinleşme Puanı</w:t>
            </w:r>
          </w:p>
        </w:tc>
        <w:tc>
          <w:tcPr>
            <w:tcW w:type="dxa" w:w="6236"/>
            <w:vAlign w:val="center"/>
          </w:tcPr>
          <w:p>
            <w:r/>
            <w:r>
              <w:rPr>
                <w:sz w:val="20"/>
              </w:rPr>
              <w:t>TOPSIS skoru × 100; 0-100 aralığında ders puanı.</w:t>
            </w:r>
          </w:p>
        </w:tc>
      </w:tr>
      <w:tr>
        <w:tc>
          <w:tcPr>
            <w:tcW w:type="dxa" w:w="2551"/>
            <w:vAlign w:val="center"/>
            <w:shd w:fill="F2F6FA" w:val="clear"/>
          </w:tcPr>
          <w:p>
            <w:r/>
            <w:r>
              <w:rPr>
                <w:sz w:val="20"/>
              </w:rPr>
              <w:t>State Machine</w:t>
            </w:r>
          </w:p>
        </w:tc>
        <w:tc>
          <w:tcPr>
            <w:tcW w:type="dxa" w:w="6236"/>
            <w:vAlign w:val="center"/>
            <w:shd w:fill="F2F6FA" w:val="clear"/>
          </w:tcPr>
          <w:p>
            <w:r/>
            <w:r>
              <w:rPr>
                <w:sz w:val="20"/>
              </w:rPr>
              <w:t>Müfredat-havuz-dinlenme-iptal arasındaki durum geçiş motoru.</w:t>
            </w:r>
          </w:p>
        </w:tc>
      </w:tr>
      <w:tr>
        <w:tc>
          <w:tcPr>
            <w:tcW w:type="dxa" w:w="2551"/>
            <w:vAlign w:val="center"/>
          </w:tcPr>
          <w:p>
            <w:r/>
            <w:r>
              <w:rPr>
                <w:sz w:val="20"/>
              </w:rPr>
              <w:t>Benchmark</w:t>
            </w:r>
          </w:p>
        </w:tc>
        <w:tc>
          <w:tcPr>
            <w:tcW w:type="dxa" w:w="6236"/>
            <w:vAlign w:val="center"/>
          </w:tcPr>
          <w:p>
            <w:r/>
            <w:r>
              <w:rPr>
                <w:sz w:val="20"/>
              </w:rPr>
              <w:t>Algoritmaları aynı veri ve metriklerle karşılaştıran katman.</w:t>
            </w:r>
          </w:p>
        </w:tc>
      </w:tr>
      <w:tr>
        <w:tc>
          <w:tcPr>
            <w:tcW w:type="dxa" w:w="2551"/>
            <w:vAlign w:val="center"/>
            <w:shd w:fill="F2F6FA" w:val="clear"/>
          </w:tcPr>
          <w:p>
            <w:r/>
            <w:r>
              <w:rPr>
                <w:sz w:val="20"/>
              </w:rPr>
              <w:t>Aktif Profil</w:t>
            </w:r>
          </w:p>
        </w:tc>
        <w:tc>
          <w:tcPr>
            <w:tcW w:type="dxa" w:w="6236"/>
            <w:vAlign w:val="center"/>
            <w:shd w:fill="F2F6FA" w:val="clear"/>
          </w:tcPr>
          <w:p>
            <w:r/>
            <w:r>
              <w:rPr>
                <w:sz w:val="20"/>
              </w:rPr>
              <w:t>Karar anında kullanılan AHP ikili karşılaştırma ağırlığı.</w:t>
            </w:r>
          </w:p>
        </w:tc>
      </w:tr>
    </w:tbl>
    <w:p>
      <w:r>
        <w:br w:type="page"/>
      </w:r>
    </w:p>
    <w:p>
      <w:pPr>
        <w:pStyle w:val="Title"/>
      </w:pPr>
      <w:r>
        <w:rPr>
          <w:rFonts w:ascii="Calibri" w:hAnsi="Calibri"/>
          <w:color w:val="1F4E79"/>
          <w:sz w:val="56"/>
        </w:rPr>
        <w:t>2. SİSTEM MİMARİSİ VE TASARIM</w:t>
      </w:r>
    </w:p>
    <w:p>
      <w:pPr>
        <w:pStyle w:val="Heading1"/>
      </w:pPr>
      <w:r>
        <w:rPr>
          <w:rFonts w:ascii="Calibri" w:hAnsi="Calibri"/>
          <w:color w:val="1F4E79"/>
          <w:sz w:val="40"/>
        </w:rPr>
        <w:t>2.1 Katmanlı Mimari</w:t>
      </w:r>
    </w:p>
    <w:p>
      <w:pPr>
        <w:spacing w:after="120"/>
      </w:pPr>
      <w:r>
        <w:rPr>
          <w:rFonts w:ascii="Calibri" w:hAnsi="Calibri"/>
          <w:b w:val="0"/>
          <w:i w:val="0"/>
          <w:sz w:val="22"/>
        </w:rPr>
        <w:t>Sistem, sorumlulukları birbirinden net olarak ayıran katmanlı bir mimari üzerine kuruludur. Bu, hem masaüstü uygulamasının hem de REST API’nin aynı iş kurallarını ortak servisler üzerinden çağırmasını sağlar.</w:t>
      </w:r>
    </w:p>
    <w:p>
      <w:pPr>
        <w:pStyle w:val="ListBullet"/>
      </w:pPr>
      <w:r>
        <w:rPr>
          <w:rFonts w:ascii="Calibri" w:hAnsi="Calibri"/>
          <w:sz w:val="22"/>
        </w:rPr>
        <w:t>app/ui — Tkinter ekranları. Yalnızca form, tablo ve buton olaylarından sorumludur. SQL veya iş kuralı içermez.</w:t>
      </w:r>
    </w:p>
    <w:p>
      <w:pPr>
        <w:pStyle w:val="ListBullet"/>
      </w:pPr>
      <w:r>
        <w:rPr>
          <w:rFonts w:ascii="Calibri" w:hAnsi="Calibri"/>
          <w:sz w:val="22"/>
        </w:rPr>
        <w:t>app/api — FastAPI adapter katmanı. Request/response dönüşümü, Pydantic doğrulama ve permission kontrolü yapar.</w:t>
      </w:r>
    </w:p>
    <w:p>
      <w:pPr>
        <w:pStyle w:val="ListBullet"/>
      </w:pPr>
      <w:r>
        <w:rPr>
          <w:rFonts w:ascii="Calibri" w:hAnsi="Calibri"/>
          <w:sz w:val="22"/>
        </w:rPr>
        <w:t>app/services — Asıl iş kuralı katmanı: kriter tamlığı, AHP/TOPSIS hesaplama, havuz state machine, raporlama.</w:t>
      </w:r>
    </w:p>
    <w:p>
      <w:pPr>
        <w:pStyle w:val="ListBullet"/>
      </w:pPr>
      <w:r>
        <w:rPr>
          <w:rFonts w:ascii="Calibri" w:hAnsi="Calibri"/>
          <w:sz w:val="22"/>
        </w:rPr>
        <w:t>app/repositories — Ham SQL gerekli olduğu yerlerde izole edilen veri erişim katmanı.</w:t>
      </w:r>
    </w:p>
    <w:p>
      <w:pPr>
        <w:pStyle w:val="ListBullet"/>
      </w:pPr>
      <w:r>
        <w:rPr>
          <w:rFonts w:ascii="Calibri" w:hAnsi="Calibri"/>
          <w:sz w:val="22"/>
        </w:rPr>
        <w:t>app/db — SQLAlchemy modelleri, oturum yönetimi, Alembic migration ve runtime schema compatibility.</w:t>
      </w:r>
    </w:p>
    <w:p>
      <w:pPr>
        <w:pStyle w:val="ListBullet"/>
      </w:pPr>
      <w:r>
        <w:rPr>
          <w:rFonts w:ascii="Calibri" w:hAnsi="Calibri"/>
          <w:sz w:val="22"/>
        </w:rPr>
        <w:t>app/algorithms — MCDM, ML, allocation, clustering, baseline algoritmalarının ortak kontrat altında toplandığı katman.</w:t>
      </w:r>
    </w:p>
    <w:p>
      <w:pPr>
        <w:pStyle w:val="ListBullet"/>
      </w:pPr>
      <w:r>
        <w:rPr>
          <w:rFonts w:ascii="Calibri" w:hAnsi="Calibri"/>
          <w:sz w:val="22"/>
        </w:rPr>
        <w:t>app/benchmark — Benchmark deney motoru: senaryo, veri yükleyici, metrik yönlendirici, koşturucu, sonuç saklama.</w:t>
      </w:r>
    </w:p>
    <w:p>
      <w:pPr>
        <w:pStyle w:val="ListBullet"/>
      </w:pPr>
      <w:r>
        <w:rPr>
          <w:rFonts w:ascii="Calibri" w:hAnsi="Calibri"/>
          <w:sz w:val="22"/>
        </w:rPr>
        <w:t>app/core — ServiceResult, AppError, config, logging gibi uygulama ortak altyapısı.</w:t>
      </w:r>
    </w:p>
    <w:p>
      <w:pPr>
        <w:spacing w:after="120"/>
      </w:pPr>
      <w:r>
        <w:rPr>
          <w:rFonts w:ascii="Calibri" w:hAnsi="Calibri"/>
          <w:b w:val="0"/>
          <w:i w:val="0"/>
          <w:sz w:val="22"/>
        </w:rPr>
        <w:t>UI ve API doğrudan SQL yazmaz. Tüm karar mantığı servislerde, tüm veri erişimi modeller veya repository’lerde, tüm hesaplamalar algoritma sınıflarında yapılır. Bu sayede sistem test edilebilir, doğrulanabilir ve genişletilebilir bir yapıdadır.</w:t>
      </w:r>
    </w:p>
    <w:p>
      <w:pPr>
        <w:pStyle w:val="Heading1"/>
      </w:pPr>
      <w:r>
        <w:rPr>
          <w:rFonts w:ascii="Calibri" w:hAnsi="Calibri"/>
          <w:color w:val="1F4E79"/>
          <w:sz w:val="40"/>
        </w:rPr>
        <w:t>2.2 Karar Hattı (Pipeline)</w:t>
      </w:r>
    </w:p>
    <w:p>
      <w:pPr>
        <w:spacing w:after="120"/>
      </w:pPr>
      <w:r>
        <w:rPr>
          <w:rFonts w:ascii="Calibri" w:hAnsi="Calibri"/>
          <w:b w:val="0"/>
          <w:i w:val="0"/>
          <w:sz w:val="22"/>
        </w:rPr>
        <w:t>Aşağıdaki diyagram, bir kullanıcının uygulamaya veri girmesinden müfredat/havuz çıktısına kadar olan adımları gösterir. Bu pipeline, sistemin kalbidir ve hem masaüstü hem API tarafından kullanılır.</w:t>
      </w:r>
    </w:p>
    <w:p>
      <w:pPr>
        <w:jc w:val="center"/>
      </w:pPr>
      <w:r>
        <w:drawing>
          <wp:inline xmlns:a="http://schemas.openxmlformats.org/drawingml/2006/main" xmlns:pic="http://schemas.openxmlformats.org/drawingml/2006/picture">
            <wp:extent cx="5760000" cy="2390007"/>
            <wp:docPr id="2" name="Picture 2"/>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760000" cy="2390007"/>
                    </a:xfrm>
                    <a:prstGeom prst="rect"/>
                  </pic:spPr>
                </pic:pic>
              </a:graphicData>
            </a:graphic>
          </wp:inline>
        </w:drawing>
      </w:r>
    </w:p>
    <w:p>
      <w:pPr>
        <w:jc w:val="center"/>
      </w:pPr>
      <w:r>
        <w:rPr>
          <w:i/>
          <w:color w:val="666666"/>
          <w:sz w:val="20"/>
        </w:rPr>
        <w:t>Şekil 2.1 — Karar hattı: veri girişi → tamlık → AHP → TOPSIS → kural motoru → state machine → müfredat.</w:t>
      </w:r>
    </w:p>
    <w:p>
      <w:pPr>
        <w:spacing w:after="120"/>
      </w:pPr>
      <w:r>
        <w:rPr>
          <w:rFonts w:ascii="Calibri" w:hAnsi="Calibri"/>
          <w:b w:val="0"/>
          <w:i w:val="0"/>
          <w:sz w:val="22"/>
        </w:rPr>
        <w:t>Adımlar sırasıyla:</w:t>
      </w:r>
    </w:p>
    <w:p>
      <w:pPr>
        <w:pStyle w:val="ListNumber"/>
      </w:pPr>
      <w:r>
        <w:rPr>
          <w:rFonts w:ascii="Calibri" w:hAnsi="Calibri"/>
          <w:sz w:val="22"/>
        </w:rPr>
        <w:t>Kullanıcı müfredat, kriter ve/veya anket dosyalarını yükler. Excel okunur, kolon başlıkları çözümlenir, ders kodları sistemle eşleştirilir.</w:t>
      </w:r>
    </w:p>
    <w:p>
      <w:pPr>
        <w:pStyle w:val="ListNumber"/>
      </w:pPr>
      <w:r>
        <w:rPr>
          <w:rFonts w:ascii="Calibri" w:hAnsi="Calibri"/>
          <w:sz w:val="22"/>
        </w:rPr>
        <w:t>Kriter tamlık kontrolü yapılır. Eksik kriterli fakültede algoritma çalıştırılmaz; sistem kullanıcıya hangi bölüm/dersin eksik olduğunu raporlar.</w:t>
      </w:r>
    </w:p>
    <w:p>
      <w:pPr>
        <w:pStyle w:val="ListNumber"/>
      </w:pPr>
      <w:r>
        <w:rPr>
          <w:rFonts w:ascii="Calibri" w:hAnsi="Calibri"/>
          <w:sz w:val="22"/>
        </w:rPr>
        <w:t>AHP profili çözülür: önce yıl bazlı profil, sonra bölüm, sonra fakülte, sonra global profil aranır. Tutarlılık kontrolü (CR &lt; 0.10) yapılır.</w:t>
      </w:r>
    </w:p>
    <w:p>
      <w:pPr>
        <w:pStyle w:val="ListNumber"/>
      </w:pPr>
      <w:r>
        <w:rPr>
          <w:rFonts w:ascii="Calibri" w:hAnsi="Calibri"/>
          <w:sz w:val="22"/>
        </w:rPr>
        <w:t>TOPSIS, dersleri 0-1 yakınlık katsayısıyla puanlar; 100 ile çarpılarak kesinleşme puanı oluşur.</w:t>
      </w:r>
    </w:p>
    <w:p>
      <w:pPr>
        <w:pStyle w:val="ListNumber"/>
      </w:pPr>
      <w:r>
        <w:rPr>
          <w:rFonts w:ascii="Calibri" w:hAnsi="Calibri"/>
          <w:sz w:val="22"/>
        </w:rPr>
        <w:t>Kural motoru eşikleri uygular: kesinleşme puanı &lt; 40 veya ortalama not &lt; 45 olan ders düşer.</w:t>
      </w:r>
    </w:p>
    <w:p>
      <w:pPr>
        <w:pStyle w:val="ListNumber"/>
      </w:pPr>
      <w:r>
        <w:rPr>
          <w:rFonts w:ascii="Calibri" w:hAnsi="Calibri"/>
          <w:sz w:val="22"/>
        </w:rPr>
        <w:t>State machine durumu günceller, sayacı işler ve gerekirse dersi dinlenmeye veya kalıcı iptale taşır.</w:t>
      </w:r>
    </w:p>
    <w:p>
      <w:pPr>
        <w:pStyle w:val="ListNumber"/>
      </w:pPr>
      <w:r>
        <w:rPr>
          <w:rFonts w:ascii="Calibri" w:hAnsi="Calibri"/>
          <w:sz w:val="22"/>
        </w:rPr>
        <w:t>Sonuç müfredat ve havuz tablolarına yazılır, raporlanır ve Excel/CSV olarak dışa aktarılabilir.</w:t>
      </w:r>
    </w:p>
    <w:p>
      <w:pPr>
        <w:pStyle w:val="Heading1"/>
      </w:pPr>
      <w:r>
        <w:rPr>
          <w:rFonts w:ascii="Calibri" w:hAnsi="Calibri"/>
          <w:color w:val="1F4E79"/>
          <w:sz w:val="40"/>
        </w:rPr>
        <w:t>2.3 Veri Modeli</w:t>
      </w:r>
    </w:p>
    <w:p>
      <w:pPr>
        <w:spacing w:after="120"/>
      </w:pPr>
      <w:r>
        <w:rPr>
          <w:rFonts w:ascii="Calibri" w:hAnsi="Calibri"/>
          <w:b w:val="0"/>
          <w:i w:val="0"/>
          <w:sz w:val="22"/>
        </w:rPr>
        <w:t>Sistem SQLite üzerinde çalışır ve aşağıdaki ana tabloları kullanır. Veritabanı anlık görüntüsünde yer alan kayıt sayıları Tablo 2.1’de verilmiştir.</w:t>
      </w:r>
    </w:p>
    <w:tbl>
      <w:tblPr>
        <w:tblStyle w:val="LightGrid-Accent1"/>
        <w:tblW w:type="auto" w:w="0"/>
        <w:jc w:val="center"/>
        <w:tblLook w:firstColumn="1" w:firstRow="1" w:lastColumn="0" w:lastRow="0" w:noHBand="0" w:noVBand="1" w:val="04A0"/>
      </w:tblPr>
      <w:tblGrid>
        <w:gridCol w:w="3192"/>
        <w:gridCol w:w="3192"/>
        <w:gridCol w:w="3192"/>
      </w:tblGrid>
      <w:tr>
        <w:tc>
          <w:tcPr>
            <w:tcW w:type="dxa" w:w="2835"/>
            <w:shd w:fill="1F4E79" w:val="clear"/>
            <w:vAlign w:val="center"/>
          </w:tcPr>
          <w:p>
            <w:r/>
            <w:r>
              <w:rPr>
                <w:b/>
                <w:color w:val="FFFFFF"/>
                <w:sz w:val="22"/>
              </w:rPr>
              <w:t>Tablo</w:t>
            </w:r>
          </w:p>
        </w:tc>
        <w:tc>
          <w:tcPr>
            <w:tcW w:type="dxa" w:w="1417"/>
            <w:shd w:fill="1F4E79" w:val="clear"/>
            <w:vAlign w:val="center"/>
          </w:tcPr>
          <w:p>
            <w:r/>
            <w:r>
              <w:rPr>
                <w:b/>
                <w:color w:val="FFFFFF"/>
                <w:sz w:val="22"/>
              </w:rPr>
              <w:t>Kayıt</w:t>
            </w:r>
          </w:p>
        </w:tc>
        <w:tc>
          <w:tcPr>
            <w:tcW w:type="dxa" w:w="4535"/>
            <w:shd w:fill="1F4E79" w:val="clear"/>
            <w:vAlign w:val="center"/>
          </w:tcPr>
          <w:p>
            <w:r/>
            <w:r>
              <w:rPr>
                <w:b/>
                <w:color w:val="FFFFFF"/>
                <w:sz w:val="22"/>
              </w:rPr>
              <w:t>Açıklama</w:t>
            </w:r>
          </w:p>
        </w:tc>
      </w:tr>
      <w:tr>
        <w:tc>
          <w:tcPr>
            <w:tcW w:type="dxa" w:w="2835"/>
            <w:vAlign w:val="center"/>
          </w:tcPr>
          <w:p>
            <w:r/>
            <w:r>
              <w:rPr>
                <w:sz w:val="20"/>
              </w:rPr>
              <w:t>okul</w:t>
            </w:r>
          </w:p>
        </w:tc>
        <w:tc>
          <w:tcPr>
            <w:tcW w:type="dxa" w:w="1417"/>
            <w:vAlign w:val="center"/>
          </w:tcPr>
          <w:p>
            <w:r/>
            <w:r>
              <w:rPr>
                <w:sz w:val="20"/>
              </w:rPr>
              <w:t>1</w:t>
            </w:r>
          </w:p>
        </w:tc>
        <w:tc>
          <w:tcPr>
            <w:tcW w:type="dxa" w:w="4535"/>
            <w:vAlign w:val="center"/>
          </w:tcPr>
          <w:p>
            <w:r/>
            <w:r>
              <w:rPr>
                <w:sz w:val="20"/>
              </w:rPr>
              <w:t>Üst akademik birim.</w:t>
            </w:r>
          </w:p>
        </w:tc>
      </w:tr>
      <w:tr>
        <w:tc>
          <w:tcPr>
            <w:tcW w:type="dxa" w:w="2835"/>
            <w:vAlign w:val="center"/>
            <w:shd w:fill="F2F6FA" w:val="clear"/>
          </w:tcPr>
          <w:p>
            <w:r/>
            <w:r>
              <w:rPr>
                <w:sz w:val="20"/>
              </w:rPr>
              <w:t>fakülte</w:t>
            </w:r>
          </w:p>
        </w:tc>
        <w:tc>
          <w:tcPr>
            <w:tcW w:type="dxa" w:w="1417"/>
            <w:vAlign w:val="center"/>
            <w:shd w:fill="F2F6FA" w:val="clear"/>
          </w:tcPr>
          <w:p>
            <w:r/>
            <w:r>
              <w:rPr>
                <w:sz w:val="20"/>
              </w:rPr>
              <w:t>5</w:t>
            </w:r>
          </w:p>
        </w:tc>
        <w:tc>
          <w:tcPr>
            <w:tcW w:type="dxa" w:w="4535"/>
            <w:vAlign w:val="center"/>
            <w:shd w:fill="F2F6FA" w:val="clear"/>
          </w:tcPr>
          <w:p>
            <w:r/>
            <w:r>
              <w:rPr>
                <w:sz w:val="20"/>
              </w:rPr>
              <w:t>Fakülte tanımları.</w:t>
            </w:r>
          </w:p>
        </w:tc>
      </w:tr>
      <w:tr>
        <w:tc>
          <w:tcPr>
            <w:tcW w:type="dxa" w:w="2835"/>
            <w:vAlign w:val="center"/>
          </w:tcPr>
          <w:p>
            <w:r/>
            <w:r>
              <w:rPr>
                <w:sz w:val="20"/>
              </w:rPr>
              <w:t>bölüm</w:t>
            </w:r>
          </w:p>
        </w:tc>
        <w:tc>
          <w:tcPr>
            <w:tcW w:type="dxa" w:w="1417"/>
            <w:vAlign w:val="center"/>
          </w:tcPr>
          <w:p>
            <w:r/>
            <w:r>
              <w:rPr>
                <w:sz w:val="20"/>
              </w:rPr>
              <w:t>9</w:t>
            </w:r>
          </w:p>
        </w:tc>
        <w:tc>
          <w:tcPr>
            <w:tcW w:type="dxa" w:w="4535"/>
            <w:vAlign w:val="center"/>
          </w:tcPr>
          <w:p>
            <w:r/>
            <w:r>
              <w:rPr>
                <w:sz w:val="20"/>
              </w:rPr>
              <w:t>Fakülteye bağlı bölümler.</w:t>
            </w:r>
          </w:p>
        </w:tc>
      </w:tr>
      <w:tr>
        <w:tc>
          <w:tcPr>
            <w:tcW w:type="dxa" w:w="2835"/>
            <w:vAlign w:val="center"/>
            <w:shd w:fill="F2F6FA" w:val="clear"/>
          </w:tcPr>
          <w:p>
            <w:r/>
            <w:r>
              <w:rPr>
                <w:sz w:val="20"/>
              </w:rPr>
              <w:t>ders</w:t>
            </w:r>
          </w:p>
        </w:tc>
        <w:tc>
          <w:tcPr>
            <w:tcW w:type="dxa" w:w="1417"/>
            <w:vAlign w:val="center"/>
            <w:shd w:fill="F2F6FA" w:val="clear"/>
          </w:tcPr>
          <w:p>
            <w:r/>
            <w:r>
              <w:rPr>
                <w:sz w:val="20"/>
              </w:rPr>
              <w:t>557</w:t>
            </w:r>
          </w:p>
        </w:tc>
        <w:tc>
          <w:tcPr>
            <w:tcW w:type="dxa" w:w="4535"/>
            <w:vAlign w:val="center"/>
            <w:shd w:fill="F2F6FA" w:val="clear"/>
          </w:tcPr>
          <w:p>
            <w:r/>
            <w:r>
              <w:rPr>
                <w:sz w:val="20"/>
              </w:rPr>
              <w:t>Tüm zorunlu/seçmeli/entegre ders kataloğu.</w:t>
            </w:r>
          </w:p>
        </w:tc>
      </w:tr>
      <w:tr>
        <w:tc>
          <w:tcPr>
            <w:tcW w:type="dxa" w:w="2835"/>
            <w:vAlign w:val="center"/>
          </w:tcPr>
          <w:p>
            <w:r/>
            <w:r>
              <w:rPr>
                <w:sz w:val="20"/>
              </w:rPr>
              <w:t>müfredat</w:t>
            </w:r>
          </w:p>
        </w:tc>
        <w:tc>
          <w:tcPr>
            <w:tcW w:type="dxa" w:w="1417"/>
            <w:vAlign w:val="center"/>
          </w:tcPr>
          <w:p>
            <w:r/>
            <w:r>
              <w:rPr>
                <w:sz w:val="20"/>
              </w:rPr>
              <w:t>13</w:t>
            </w:r>
          </w:p>
        </w:tc>
        <w:tc>
          <w:tcPr>
            <w:tcW w:type="dxa" w:w="4535"/>
            <w:vAlign w:val="center"/>
          </w:tcPr>
          <w:p>
            <w:r/>
            <w:r>
              <w:rPr>
                <w:sz w:val="20"/>
              </w:rPr>
              <w:t>Fakülte/yıl bazlı müfredat başlıkları.</w:t>
            </w:r>
          </w:p>
        </w:tc>
      </w:tr>
      <w:tr>
        <w:tc>
          <w:tcPr>
            <w:tcW w:type="dxa" w:w="2835"/>
            <w:vAlign w:val="center"/>
            <w:shd w:fill="F2F6FA" w:val="clear"/>
          </w:tcPr>
          <w:p>
            <w:r/>
            <w:r>
              <w:rPr>
                <w:sz w:val="20"/>
              </w:rPr>
              <w:t>müfredat_ders</w:t>
            </w:r>
          </w:p>
        </w:tc>
        <w:tc>
          <w:tcPr>
            <w:tcW w:type="dxa" w:w="1417"/>
            <w:vAlign w:val="center"/>
            <w:shd w:fill="F2F6FA" w:val="clear"/>
          </w:tcPr>
          <w:p>
            <w:r/>
            <w:r>
              <w:rPr>
                <w:sz w:val="20"/>
              </w:rPr>
              <w:t>52</w:t>
            </w:r>
          </w:p>
        </w:tc>
        <w:tc>
          <w:tcPr>
            <w:tcW w:type="dxa" w:w="4535"/>
            <w:vAlign w:val="center"/>
            <w:shd w:fill="F2F6FA" w:val="clear"/>
          </w:tcPr>
          <w:p>
            <w:r/>
            <w:r>
              <w:rPr>
                <w:sz w:val="20"/>
              </w:rPr>
              <w:t>Müfredatta yer alan ders eşleşmeleri.</w:t>
            </w:r>
          </w:p>
        </w:tc>
      </w:tr>
      <w:tr>
        <w:tc>
          <w:tcPr>
            <w:tcW w:type="dxa" w:w="2835"/>
            <w:vAlign w:val="center"/>
          </w:tcPr>
          <w:p>
            <w:r/>
            <w:r>
              <w:rPr>
                <w:sz w:val="20"/>
              </w:rPr>
              <w:t>havuz</w:t>
            </w:r>
          </w:p>
        </w:tc>
        <w:tc>
          <w:tcPr>
            <w:tcW w:type="dxa" w:w="1417"/>
            <w:vAlign w:val="center"/>
          </w:tcPr>
          <w:p>
            <w:r/>
            <w:r>
              <w:rPr>
                <w:sz w:val="20"/>
              </w:rPr>
              <w:t>2329</w:t>
            </w:r>
          </w:p>
        </w:tc>
        <w:tc>
          <w:tcPr>
            <w:tcW w:type="dxa" w:w="4535"/>
            <w:vAlign w:val="center"/>
          </w:tcPr>
          <w:p>
            <w:r/>
            <w:r>
              <w:rPr>
                <w:sz w:val="20"/>
              </w:rPr>
              <w:t>Havuz statü kayıtları (yıl bazlı).</w:t>
            </w:r>
          </w:p>
        </w:tc>
      </w:tr>
      <w:tr>
        <w:tc>
          <w:tcPr>
            <w:tcW w:type="dxa" w:w="2835"/>
            <w:vAlign w:val="center"/>
            <w:shd w:fill="F2F6FA" w:val="clear"/>
          </w:tcPr>
          <w:p>
            <w:r/>
            <w:r>
              <w:rPr>
                <w:sz w:val="20"/>
              </w:rPr>
              <w:t>performans</w:t>
            </w:r>
          </w:p>
        </w:tc>
        <w:tc>
          <w:tcPr>
            <w:tcW w:type="dxa" w:w="1417"/>
            <w:vAlign w:val="center"/>
            <w:shd w:fill="F2F6FA" w:val="clear"/>
          </w:tcPr>
          <w:p>
            <w:r/>
            <w:r>
              <w:rPr>
                <w:sz w:val="20"/>
              </w:rPr>
              <w:t>16</w:t>
            </w:r>
          </w:p>
        </w:tc>
        <w:tc>
          <w:tcPr>
            <w:tcW w:type="dxa" w:w="4535"/>
            <w:vAlign w:val="center"/>
            <w:shd w:fill="F2F6FA" w:val="clear"/>
          </w:tcPr>
          <w:p>
            <w:r/>
            <w:r>
              <w:rPr>
                <w:sz w:val="20"/>
              </w:rPr>
              <w:t>Yıllık başarı oranı kayıtları.</w:t>
            </w:r>
          </w:p>
        </w:tc>
      </w:tr>
      <w:tr>
        <w:tc>
          <w:tcPr>
            <w:tcW w:type="dxa" w:w="2835"/>
            <w:vAlign w:val="center"/>
          </w:tcPr>
          <w:p>
            <w:r/>
            <w:r>
              <w:rPr>
                <w:sz w:val="20"/>
              </w:rPr>
              <w:t>popülerlik</w:t>
            </w:r>
          </w:p>
        </w:tc>
        <w:tc>
          <w:tcPr>
            <w:tcW w:type="dxa" w:w="1417"/>
            <w:vAlign w:val="center"/>
          </w:tcPr>
          <w:p>
            <w:r/>
            <w:r>
              <w:rPr>
                <w:sz w:val="20"/>
              </w:rPr>
              <w:t>16</w:t>
            </w:r>
          </w:p>
        </w:tc>
        <w:tc>
          <w:tcPr>
            <w:tcW w:type="dxa" w:w="4535"/>
            <w:vAlign w:val="center"/>
          </w:tcPr>
          <w:p>
            <w:r/>
            <w:r>
              <w:rPr>
                <w:sz w:val="20"/>
              </w:rPr>
              <w:t>Kayıtlı / kontenjan kayıtları.</w:t>
            </w:r>
          </w:p>
        </w:tc>
      </w:tr>
      <w:tr>
        <w:tc>
          <w:tcPr>
            <w:tcW w:type="dxa" w:w="2835"/>
            <w:vAlign w:val="center"/>
            <w:shd w:fill="F2F6FA" w:val="clear"/>
          </w:tcPr>
          <w:p>
            <w:r/>
            <w:r>
              <w:rPr>
                <w:sz w:val="20"/>
              </w:rPr>
              <w:t>skor</w:t>
            </w:r>
          </w:p>
        </w:tc>
        <w:tc>
          <w:tcPr>
            <w:tcW w:type="dxa" w:w="1417"/>
            <w:vAlign w:val="center"/>
            <w:shd w:fill="F2F6FA" w:val="clear"/>
          </w:tcPr>
          <w:p>
            <w:r/>
            <w:r>
              <w:rPr>
                <w:sz w:val="20"/>
              </w:rPr>
              <w:t>22</w:t>
            </w:r>
          </w:p>
        </w:tc>
        <w:tc>
          <w:tcPr>
            <w:tcW w:type="dxa" w:w="4535"/>
            <w:vAlign w:val="center"/>
            <w:shd w:fill="F2F6FA" w:val="clear"/>
          </w:tcPr>
          <w:p>
            <w:r/>
            <w:r>
              <w:rPr>
                <w:sz w:val="20"/>
              </w:rPr>
              <w:t>TOPSIS ve havuz skor kayıtları.</w:t>
            </w:r>
          </w:p>
        </w:tc>
      </w:tr>
      <w:tr>
        <w:tc>
          <w:tcPr>
            <w:tcW w:type="dxa" w:w="2835"/>
            <w:vAlign w:val="center"/>
          </w:tcPr>
          <w:p>
            <w:r/>
            <w:r>
              <w:rPr>
                <w:sz w:val="20"/>
              </w:rPr>
              <w:t>ders_kriterleri</w:t>
            </w:r>
          </w:p>
        </w:tc>
        <w:tc>
          <w:tcPr>
            <w:tcW w:type="dxa" w:w="1417"/>
            <w:vAlign w:val="center"/>
          </w:tcPr>
          <w:p>
            <w:r/>
            <w:r>
              <w:rPr>
                <w:sz w:val="20"/>
              </w:rPr>
              <w:t>24</w:t>
            </w:r>
          </w:p>
        </w:tc>
        <w:tc>
          <w:tcPr>
            <w:tcW w:type="dxa" w:w="4535"/>
            <w:vAlign w:val="center"/>
          </w:tcPr>
          <w:p>
            <w:r/>
            <w:r>
              <w:rPr>
                <w:sz w:val="20"/>
              </w:rPr>
              <w:t>Manuel girilen kriter satırları.</w:t>
            </w:r>
          </w:p>
        </w:tc>
      </w:tr>
      <w:tr>
        <w:tc>
          <w:tcPr>
            <w:tcW w:type="dxa" w:w="2835"/>
            <w:vAlign w:val="center"/>
            <w:shd w:fill="F2F6FA" w:val="clear"/>
          </w:tcPr>
          <w:p>
            <w:r/>
            <w:r>
              <w:rPr>
                <w:sz w:val="20"/>
              </w:rPr>
              <w:t>criteria_import / rows</w:t>
            </w:r>
          </w:p>
        </w:tc>
        <w:tc>
          <w:tcPr>
            <w:tcW w:type="dxa" w:w="1417"/>
            <w:vAlign w:val="center"/>
            <w:shd w:fill="F2F6FA" w:val="clear"/>
          </w:tcPr>
          <w:p>
            <w:r/>
            <w:r>
              <w:rPr>
                <w:sz w:val="20"/>
              </w:rPr>
              <w:t>—</w:t>
            </w:r>
          </w:p>
        </w:tc>
        <w:tc>
          <w:tcPr>
            <w:tcW w:type="dxa" w:w="4535"/>
            <w:vAlign w:val="center"/>
            <w:shd w:fill="F2F6FA" w:val="clear"/>
          </w:tcPr>
          <w:p>
            <w:r/>
            <w:r>
              <w:rPr>
                <w:sz w:val="20"/>
              </w:rPr>
              <w:t>Kriter Excel kaynak izleri.</w:t>
            </w:r>
          </w:p>
        </w:tc>
      </w:tr>
      <w:tr>
        <w:tc>
          <w:tcPr>
            <w:tcW w:type="dxa" w:w="2835"/>
            <w:vAlign w:val="center"/>
          </w:tcPr>
          <w:p>
            <w:r/>
            <w:r>
              <w:rPr>
                <w:sz w:val="20"/>
              </w:rPr>
              <w:t>survey_import / rows</w:t>
            </w:r>
          </w:p>
        </w:tc>
        <w:tc>
          <w:tcPr>
            <w:tcW w:type="dxa" w:w="1417"/>
            <w:vAlign w:val="center"/>
          </w:tcPr>
          <w:p>
            <w:r/>
            <w:r>
              <w:rPr>
                <w:sz w:val="20"/>
              </w:rPr>
              <w:t>1 / 11</w:t>
            </w:r>
          </w:p>
        </w:tc>
        <w:tc>
          <w:tcPr>
            <w:tcW w:type="dxa" w:w="4535"/>
            <w:vAlign w:val="center"/>
          </w:tcPr>
          <w:p>
            <w:r/>
            <w:r>
              <w:rPr>
                <w:sz w:val="20"/>
              </w:rPr>
              <w:t>Anket Excel kaynak izleri.</w:t>
            </w:r>
          </w:p>
        </w:tc>
      </w:tr>
      <w:tr>
        <w:tc>
          <w:tcPr>
            <w:tcW w:type="dxa" w:w="2835"/>
            <w:vAlign w:val="center"/>
            <w:shd w:fill="F2F6FA" w:val="clear"/>
          </w:tcPr>
          <w:p>
            <w:r/>
            <w:r>
              <w:rPr>
                <w:sz w:val="20"/>
              </w:rPr>
              <w:t>criteria_department_status</w:t>
            </w:r>
          </w:p>
        </w:tc>
        <w:tc>
          <w:tcPr>
            <w:tcW w:type="dxa" w:w="1417"/>
            <w:vAlign w:val="center"/>
            <w:shd w:fill="F2F6FA" w:val="clear"/>
          </w:tcPr>
          <w:p>
            <w:r/>
            <w:r>
              <w:rPr>
                <w:sz w:val="20"/>
              </w:rPr>
              <w:t>28</w:t>
            </w:r>
          </w:p>
        </w:tc>
        <w:tc>
          <w:tcPr>
            <w:tcW w:type="dxa" w:w="4535"/>
            <w:vAlign w:val="center"/>
            <w:shd w:fill="F2F6FA" w:val="clear"/>
          </w:tcPr>
          <w:p>
            <w:r/>
            <w:r>
              <w:rPr>
                <w:sz w:val="20"/>
              </w:rPr>
              <w:t>Bölüm bazında kriter tamlık durumu.</w:t>
            </w:r>
          </w:p>
        </w:tc>
      </w:tr>
      <w:tr>
        <w:tc>
          <w:tcPr>
            <w:tcW w:type="dxa" w:w="2835"/>
            <w:vAlign w:val="center"/>
          </w:tcPr>
          <w:p>
            <w:r/>
            <w:r>
              <w:rPr>
                <w:sz w:val="20"/>
              </w:rPr>
              <w:t>criteria_faculty_status</w:t>
            </w:r>
          </w:p>
        </w:tc>
        <w:tc>
          <w:tcPr>
            <w:tcW w:type="dxa" w:w="1417"/>
            <w:vAlign w:val="center"/>
          </w:tcPr>
          <w:p>
            <w:r/>
            <w:r>
              <w:rPr>
                <w:sz w:val="20"/>
              </w:rPr>
              <w:t>18</w:t>
            </w:r>
          </w:p>
        </w:tc>
        <w:tc>
          <w:tcPr>
            <w:tcW w:type="dxa" w:w="4535"/>
            <w:vAlign w:val="center"/>
          </w:tcPr>
          <w:p>
            <w:r/>
            <w:r>
              <w:rPr>
                <w:sz w:val="20"/>
              </w:rPr>
              <w:t>Fakülte bazında kriter tamlık durumu.</w:t>
            </w:r>
          </w:p>
        </w:tc>
      </w:tr>
      <w:tr>
        <w:tc>
          <w:tcPr>
            <w:tcW w:type="dxa" w:w="2835"/>
            <w:vAlign w:val="center"/>
            <w:shd w:fill="F2F6FA" w:val="clear"/>
          </w:tcPr>
          <w:p>
            <w:r/>
            <w:r>
              <w:rPr>
                <w:sz w:val="20"/>
              </w:rPr>
              <w:t>curriculum_generation_audit</w:t>
            </w:r>
          </w:p>
        </w:tc>
        <w:tc>
          <w:tcPr>
            <w:tcW w:type="dxa" w:w="1417"/>
            <w:vAlign w:val="center"/>
            <w:shd w:fill="F2F6FA" w:val="clear"/>
          </w:tcPr>
          <w:p>
            <w:r/>
            <w:r>
              <w:rPr>
                <w:sz w:val="20"/>
              </w:rPr>
              <w:t>4</w:t>
            </w:r>
          </w:p>
        </w:tc>
        <w:tc>
          <w:tcPr>
            <w:tcW w:type="dxa" w:w="4535"/>
            <w:vAlign w:val="center"/>
            <w:shd w:fill="F2F6FA" w:val="clear"/>
          </w:tcPr>
          <w:p>
            <w:r/>
            <w:r>
              <w:rPr>
                <w:sz w:val="20"/>
              </w:rPr>
              <w:t>Müfredat üretim denetim kayıtları.</w:t>
            </w:r>
          </w:p>
        </w:tc>
      </w:tr>
    </w:tbl>
    <w:p>
      <w:pPr>
        <w:spacing w:after="120"/>
      </w:pPr>
      <w:r>
        <w:rPr>
          <w:rFonts w:ascii="Calibri" w:hAnsi="Calibri"/>
          <w:b w:val="0"/>
          <w:i w:val="0"/>
          <w:sz w:val="22"/>
        </w:rPr>
        <w:t>Şema güncellemeleri Alembic ile versiyonlanır; eski veritabanı dosyalarıyla geriye uyumluluk için çalışma anında eksik kolonları tamamlayan runtime schema guard (app/db/schema_compat.py) bulunur.</w:t>
      </w:r>
    </w:p>
    <w:p>
      <w:pPr>
        <w:pStyle w:val="Heading1"/>
      </w:pPr>
      <w:r>
        <w:rPr>
          <w:rFonts w:ascii="Calibri" w:hAnsi="Calibri"/>
          <w:color w:val="1F4E79"/>
          <w:sz w:val="40"/>
        </w:rPr>
        <w:t>2.4 Teknoloji Yığını</w:t>
      </w:r>
    </w:p>
    <w:tbl>
      <w:tblPr>
        <w:tblStyle w:val="LightGrid-Accent1"/>
        <w:tblW w:type="auto" w:w="0"/>
        <w:jc w:val="center"/>
        <w:tblLook w:firstColumn="1" w:firstRow="1" w:lastColumn="0" w:lastRow="0" w:noHBand="0" w:noVBand="1" w:val="04A0"/>
      </w:tblPr>
      <w:tblGrid>
        <w:gridCol w:w="4788"/>
        <w:gridCol w:w="4788"/>
      </w:tblGrid>
      <w:tr>
        <w:tc>
          <w:tcPr>
            <w:tcW w:type="dxa" w:w="3118"/>
            <w:shd w:fill="1F4E79" w:val="clear"/>
            <w:vAlign w:val="center"/>
          </w:tcPr>
          <w:p>
            <w:r/>
            <w:r>
              <w:rPr>
                <w:b/>
                <w:color w:val="FFFFFF"/>
                <w:sz w:val="22"/>
              </w:rPr>
              <w:t>Katman</w:t>
            </w:r>
          </w:p>
        </w:tc>
        <w:tc>
          <w:tcPr>
            <w:tcW w:type="dxa" w:w="5669"/>
            <w:shd w:fill="1F4E79" w:val="clear"/>
            <w:vAlign w:val="center"/>
          </w:tcPr>
          <w:p>
            <w:r/>
            <w:r>
              <w:rPr>
                <w:b/>
                <w:color w:val="FFFFFF"/>
                <w:sz w:val="22"/>
              </w:rPr>
              <w:t>Teknoloji</w:t>
            </w:r>
          </w:p>
        </w:tc>
      </w:tr>
      <w:tr>
        <w:tc>
          <w:tcPr>
            <w:tcW w:type="dxa" w:w="3118"/>
            <w:vAlign w:val="center"/>
          </w:tcPr>
          <w:p>
            <w:r/>
            <w:r>
              <w:rPr>
                <w:sz w:val="20"/>
              </w:rPr>
              <w:t>Programlama dili</w:t>
            </w:r>
          </w:p>
        </w:tc>
        <w:tc>
          <w:tcPr>
            <w:tcW w:type="dxa" w:w="5669"/>
            <w:vAlign w:val="center"/>
          </w:tcPr>
          <w:p>
            <w:r/>
            <w:r>
              <w:rPr>
                <w:sz w:val="20"/>
              </w:rPr>
              <w:t>Python 3.11</w:t>
            </w:r>
          </w:p>
        </w:tc>
      </w:tr>
      <w:tr>
        <w:tc>
          <w:tcPr>
            <w:tcW w:type="dxa" w:w="3118"/>
            <w:vAlign w:val="center"/>
            <w:shd w:fill="F2F6FA" w:val="clear"/>
          </w:tcPr>
          <w:p>
            <w:r/>
            <w:r>
              <w:rPr>
                <w:sz w:val="20"/>
              </w:rPr>
              <w:t>Masaüstü arayüz</w:t>
            </w:r>
          </w:p>
        </w:tc>
        <w:tc>
          <w:tcPr>
            <w:tcW w:type="dxa" w:w="5669"/>
            <w:vAlign w:val="center"/>
            <w:shd w:fill="F2F6FA" w:val="clear"/>
          </w:tcPr>
          <w:p>
            <w:r/>
            <w:r>
              <w:rPr>
                <w:sz w:val="20"/>
              </w:rPr>
              <w:t>Tkinter, ttk</w:t>
            </w:r>
          </w:p>
        </w:tc>
      </w:tr>
      <w:tr>
        <w:tc>
          <w:tcPr>
            <w:tcW w:type="dxa" w:w="3118"/>
            <w:vAlign w:val="center"/>
          </w:tcPr>
          <w:p>
            <w:r/>
            <w:r>
              <w:rPr>
                <w:sz w:val="20"/>
              </w:rPr>
              <w:t>REST API</w:t>
            </w:r>
          </w:p>
        </w:tc>
        <w:tc>
          <w:tcPr>
            <w:tcW w:type="dxa" w:w="5669"/>
            <w:vAlign w:val="center"/>
          </w:tcPr>
          <w:p>
            <w:r/>
            <w:r>
              <w:rPr>
                <w:sz w:val="20"/>
              </w:rPr>
              <w:t>FastAPI, Uvicorn, Pydantic v2</w:t>
            </w:r>
          </w:p>
        </w:tc>
      </w:tr>
      <w:tr>
        <w:tc>
          <w:tcPr>
            <w:tcW w:type="dxa" w:w="3118"/>
            <w:vAlign w:val="center"/>
            <w:shd w:fill="F2F6FA" w:val="clear"/>
          </w:tcPr>
          <w:p>
            <w:r/>
            <w:r>
              <w:rPr>
                <w:sz w:val="20"/>
              </w:rPr>
              <w:t>ORM ve DB</w:t>
            </w:r>
          </w:p>
        </w:tc>
        <w:tc>
          <w:tcPr>
            <w:tcW w:type="dxa" w:w="5669"/>
            <w:vAlign w:val="center"/>
            <w:shd w:fill="F2F6FA" w:val="clear"/>
          </w:tcPr>
          <w:p>
            <w:r/>
            <w:r>
              <w:rPr>
                <w:sz w:val="20"/>
              </w:rPr>
              <w:t>SQLAlchemy 2.x, SQLite (Alembic migration)</w:t>
            </w:r>
          </w:p>
        </w:tc>
      </w:tr>
      <w:tr>
        <w:tc>
          <w:tcPr>
            <w:tcW w:type="dxa" w:w="3118"/>
            <w:vAlign w:val="center"/>
          </w:tcPr>
          <w:p>
            <w:r/>
            <w:r>
              <w:rPr>
                <w:sz w:val="20"/>
              </w:rPr>
              <w:t>Veri işleme</w:t>
            </w:r>
          </w:p>
        </w:tc>
        <w:tc>
          <w:tcPr>
            <w:tcW w:type="dxa" w:w="5669"/>
            <w:vAlign w:val="center"/>
          </w:tcPr>
          <w:p>
            <w:r/>
            <w:r>
              <w:rPr>
                <w:sz w:val="20"/>
              </w:rPr>
              <w:t>pandas, numpy, openpyxl</w:t>
            </w:r>
          </w:p>
        </w:tc>
      </w:tr>
      <w:tr>
        <w:tc>
          <w:tcPr>
            <w:tcW w:type="dxa" w:w="3118"/>
            <w:vAlign w:val="center"/>
            <w:shd w:fill="F2F6FA" w:val="clear"/>
          </w:tcPr>
          <w:p>
            <w:r/>
            <w:r>
              <w:rPr>
                <w:sz w:val="20"/>
              </w:rPr>
              <w:t>ML / istatistik</w:t>
            </w:r>
          </w:p>
        </w:tc>
        <w:tc>
          <w:tcPr>
            <w:tcW w:type="dxa" w:w="5669"/>
            <w:vAlign w:val="center"/>
            <w:shd w:fill="F2F6FA" w:val="clear"/>
          </w:tcPr>
          <w:p>
            <w:r/>
            <w:r>
              <w:rPr>
                <w:sz w:val="20"/>
              </w:rPr>
              <w:t>scikit-learn, scipy</w:t>
            </w:r>
          </w:p>
        </w:tc>
      </w:tr>
      <w:tr>
        <w:tc>
          <w:tcPr>
            <w:tcW w:type="dxa" w:w="3118"/>
            <w:vAlign w:val="center"/>
          </w:tcPr>
          <w:p>
            <w:r/>
            <w:r>
              <w:rPr>
                <w:sz w:val="20"/>
              </w:rPr>
              <w:t>Boost / gradient</w:t>
            </w:r>
          </w:p>
        </w:tc>
        <w:tc>
          <w:tcPr>
            <w:tcW w:type="dxa" w:w="5669"/>
            <w:vAlign w:val="center"/>
          </w:tcPr>
          <w:p>
            <w:r/>
            <w:r>
              <w:rPr>
                <w:sz w:val="20"/>
              </w:rPr>
              <w:t>xgboost (opsiyonel), GradientBoosting fallback</w:t>
            </w:r>
          </w:p>
        </w:tc>
      </w:tr>
      <w:tr>
        <w:tc>
          <w:tcPr>
            <w:tcW w:type="dxa" w:w="3118"/>
            <w:vAlign w:val="center"/>
            <w:shd w:fill="F2F6FA" w:val="clear"/>
          </w:tcPr>
          <w:p>
            <w:r/>
            <w:r>
              <w:rPr>
                <w:sz w:val="20"/>
              </w:rPr>
              <w:t>NLP / benzerlik</w:t>
            </w:r>
          </w:p>
        </w:tc>
        <w:tc>
          <w:tcPr>
            <w:tcW w:type="dxa" w:w="5669"/>
            <w:vAlign w:val="center"/>
            <w:shd w:fill="F2F6FA" w:val="clear"/>
          </w:tcPr>
          <w:p>
            <w:r/>
            <w:r>
              <w:rPr>
                <w:sz w:val="20"/>
              </w:rPr>
              <w:t>TfidfVectorizer, cosine_similarity</w:t>
            </w:r>
          </w:p>
        </w:tc>
      </w:tr>
      <w:tr>
        <w:tc>
          <w:tcPr>
            <w:tcW w:type="dxa" w:w="3118"/>
            <w:vAlign w:val="center"/>
          </w:tcPr>
          <w:p>
            <w:r/>
            <w:r>
              <w:rPr>
                <w:sz w:val="20"/>
              </w:rPr>
              <w:t>Görselleştirme</w:t>
            </w:r>
          </w:p>
        </w:tc>
        <w:tc>
          <w:tcPr>
            <w:tcW w:type="dxa" w:w="5669"/>
            <w:vAlign w:val="center"/>
          </w:tcPr>
          <w:p>
            <w:r/>
            <w:r>
              <w:rPr>
                <w:sz w:val="20"/>
              </w:rPr>
              <w:t>matplotlib</w:t>
            </w:r>
          </w:p>
        </w:tc>
      </w:tr>
      <w:tr>
        <w:tc>
          <w:tcPr>
            <w:tcW w:type="dxa" w:w="3118"/>
            <w:vAlign w:val="center"/>
            <w:shd w:fill="F2F6FA" w:val="clear"/>
          </w:tcPr>
          <w:p>
            <w:r/>
            <w:r>
              <w:rPr>
                <w:sz w:val="20"/>
              </w:rPr>
              <w:t>Test altyapısı</w:t>
            </w:r>
          </w:p>
        </w:tc>
        <w:tc>
          <w:tcPr>
            <w:tcW w:type="dxa" w:w="5669"/>
            <w:vAlign w:val="center"/>
            <w:shd w:fill="F2F6FA" w:val="clear"/>
          </w:tcPr>
          <w:p>
            <w:r/>
            <w:r>
              <w:rPr>
                <w:sz w:val="20"/>
              </w:rPr>
              <w:t>pytest, coverage</w:t>
            </w:r>
          </w:p>
        </w:tc>
      </w:tr>
      <w:tr>
        <w:tc>
          <w:tcPr>
            <w:tcW w:type="dxa" w:w="3118"/>
            <w:vAlign w:val="center"/>
          </w:tcPr>
          <w:p>
            <w:r/>
            <w:r>
              <w:rPr>
                <w:sz w:val="20"/>
              </w:rPr>
              <w:t>Paket yönetimi</w:t>
            </w:r>
          </w:p>
        </w:tc>
        <w:tc>
          <w:tcPr>
            <w:tcW w:type="dxa" w:w="5669"/>
            <w:vAlign w:val="center"/>
          </w:tcPr>
          <w:p>
            <w:r/>
            <w:r>
              <w:rPr>
                <w:sz w:val="20"/>
              </w:rPr>
              <w:t>pip + requirements.txt + venv</w:t>
            </w:r>
          </w:p>
        </w:tc>
      </w:tr>
      <w:tr>
        <w:tc>
          <w:tcPr>
            <w:tcW w:type="dxa" w:w="3118"/>
            <w:vAlign w:val="center"/>
            <w:shd w:fill="F2F6FA" w:val="clear"/>
          </w:tcPr>
          <w:p>
            <w:r/>
            <w:r>
              <w:rPr>
                <w:sz w:val="20"/>
              </w:rPr>
              <w:t>Loglama</w:t>
            </w:r>
          </w:p>
        </w:tc>
        <w:tc>
          <w:tcPr>
            <w:tcW w:type="dxa" w:w="5669"/>
            <w:vAlign w:val="center"/>
            <w:shd w:fill="F2F6FA" w:val="clear"/>
          </w:tcPr>
          <w:p>
            <w:r/>
            <w:r>
              <w:rPr>
                <w:sz w:val="20"/>
              </w:rPr>
              <w:t>Python logging, log-rotation</w:t>
            </w:r>
          </w:p>
        </w:tc>
      </w:tr>
    </w:tbl>
    <w:p>
      <w:r>
        <w:br w:type="page"/>
      </w:r>
    </w:p>
    <w:p>
      <w:pPr>
        <w:pStyle w:val="Title"/>
      </w:pPr>
      <w:r>
        <w:rPr>
          <w:rFonts w:ascii="Calibri" w:hAnsi="Calibri"/>
          <w:color w:val="1F4E79"/>
          <w:sz w:val="56"/>
        </w:rPr>
        <w:t>3. ALGORİTMALAR VE HESAPLAMALAR</w:t>
      </w:r>
    </w:p>
    <w:p>
      <w:pPr>
        <w:spacing w:after="120"/>
      </w:pPr>
      <w:r>
        <w:rPr>
          <w:rFonts w:ascii="Calibri" w:hAnsi="Calibri"/>
          <w:b w:val="0"/>
          <w:i w:val="0"/>
          <w:sz w:val="22"/>
        </w:rPr>
        <w:t>Bu bölümde, sistemin karar hattında yer alan üretim algoritmaları ile benchmark platformunda kullanılan referans algoritmalar matematiksel düzeyde anlatılmıştır. Her algoritma için amaç, formül, kullanılan girdiler, çıktı, parametreler ve projeye katkısı ayrı ayrı verilmiştir.</w:t>
      </w:r>
    </w:p>
    <w:p>
      <w:pPr>
        <w:pStyle w:val="Heading1"/>
      </w:pPr>
      <w:r>
        <w:rPr>
          <w:rFonts w:ascii="Calibri" w:hAnsi="Calibri"/>
          <w:color w:val="1F4E79"/>
          <w:sz w:val="40"/>
        </w:rPr>
        <w:t>3.1 AHP — Analytic Hierarchy Process</w:t>
      </w:r>
    </w:p>
    <w:p>
      <w:pPr>
        <w:spacing w:after="120"/>
      </w:pPr>
      <w:r>
        <w:rPr>
          <w:rFonts w:ascii="Calibri" w:hAnsi="Calibri"/>
          <w:b w:val="0"/>
          <w:i w:val="0"/>
          <w:sz w:val="22"/>
        </w:rPr>
        <w:t>AHP, T. L. Saaty tarafından 1980’de önerilmiş, çok kriterli karar problemlerinde ağırlıkları sistematik şekilde üretmeye yarayan bir yöntemdir. Bu projede AHP, dört temel kriterin — Başarı, Trend, Popülerlik ve Anket — karar üzerindeki nispi önemini belirler. Sonuçlar TOPSIS’in normalize matrisini ağırlıklandırmak için kullanılır.</w:t>
      </w:r>
    </w:p>
    <w:p>
      <w:pPr>
        <w:spacing w:after="120"/>
      </w:pPr>
      <w:r>
        <w:rPr>
          <w:rFonts w:ascii="Calibri" w:hAnsi="Calibri"/>
          <w:b/>
          <w:i w:val="0"/>
          <w:sz w:val="24"/>
        </w:rPr>
        <w:t>3.1.1 İkili Karşılaştırma Matrisi</w:t>
      </w:r>
    </w:p>
    <w:p>
      <w:pPr>
        <w:spacing w:after="120"/>
      </w:pPr>
      <w:r>
        <w:rPr>
          <w:rFonts w:ascii="Calibri" w:hAnsi="Calibri"/>
          <w:b w:val="0"/>
          <w:i w:val="0"/>
          <w:sz w:val="22"/>
        </w:rPr>
        <w:t>n kriter için n×n boyutlu A matrisi kurulur. Her hücre a(i,j), i. kriterin j. kritere göre kaç kat daha önemli olduğunu temsil eder. Saaty’nin 1-9 ölçeği kullanılır:</w:t>
      </w:r>
    </w:p>
    <w:p>
      <w:pPr>
        <w:jc w:val="center"/>
      </w:pPr>
      <w:r>
        <w:drawing>
          <wp:inline xmlns:a="http://schemas.openxmlformats.org/drawingml/2006/main" xmlns:pic="http://schemas.openxmlformats.org/drawingml/2006/picture">
            <wp:extent cx="1872000" cy="1105157"/>
            <wp:docPr id="3" name="Picture 3"/>
            <wp:cNvGraphicFramePr>
              <a:graphicFrameLocks noChangeAspect="1"/>
            </wp:cNvGraphicFramePr>
            <a:graphic>
              <a:graphicData uri="http://schemas.openxmlformats.org/drawingml/2006/picture">
                <pic:pic>
                  <pic:nvPicPr>
                    <pic:cNvPr id="0" name="matris.png"/>
                    <pic:cNvPicPr/>
                  </pic:nvPicPr>
                  <pic:blipFill>
                    <a:blip r:embed="rId11"/>
                    <a:stretch>
                      <a:fillRect/>
                    </a:stretch>
                  </pic:blipFill>
                  <pic:spPr>
                    <a:xfrm>
                      <a:off x="0" y="0"/>
                      <a:ext cx="1872000" cy="1105157"/>
                    </a:xfrm>
                    <a:prstGeom prst="rect"/>
                  </pic:spPr>
                </pic:pic>
              </a:graphicData>
            </a:graphic>
          </wp:inline>
        </w:drawing>
      </w:r>
    </w:p>
    <w:p>
      <w:pPr>
        <w:jc w:val="center"/>
      </w:pPr>
      <w:r>
        <w:rPr>
          <w:i/>
          <w:color w:val="666666"/>
          <w:sz w:val="20"/>
        </w:rPr>
        <w:t>Şekil 3.1 — Örnek 4×4 Saaty ikili karşılaştırma matrisi.</w:t>
      </w:r>
    </w:p>
    <w:p>
      <w:pPr>
        <w:spacing w:after="120"/>
      </w:pPr>
      <w:r>
        <w:rPr>
          <w:rFonts w:ascii="Calibri" w:hAnsi="Calibri"/>
          <w:b w:val="0"/>
          <w:i w:val="0"/>
          <w:sz w:val="22"/>
        </w:rPr>
        <w:t>Karşılıklılık koşulu: a(j,i) = 1 / a(i,j), a(i,i) = 1.</w:t>
      </w:r>
    </w:p>
    <w:p>
      <w:pPr>
        <w:spacing w:after="120"/>
      </w:pPr>
      <w:r>
        <w:rPr>
          <w:rFonts w:ascii="Calibri" w:hAnsi="Calibri"/>
          <w:b/>
          <w:i w:val="0"/>
          <w:sz w:val="24"/>
        </w:rPr>
        <w:t>3.1.2 Özvektör ile Ağırlık</w:t>
      </w:r>
    </w:p>
    <w:p>
      <w:pPr>
        <w:spacing w:after="120"/>
      </w:pPr>
      <w:r>
        <w:rPr>
          <w:rFonts w:ascii="Calibri" w:hAnsi="Calibri"/>
          <w:b w:val="0"/>
          <w:i w:val="0"/>
          <w:sz w:val="22"/>
        </w:rPr>
        <w:t>Ağırlık vektörü w, A matrisinin ana (Perron-Frobenius) özvektörü olarak elde edilir. Hesaplama power iteration ile yapılır: rastgele bir w0 ile başlanır, A·w / ||A·w|| iterasyonu yakınsayıncaya kadar tekrarlanır. Çıktı Σwi = 1 olacak şekilde normalize edilir.</w:t>
      </w:r>
    </w:p>
    <w:p>
      <w:pPr>
        <w:spacing w:after="120"/>
      </w:pPr>
      <w:r>
        <w:rPr>
          <w:rFonts w:ascii="Calibri" w:hAnsi="Calibri"/>
          <w:b/>
          <w:i w:val="0"/>
          <w:sz w:val="24"/>
        </w:rPr>
        <w:t>3.1.3 Tutarlılık Oranı (CR)</w:t>
      </w:r>
    </w:p>
    <w:p>
      <w:pPr>
        <w:spacing w:after="120"/>
      </w:pPr>
      <w:r>
        <w:rPr>
          <w:rFonts w:ascii="Calibri" w:hAnsi="Calibri"/>
          <w:b w:val="0"/>
          <w:i w:val="0"/>
          <w:sz w:val="22"/>
        </w:rPr>
        <w:t>Kullanıcının yaptığı ikili karşılaştırmaların tutarlılığı ölçülür. λmax, ana özdeğer olmak üzere:</w:t>
      </w:r>
    </w:p>
    <w:p>
      <w:pPr>
        <w:spacing w:after="120"/>
        <w:jc w:val="center"/>
      </w:pPr>
      <w:r>
        <w:rPr>
          <w:rFonts w:ascii="Calibri" w:hAnsi="Calibri"/>
          <w:b/>
          <w:i w:val="0"/>
          <w:sz w:val="22"/>
        </w:rPr>
        <w:t xml:space="preserve">   CI = (λmax − n) / (n − 1)</w:t>
      </w:r>
    </w:p>
    <w:p>
      <w:pPr>
        <w:spacing w:after="120"/>
        <w:jc w:val="center"/>
      </w:pPr>
      <w:r>
        <w:rPr>
          <w:rFonts w:ascii="Calibri" w:hAnsi="Calibri"/>
          <w:b/>
          <w:i w:val="0"/>
          <w:sz w:val="22"/>
        </w:rPr>
        <w:t xml:space="preserve">   CR = CI / RI(n)</w:t>
      </w:r>
    </w:p>
    <w:p>
      <w:pPr>
        <w:spacing w:after="120"/>
      </w:pPr>
      <w:r>
        <w:rPr>
          <w:rFonts w:ascii="Calibri" w:hAnsi="Calibri"/>
          <w:b w:val="0"/>
          <w:i w:val="0"/>
          <w:sz w:val="22"/>
        </w:rPr>
        <w:t>RI(n), rastgele matrislerin ortalama tutarsızlık indeksidir. Projede n=4 için RI = 0.90 kullanılır. CR &lt; 0.10 olduğunda matris kabul edilir; aksi halde sistem kullanıcıyı uyarır ve profil onaylanmaz.</w:t>
      </w:r>
    </w:p>
    <w:p>
      <w:pPr>
        <w:spacing w:after="120"/>
      </w:pPr>
      <w:r>
        <w:rPr>
          <w:rFonts w:ascii="Calibri" w:hAnsi="Calibri"/>
          <w:b/>
          <w:i w:val="0"/>
          <w:sz w:val="24"/>
        </w:rPr>
        <w:t>3.1.4 Aktif Profil Sistemi</w:t>
      </w:r>
    </w:p>
    <w:p>
      <w:pPr>
        <w:spacing w:after="120"/>
      </w:pPr>
      <w:r>
        <w:rPr>
          <w:rFonts w:ascii="Calibri" w:hAnsi="Calibri"/>
          <w:b w:val="0"/>
          <w:i w:val="0"/>
          <w:sz w:val="22"/>
        </w:rPr>
        <w:t>Projede AHP ağırlıkları kodda sabit değildir. Her fakülte/bölüm/yıl için ayrı bir AHP profili tanımlanabilir. Hesaplama sırasında çözüm hiyerarşik olarak şöyledir:</w:t>
      </w:r>
    </w:p>
    <w:p>
      <w:pPr>
        <w:pStyle w:val="ListNumber"/>
      </w:pPr>
      <w:r>
        <w:rPr>
          <w:rFonts w:ascii="Calibri" w:hAnsi="Calibri"/>
          <w:sz w:val="22"/>
        </w:rPr>
        <w:t>Aynı fakülte+bölüm+yıl için profil var mı?</w:t>
      </w:r>
    </w:p>
    <w:p>
      <w:pPr>
        <w:pStyle w:val="ListNumber"/>
      </w:pPr>
      <w:r>
        <w:rPr>
          <w:rFonts w:ascii="Calibri" w:hAnsi="Calibri"/>
          <w:sz w:val="22"/>
        </w:rPr>
        <w:t>Yoksa fakülte+yıl profili var mı?</w:t>
      </w:r>
    </w:p>
    <w:p>
      <w:pPr>
        <w:pStyle w:val="ListNumber"/>
      </w:pPr>
      <w:r>
        <w:rPr>
          <w:rFonts w:ascii="Calibri" w:hAnsi="Calibri"/>
          <w:sz w:val="22"/>
        </w:rPr>
        <w:t>Yoksa fakülte profili var mı?</w:t>
      </w:r>
    </w:p>
    <w:p>
      <w:pPr>
        <w:pStyle w:val="ListNumber"/>
      </w:pPr>
      <w:r>
        <w:rPr>
          <w:rFonts w:ascii="Calibri" w:hAnsi="Calibri"/>
          <w:sz w:val="22"/>
        </w:rPr>
        <w:t>Yoksa global profil var mı?</w:t>
      </w:r>
    </w:p>
    <w:p>
      <w:pPr>
        <w:pStyle w:val="ListNumber"/>
      </w:pPr>
      <w:r>
        <w:rPr>
          <w:rFonts w:ascii="Calibri" w:hAnsi="Calibri"/>
          <w:sz w:val="22"/>
        </w:rPr>
        <w:t>Hiçbiri yoksa legacy Saaty matrisi fallback olarak kullanılır.</w:t>
      </w:r>
    </w:p>
    <w:p>
      <w:pPr>
        <w:spacing w:after="120"/>
      </w:pPr>
      <w:r>
        <w:rPr>
          <w:rFonts w:ascii="Calibri" w:hAnsi="Calibri"/>
          <w:b w:val="0"/>
          <w:i w:val="0"/>
          <w:sz w:val="22"/>
        </w:rPr>
        <w:t>Karar çalışması her seferinde kullanılan profilin id’sini, ağırlık snapshot’ını, CR’yi ve fallback kullanılıp kullanılmadığını saklar. Bu sayede aynı ders için yıllar arası ağırlık değişimi geriye dönük olarak izlenebilir.</w:t>
      </w:r>
    </w:p>
    <w:p>
      <w:pPr>
        <w:spacing w:after="120"/>
      </w:pPr>
      <w:r>
        <w:rPr>
          <w:rFonts w:ascii="Calibri" w:hAnsi="Calibri"/>
          <w:b/>
          <w:i w:val="0"/>
          <w:sz w:val="24"/>
        </w:rPr>
        <w:t>3.1.5 Üretilen Ağırlıklar (Aktif Profil)</w:t>
      </w:r>
    </w:p>
    <w:p>
      <w:pPr>
        <w:jc w:val="center"/>
      </w:pPr>
      <w:r>
        <w:drawing>
          <wp:inline xmlns:a="http://schemas.openxmlformats.org/drawingml/2006/main" xmlns:pic="http://schemas.openxmlformats.org/drawingml/2006/picture">
            <wp:extent cx="5220000" cy="2891077"/>
            <wp:docPr id="4" name="Picture 4"/>
            <wp:cNvGraphicFramePr>
              <a:graphicFrameLocks noChangeAspect="1"/>
            </wp:cNvGraphicFramePr>
            <a:graphic>
              <a:graphicData uri="http://schemas.openxmlformats.org/drawingml/2006/picture">
                <pic:pic>
                  <pic:nvPicPr>
                    <pic:cNvPr id="0" name="ahp_weights.png"/>
                    <pic:cNvPicPr/>
                  </pic:nvPicPr>
                  <pic:blipFill>
                    <a:blip r:embed="rId12"/>
                    <a:stretch>
                      <a:fillRect/>
                    </a:stretch>
                  </pic:blipFill>
                  <pic:spPr>
                    <a:xfrm>
                      <a:off x="0" y="0"/>
                      <a:ext cx="5220000" cy="2891077"/>
                    </a:xfrm>
                    <a:prstGeom prst="rect"/>
                  </pic:spPr>
                </pic:pic>
              </a:graphicData>
            </a:graphic>
          </wp:inline>
        </w:drawing>
      </w:r>
    </w:p>
    <w:p>
      <w:pPr>
        <w:jc w:val="center"/>
      </w:pPr>
      <w:r>
        <w:rPr>
          <w:i/>
          <w:color w:val="666666"/>
          <w:sz w:val="20"/>
        </w:rPr>
        <w:t>Şekil 3.2 — Aktif AHP profili (id=11) tarafından üretilen kriter ağırlıkları.</w:t>
      </w:r>
    </w:p>
    <w:p>
      <w:pPr>
        <w:spacing w:after="120"/>
      </w:pPr>
      <w:r>
        <w:rPr>
          <w:rFonts w:ascii="Calibri" w:hAnsi="Calibri"/>
          <w:b w:val="0"/>
          <w:i w:val="0"/>
          <w:sz w:val="22"/>
        </w:rPr>
        <w:t>Başarı kriterinin diğerlerinden iki katın üzerinde olması, “önce öğrenci başarısı” politikasının ağırlıklara doğrudan yansıdığını gösterir. Trend, popülerlik ve anket birbirine yakın değerlerle tamamlayıcı kriter olarak yer alır.</w:t>
      </w:r>
    </w:p>
    <w:p>
      <w:pPr>
        <w:spacing w:after="120"/>
      </w:pPr>
      <w:r>
        <w:rPr>
          <w:rFonts w:ascii="Calibri" w:hAnsi="Calibri"/>
          <w:b/>
          <w:i w:val="0"/>
          <w:sz w:val="24"/>
        </w:rPr>
        <w:t>3.1.6 İşlenmiş AHP Örneği</w:t>
      </w:r>
    </w:p>
    <w:p>
      <w:pPr>
        <w:spacing w:after="120"/>
      </w:pPr>
      <w:r>
        <w:rPr>
          <w:rFonts w:ascii="Calibri" w:hAnsi="Calibri"/>
          <w:b w:val="0"/>
          <w:i w:val="0"/>
          <w:sz w:val="22"/>
        </w:rPr>
        <w:t>Aşağıda Saaty matrisinden ağırlıklara giden hesabın elle yapılmış adımları gösterilmektedir. Sütunlar başarı (B), trend (T), popülerlik (P), anket (A) sırasıyladır:</w:t>
      </w:r>
    </w:p>
    <w:p>
      <w:pPr>
        <w:spacing w:after="120"/>
      </w:pPr>
      <w:r>
        <w:rPr>
          <w:rFonts w:ascii="Calibri" w:hAnsi="Calibri"/>
          <w:b/>
          <w:i w:val="0"/>
          <w:sz w:val="22"/>
        </w:rPr>
        <w:t>Adım 1 — Sütun toplamlarını al:</w:t>
      </w:r>
    </w:p>
    <w:p>
      <w:pPr>
        <w:spacing w:after="120"/>
        <w:jc w:val="center"/>
      </w:pPr>
      <w:r>
        <w:rPr>
          <w:rFonts w:ascii="Calibri" w:hAnsi="Calibri"/>
          <w:b/>
          <w:i w:val="0"/>
          <w:sz w:val="22"/>
        </w:rPr>
        <w:t xml:space="preserve">   Σ B = 1 + 1/3 + 1/5 + 1/9 ≈ 1.644</w:t>
      </w:r>
    </w:p>
    <w:p>
      <w:pPr>
        <w:spacing w:after="120"/>
        <w:jc w:val="center"/>
      </w:pPr>
      <w:r>
        <w:rPr>
          <w:rFonts w:ascii="Calibri" w:hAnsi="Calibri"/>
          <w:b/>
          <w:i w:val="0"/>
          <w:sz w:val="22"/>
        </w:rPr>
        <w:t xml:space="preserve">   Σ T = 3 + 1 + 1/2 + 1/5 ≈ 4.700</w:t>
      </w:r>
    </w:p>
    <w:p>
      <w:pPr>
        <w:spacing w:after="120"/>
        <w:jc w:val="center"/>
      </w:pPr>
      <w:r>
        <w:rPr>
          <w:rFonts w:ascii="Calibri" w:hAnsi="Calibri"/>
          <w:b/>
          <w:i w:val="0"/>
          <w:sz w:val="22"/>
        </w:rPr>
        <w:t xml:space="preserve">   Σ P = 5 + 2 + 1 + 1/4 ≈ 8.250</w:t>
      </w:r>
    </w:p>
    <w:p>
      <w:pPr>
        <w:spacing w:after="120"/>
        <w:jc w:val="center"/>
      </w:pPr>
      <w:r>
        <w:rPr>
          <w:rFonts w:ascii="Calibri" w:hAnsi="Calibri"/>
          <w:b/>
          <w:i w:val="0"/>
          <w:sz w:val="22"/>
        </w:rPr>
        <w:t xml:space="preserve">   Σ A = 9 + 5 + 4 + 1 = 19.000</w:t>
      </w:r>
    </w:p>
    <w:p>
      <w:pPr>
        <w:spacing w:after="120"/>
      </w:pPr>
      <w:r>
        <w:rPr>
          <w:rFonts w:ascii="Calibri" w:hAnsi="Calibri"/>
          <w:b/>
          <w:i w:val="0"/>
          <w:sz w:val="22"/>
        </w:rPr>
        <w:t>Adım 2 — Normalize matrisi oluştur (her sütunu kendi toplamına böl):</w:t>
      </w:r>
    </w:p>
    <w:tbl>
      <w:tblPr>
        <w:tblStyle w:val="LightGrid-Accent1"/>
        <w:tblW w:type="auto" w:w="0"/>
        <w:jc w:val="center"/>
        <w:tblLook w:firstColumn="1" w:firstRow="1" w:lastColumn="0" w:lastRow="0" w:noHBand="0" w:noVBand="1" w:val="04A0"/>
      </w:tblPr>
      <w:tblGrid>
        <w:gridCol w:w="1915"/>
        <w:gridCol w:w="1915"/>
        <w:gridCol w:w="1915"/>
        <w:gridCol w:w="1915"/>
        <w:gridCol w:w="1915"/>
      </w:tblGrid>
      <w:tr>
        <w:tc>
          <w:tcPr>
            <w:tcW w:type="dxa" w:w="1701"/>
            <w:shd w:fill="1F4E79" w:val="clear"/>
            <w:vAlign w:val="center"/>
          </w:tcPr>
          <w:p>
            <w:r/>
            <w:r>
              <w:rPr>
                <w:b/>
                <w:color w:val="FFFFFF"/>
                <w:sz w:val="22"/>
              </w:rPr>
              <w:t>Kriter</w:t>
            </w:r>
          </w:p>
        </w:tc>
        <w:tc>
          <w:tcPr>
            <w:tcW w:type="dxa" w:w="1701"/>
            <w:shd w:fill="1F4E79" w:val="clear"/>
            <w:vAlign w:val="center"/>
          </w:tcPr>
          <w:p>
            <w:r/>
            <w:r>
              <w:rPr>
                <w:b/>
                <w:color w:val="FFFFFF"/>
                <w:sz w:val="22"/>
              </w:rPr>
              <w:t>B</w:t>
            </w:r>
          </w:p>
        </w:tc>
        <w:tc>
          <w:tcPr>
            <w:tcW w:type="dxa" w:w="1701"/>
            <w:shd w:fill="1F4E79" w:val="clear"/>
            <w:vAlign w:val="center"/>
          </w:tcPr>
          <w:p>
            <w:r/>
            <w:r>
              <w:rPr>
                <w:b/>
                <w:color w:val="FFFFFF"/>
                <w:sz w:val="22"/>
              </w:rPr>
              <w:t>T</w:t>
            </w:r>
          </w:p>
        </w:tc>
        <w:tc>
          <w:tcPr>
            <w:tcW w:type="dxa" w:w="1701"/>
            <w:shd w:fill="1F4E79" w:val="clear"/>
            <w:vAlign w:val="center"/>
          </w:tcPr>
          <w:p>
            <w:r/>
            <w:r>
              <w:rPr>
                <w:b/>
                <w:color w:val="FFFFFF"/>
                <w:sz w:val="22"/>
              </w:rPr>
              <w:t>P</w:t>
            </w:r>
          </w:p>
        </w:tc>
        <w:tc>
          <w:tcPr>
            <w:tcW w:type="dxa" w:w="1701"/>
            <w:shd w:fill="1F4E79" w:val="clear"/>
            <w:vAlign w:val="center"/>
          </w:tcPr>
          <w:p>
            <w:r/>
            <w:r>
              <w:rPr>
                <w:b/>
                <w:color w:val="FFFFFF"/>
                <w:sz w:val="22"/>
              </w:rPr>
              <w:t>A</w:t>
            </w:r>
          </w:p>
        </w:tc>
      </w:tr>
      <w:tr>
        <w:tc>
          <w:tcPr>
            <w:tcW w:type="dxa" w:w="1701"/>
            <w:vAlign w:val="center"/>
          </w:tcPr>
          <w:p>
            <w:r/>
            <w:r>
              <w:rPr>
                <w:sz w:val="20"/>
              </w:rPr>
              <w:t>B</w:t>
            </w:r>
          </w:p>
        </w:tc>
        <w:tc>
          <w:tcPr>
            <w:tcW w:type="dxa" w:w="1701"/>
            <w:vAlign w:val="center"/>
          </w:tcPr>
          <w:p>
            <w:r/>
            <w:r>
              <w:rPr>
                <w:sz w:val="20"/>
              </w:rPr>
              <w:t>0.608</w:t>
            </w:r>
          </w:p>
        </w:tc>
        <w:tc>
          <w:tcPr>
            <w:tcW w:type="dxa" w:w="1701"/>
            <w:vAlign w:val="center"/>
          </w:tcPr>
          <w:p>
            <w:r/>
            <w:r>
              <w:rPr>
                <w:sz w:val="20"/>
              </w:rPr>
              <w:t>0.638</w:t>
            </w:r>
          </w:p>
        </w:tc>
        <w:tc>
          <w:tcPr>
            <w:tcW w:type="dxa" w:w="1701"/>
            <w:vAlign w:val="center"/>
          </w:tcPr>
          <w:p>
            <w:r/>
            <w:r>
              <w:rPr>
                <w:sz w:val="20"/>
              </w:rPr>
              <w:t>0.606</w:t>
            </w:r>
          </w:p>
        </w:tc>
        <w:tc>
          <w:tcPr>
            <w:tcW w:type="dxa" w:w="1701"/>
            <w:vAlign w:val="center"/>
          </w:tcPr>
          <w:p>
            <w:r/>
            <w:r>
              <w:rPr>
                <w:sz w:val="20"/>
              </w:rPr>
              <w:t>0.474</w:t>
            </w:r>
          </w:p>
        </w:tc>
      </w:tr>
      <w:tr>
        <w:tc>
          <w:tcPr>
            <w:tcW w:type="dxa" w:w="1701"/>
            <w:vAlign w:val="center"/>
            <w:shd w:fill="F2F6FA" w:val="clear"/>
          </w:tcPr>
          <w:p>
            <w:r/>
            <w:r>
              <w:rPr>
                <w:sz w:val="20"/>
              </w:rPr>
              <w:t>T</w:t>
            </w:r>
          </w:p>
        </w:tc>
        <w:tc>
          <w:tcPr>
            <w:tcW w:type="dxa" w:w="1701"/>
            <w:vAlign w:val="center"/>
            <w:shd w:fill="F2F6FA" w:val="clear"/>
          </w:tcPr>
          <w:p>
            <w:r/>
            <w:r>
              <w:rPr>
                <w:sz w:val="20"/>
              </w:rPr>
              <w:t>0.203</w:t>
            </w:r>
          </w:p>
        </w:tc>
        <w:tc>
          <w:tcPr>
            <w:tcW w:type="dxa" w:w="1701"/>
            <w:vAlign w:val="center"/>
            <w:shd w:fill="F2F6FA" w:val="clear"/>
          </w:tcPr>
          <w:p>
            <w:r/>
            <w:r>
              <w:rPr>
                <w:sz w:val="20"/>
              </w:rPr>
              <w:t>0.213</w:t>
            </w:r>
          </w:p>
        </w:tc>
        <w:tc>
          <w:tcPr>
            <w:tcW w:type="dxa" w:w="1701"/>
            <w:vAlign w:val="center"/>
            <w:shd w:fill="F2F6FA" w:val="clear"/>
          </w:tcPr>
          <w:p>
            <w:r/>
            <w:r>
              <w:rPr>
                <w:sz w:val="20"/>
              </w:rPr>
              <w:t>0.242</w:t>
            </w:r>
          </w:p>
        </w:tc>
        <w:tc>
          <w:tcPr>
            <w:tcW w:type="dxa" w:w="1701"/>
            <w:vAlign w:val="center"/>
            <w:shd w:fill="F2F6FA" w:val="clear"/>
          </w:tcPr>
          <w:p>
            <w:r/>
            <w:r>
              <w:rPr>
                <w:sz w:val="20"/>
              </w:rPr>
              <w:t>0.263</w:t>
            </w:r>
          </w:p>
        </w:tc>
      </w:tr>
      <w:tr>
        <w:tc>
          <w:tcPr>
            <w:tcW w:type="dxa" w:w="1701"/>
            <w:vAlign w:val="center"/>
          </w:tcPr>
          <w:p>
            <w:r/>
            <w:r>
              <w:rPr>
                <w:sz w:val="20"/>
              </w:rPr>
              <w:t>P</w:t>
            </w:r>
          </w:p>
        </w:tc>
        <w:tc>
          <w:tcPr>
            <w:tcW w:type="dxa" w:w="1701"/>
            <w:vAlign w:val="center"/>
          </w:tcPr>
          <w:p>
            <w:r/>
            <w:r>
              <w:rPr>
                <w:sz w:val="20"/>
              </w:rPr>
              <w:t>0.122</w:t>
            </w:r>
          </w:p>
        </w:tc>
        <w:tc>
          <w:tcPr>
            <w:tcW w:type="dxa" w:w="1701"/>
            <w:vAlign w:val="center"/>
          </w:tcPr>
          <w:p>
            <w:r/>
            <w:r>
              <w:rPr>
                <w:sz w:val="20"/>
              </w:rPr>
              <w:t>0.106</w:t>
            </w:r>
          </w:p>
        </w:tc>
        <w:tc>
          <w:tcPr>
            <w:tcW w:type="dxa" w:w="1701"/>
            <w:vAlign w:val="center"/>
          </w:tcPr>
          <w:p>
            <w:r/>
            <w:r>
              <w:rPr>
                <w:sz w:val="20"/>
              </w:rPr>
              <w:t>0.121</w:t>
            </w:r>
          </w:p>
        </w:tc>
        <w:tc>
          <w:tcPr>
            <w:tcW w:type="dxa" w:w="1701"/>
            <w:vAlign w:val="center"/>
          </w:tcPr>
          <w:p>
            <w:r/>
            <w:r>
              <w:rPr>
                <w:sz w:val="20"/>
              </w:rPr>
              <w:t>0.211</w:t>
            </w:r>
          </w:p>
        </w:tc>
      </w:tr>
      <w:tr>
        <w:tc>
          <w:tcPr>
            <w:tcW w:type="dxa" w:w="1701"/>
            <w:vAlign w:val="center"/>
            <w:shd w:fill="F2F6FA" w:val="clear"/>
          </w:tcPr>
          <w:p>
            <w:r/>
            <w:r>
              <w:rPr>
                <w:sz w:val="20"/>
              </w:rPr>
              <w:t>A</w:t>
            </w:r>
          </w:p>
        </w:tc>
        <w:tc>
          <w:tcPr>
            <w:tcW w:type="dxa" w:w="1701"/>
            <w:vAlign w:val="center"/>
            <w:shd w:fill="F2F6FA" w:val="clear"/>
          </w:tcPr>
          <w:p>
            <w:r/>
            <w:r>
              <w:rPr>
                <w:sz w:val="20"/>
              </w:rPr>
              <w:t>0.068</w:t>
            </w:r>
          </w:p>
        </w:tc>
        <w:tc>
          <w:tcPr>
            <w:tcW w:type="dxa" w:w="1701"/>
            <w:vAlign w:val="center"/>
            <w:shd w:fill="F2F6FA" w:val="clear"/>
          </w:tcPr>
          <w:p>
            <w:r/>
            <w:r>
              <w:rPr>
                <w:sz w:val="20"/>
              </w:rPr>
              <w:t>0.043</w:t>
            </w:r>
          </w:p>
        </w:tc>
        <w:tc>
          <w:tcPr>
            <w:tcW w:type="dxa" w:w="1701"/>
            <w:vAlign w:val="center"/>
            <w:shd w:fill="F2F6FA" w:val="clear"/>
          </w:tcPr>
          <w:p>
            <w:r/>
            <w:r>
              <w:rPr>
                <w:sz w:val="20"/>
              </w:rPr>
              <w:t>0.030</w:t>
            </w:r>
          </w:p>
        </w:tc>
        <w:tc>
          <w:tcPr>
            <w:tcW w:type="dxa" w:w="1701"/>
            <w:vAlign w:val="center"/>
            <w:shd w:fill="F2F6FA" w:val="clear"/>
          </w:tcPr>
          <w:p>
            <w:r/>
            <w:r>
              <w:rPr>
                <w:sz w:val="20"/>
              </w:rPr>
              <w:t>0.053</w:t>
            </w:r>
          </w:p>
        </w:tc>
      </w:tr>
    </w:tbl>
    <w:p>
      <w:pPr>
        <w:spacing w:after="120"/>
      </w:pPr>
      <w:r>
        <w:rPr>
          <w:rFonts w:ascii="Calibri" w:hAnsi="Calibri"/>
          <w:b/>
          <w:i w:val="0"/>
          <w:sz w:val="22"/>
        </w:rPr>
        <w:t>Adım 3 — Her satırın ortalaması ağırlık vektörünü verir:</w:t>
      </w:r>
    </w:p>
    <w:p>
      <w:pPr>
        <w:spacing w:after="120"/>
        <w:jc w:val="center"/>
      </w:pPr>
      <w:r>
        <w:rPr>
          <w:rFonts w:ascii="Calibri" w:hAnsi="Calibri"/>
          <w:b/>
          <w:i w:val="0"/>
          <w:sz w:val="22"/>
        </w:rPr>
        <w:t xml:space="preserve">   w_B ≈ 0.582,  w_T ≈ 0.230,  w_P ≈ 0.140,  w_A ≈ 0.049,  toplam ≈ 1.000</w:t>
      </w:r>
    </w:p>
    <w:p>
      <w:pPr>
        <w:spacing w:after="120"/>
      </w:pPr>
      <w:r>
        <w:rPr>
          <w:rFonts w:ascii="Calibri" w:hAnsi="Calibri"/>
          <w:b w:val="0"/>
          <w:i w:val="0"/>
          <w:sz w:val="22"/>
        </w:rPr>
        <w:t>Bu örnekte (legacy fallback matrisi) başarı baskınlığı çok yüksektir. Aktif AHP profilleri (id=11) ise gerçek kurum tercihlerine göre bu dağılımı 0.411 / 0.200 / 0.194 / 0.194 olarak yumuşatır.</w:t>
      </w:r>
    </w:p>
    <w:p>
      <w:pPr>
        <w:spacing w:after="120"/>
      </w:pPr>
      <w:r>
        <w:rPr>
          <w:rFonts w:ascii="Calibri" w:hAnsi="Calibri"/>
          <w:b w:val="0"/>
          <w:i w:val="0"/>
          <w:sz w:val="22"/>
        </w:rPr>
        <w:t>Adım 4 — λmax hesabı: A·w / w nin elemanlarının ortalaması alınır. Tipik değer λmax ≈ 4.24.</w:t>
      </w:r>
    </w:p>
    <w:p>
      <w:pPr>
        <w:spacing w:after="120"/>
        <w:jc w:val="center"/>
      </w:pPr>
      <w:r>
        <w:rPr>
          <w:rFonts w:ascii="Calibri" w:hAnsi="Calibri"/>
          <w:b/>
          <w:i w:val="0"/>
          <w:sz w:val="22"/>
        </w:rPr>
        <w:t xml:space="preserve">   CI = (4.24 − 4)/3 ≈ 0.080  ;  CR = 0.080 / 0.90 ≈ 0.089</w:t>
      </w:r>
    </w:p>
    <w:p>
      <w:pPr>
        <w:spacing w:after="120"/>
      </w:pPr>
      <w:r>
        <w:rPr>
          <w:rFonts w:ascii="Calibri" w:hAnsi="Calibri"/>
          <w:b w:val="0"/>
          <w:i w:val="0"/>
          <w:sz w:val="22"/>
        </w:rPr>
        <w:t>CR &lt; 0.10 olduğundan matris kabul edilir ve hesaplama hattına girer.</w:t>
      </w:r>
    </w:p>
    <w:p>
      <w:pPr>
        <w:pStyle w:val="Heading1"/>
      </w:pPr>
      <w:r>
        <w:rPr>
          <w:rFonts w:ascii="Calibri" w:hAnsi="Calibri"/>
          <w:color w:val="1F4E79"/>
          <w:sz w:val="40"/>
        </w:rPr>
        <w:t>3.2 TOPSIS — Çok Kriterli Sıralama</w:t>
      </w:r>
    </w:p>
    <w:p>
      <w:pPr>
        <w:spacing w:after="120"/>
      </w:pPr>
      <w:r>
        <w:rPr>
          <w:rFonts w:ascii="Calibri" w:hAnsi="Calibri"/>
          <w:b w:val="0"/>
          <w:i w:val="0"/>
          <w:sz w:val="22"/>
        </w:rPr>
        <w:t>TOPSIS (Technique for Order Preference by Similarity to Ideal Solution), Hwang ve Yoon tarafından 1981’de önerilmiş, ideal çözüme yakınlık temelli bir sıralama yöntemidir. Projede bir fakülte/yıl kapsamında karşılaştırılabilir dersleri kesinleşme puanına dönüştürür.</w:t>
      </w:r>
    </w:p>
    <w:p>
      <w:pPr>
        <w:spacing w:after="120"/>
      </w:pPr>
      <w:r>
        <w:rPr>
          <w:rFonts w:ascii="Calibri" w:hAnsi="Calibri"/>
          <w:b/>
          <w:i w:val="0"/>
          <w:sz w:val="24"/>
        </w:rPr>
        <w:t>3.2.1 Karar Matrisi</w:t>
      </w:r>
    </w:p>
    <w:p>
      <w:pPr>
        <w:spacing w:after="120"/>
      </w:pPr>
      <w:r>
        <w:rPr>
          <w:rFonts w:ascii="Calibri" w:hAnsi="Calibri"/>
          <w:b w:val="0"/>
          <w:i w:val="0"/>
          <w:sz w:val="22"/>
        </w:rPr>
        <w:t>m ders ve n kriter için karar matrisi X = [x(i,j)] kurulur. Her sütun bir kriteri, her satır bir dersi temsil eder. Projede n=4: başarı, trend, popülerlik, anket. Tüm değerler önceden 0-1 aralığına normalize edilmiş haliyle verilir (başarı = geçen/toplam; popülerlik = kayıtlı/kontenjan; trend = 3 yıl ağırlıklı başarı; anket = seçen/katılımcı).</w:t>
      </w:r>
    </w:p>
    <w:p>
      <w:pPr>
        <w:spacing w:after="120"/>
      </w:pPr>
      <w:r>
        <w:rPr>
          <w:rFonts w:ascii="Calibri" w:hAnsi="Calibri"/>
          <w:b/>
          <w:i w:val="0"/>
          <w:sz w:val="24"/>
        </w:rPr>
        <w:t>3.2.2 Vektör Normalizasyonu</w:t>
      </w:r>
    </w:p>
    <w:p>
      <w:pPr>
        <w:spacing w:after="120"/>
        <w:jc w:val="center"/>
      </w:pPr>
      <w:r>
        <w:rPr>
          <w:rFonts w:ascii="Calibri" w:hAnsi="Calibri"/>
          <w:b/>
          <w:i w:val="0"/>
          <w:sz w:val="22"/>
        </w:rPr>
        <w:t xml:space="preserve">   r(i,j) = x(i,j) / √( Σi x(i,j)² )</w:t>
      </w:r>
    </w:p>
    <w:p>
      <w:pPr>
        <w:spacing w:after="120"/>
      </w:pPr>
      <w:r>
        <w:rPr>
          <w:rFonts w:ascii="Calibri" w:hAnsi="Calibri"/>
          <w:b w:val="0"/>
          <w:i w:val="0"/>
          <w:sz w:val="22"/>
        </w:rPr>
        <w:t>Her sütun, kendi karekök toplamına bölünerek normalize edilir. Bu yöntem, kriterler arası ölçek farklarını ortadan kaldırır.</w:t>
      </w:r>
    </w:p>
    <w:p>
      <w:pPr>
        <w:spacing w:after="120"/>
      </w:pPr>
      <w:r>
        <w:rPr>
          <w:rFonts w:ascii="Calibri" w:hAnsi="Calibri"/>
          <w:b/>
          <w:i w:val="0"/>
          <w:sz w:val="24"/>
        </w:rPr>
        <w:t>3.2.3 Ağırlıklı Normalize Matris</w:t>
      </w:r>
    </w:p>
    <w:p>
      <w:pPr>
        <w:spacing w:after="120"/>
        <w:jc w:val="center"/>
      </w:pPr>
      <w:r>
        <w:rPr>
          <w:rFonts w:ascii="Calibri" w:hAnsi="Calibri"/>
          <w:b/>
          <w:i w:val="0"/>
          <w:sz w:val="22"/>
        </w:rPr>
        <w:t xml:space="preserve">   v(i,j) = wj · r(i,j)</w:t>
      </w:r>
    </w:p>
    <w:p>
      <w:pPr>
        <w:spacing w:after="120"/>
      </w:pPr>
      <w:r>
        <w:rPr>
          <w:rFonts w:ascii="Calibri" w:hAnsi="Calibri"/>
          <w:b w:val="0"/>
          <w:i w:val="0"/>
          <w:sz w:val="22"/>
        </w:rPr>
        <w:t>wj değerleri 3.1’de elde edilen AHP ağırlıklarıdır.</w:t>
      </w:r>
    </w:p>
    <w:p>
      <w:pPr>
        <w:spacing w:after="120"/>
      </w:pPr>
      <w:r>
        <w:rPr>
          <w:rFonts w:ascii="Calibri" w:hAnsi="Calibri"/>
          <w:b/>
          <w:i w:val="0"/>
          <w:sz w:val="24"/>
        </w:rPr>
        <w:t>3.2.4 İdeal Çözümler</w:t>
      </w:r>
    </w:p>
    <w:p>
      <w:pPr>
        <w:spacing w:after="120"/>
      </w:pPr>
      <w:r>
        <w:rPr>
          <w:rFonts w:ascii="Calibri" w:hAnsi="Calibri"/>
          <w:b w:val="0"/>
          <w:i w:val="0"/>
          <w:sz w:val="22"/>
        </w:rPr>
        <w:t>Her kriter “fayda” yönündedir (yüksek olması iyidir). Pozitif ideal çözüm A+ ve negatif ideal çözüm A- şöyledir:</w:t>
      </w:r>
    </w:p>
    <w:p>
      <w:pPr>
        <w:spacing w:after="120"/>
        <w:jc w:val="center"/>
      </w:pPr>
      <w:r>
        <w:rPr>
          <w:rFonts w:ascii="Calibri" w:hAnsi="Calibri"/>
          <w:b/>
          <w:i w:val="0"/>
          <w:sz w:val="22"/>
        </w:rPr>
        <w:t xml:space="preserve">   A+ = ( maxᵢ v(i,j) )   ;   A- = ( minᵢ v(i,j) )</w:t>
      </w:r>
    </w:p>
    <w:p>
      <w:pPr>
        <w:spacing w:after="120"/>
      </w:pPr>
      <w:r>
        <w:rPr>
          <w:rFonts w:ascii="Calibri" w:hAnsi="Calibri"/>
          <w:b/>
          <w:i w:val="0"/>
          <w:sz w:val="24"/>
        </w:rPr>
        <w:t>3.2.5 Uzaklıklar ve Yakınlık Katsayısı</w:t>
      </w:r>
    </w:p>
    <w:p>
      <w:pPr>
        <w:spacing w:after="120"/>
        <w:jc w:val="center"/>
      </w:pPr>
      <w:r>
        <w:rPr>
          <w:rFonts w:ascii="Calibri" w:hAnsi="Calibri"/>
          <w:b/>
          <w:i w:val="0"/>
          <w:sz w:val="22"/>
        </w:rPr>
        <w:t xml:space="preserve">   S+ᵢ = √( Σⱼ (v(i,j) − A+ⱼ)² )</w:t>
      </w:r>
    </w:p>
    <w:p>
      <w:pPr>
        <w:spacing w:after="120"/>
        <w:jc w:val="center"/>
      </w:pPr>
      <w:r>
        <w:rPr>
          <w:rFonts w:ascii="Calibri" w:hAnsi="Calibri"/>
          <w:b/>
          <w:i w:val="0"/>
          <w:sz w:val="22"/>
        </w:rPr>
        <w:t xml:space="preserve">   S-ᵢ = √( Σⱼ (v(i,j) − A-ⱼ)² )</w:t>
      </w:r>
    </w:p>
    <w:p>
      <w:pPr>
        <w:spacing w:after="120"/>
        <w:jc w:val="center"/>
      </w:pPr>
      <w:r>
        <w:rPr>
          <w:rFonts w:ascii="Calibri" w:hAnsi="Calibri"/>
          <w:b/>
          <w:i w:val="0"/>
          <w:sz w:val="22"/>
        </w:rPr>
        <w:t xml:space="preserve">   Cᵢ = S-ᵢ / (S+ᵢ + S-ᵢ)</w:t>
      </w:r>
    </w:p>
    <w:p>
      <w:pPr>
        <w:spacing w:after="120"/>
      </w:pPr>
      <w:r>
        <w:rPr>
          <w:rFonts w:ascii="Calibri" w:hAnsi="Calibri"/>
          <w:b w:val="0"/>
          <w:i w:val="0"/>
          <w:sz w:val="22"/>
        </w:rPr>
        <w:t>Cᵢ değeri 0 ile 1 arasındadır. 1’e yakın olan ders pozitif ideale yakın, 0’a yakın olan ders negatif ideale yakındır. Kesinleşme puanı = Cᵢ × 100 olarak hesaplanır.</w:t>
      </w:r>
    </w:p>
    <w:p>
      <w:pPr>
        <w:spacing w:after="120"/>
      </w:pPr>
      <w:r>
        <w:rPr>
          <w:rFonts w:ascii="Calibri" w:hAnsi="Calibri"/>
          <w:b/>
          <w:i w:val="0"/>
          <w:sz w:val="24"/>
        </w:rPr>
        <w:t>3.2.6 Sayısal Örnek</w:t>
      </w:r>
    </w:p>
    <w:p>
      <w:pPr>
        <w:spacing w:after="120"/>
      </w:pPr>
      <w:r>
        <w:rPr>
          <w:rFonts w:ascii="Calibri" w:hAnsi="Calibri"/>
          <w:b w:val="0"/>
          <w:i w:val="0"/>
          <w:sz w:val="22"/>
        </w:rPr>
        <w:t>Tıp Fakültesi 2022 yılı 4 ders için elde edilen normalize matris şu şekildedir (yalnız başarı kolonu varyans taşıyor; popülerlik ve anket sütunları bu örnekte dejeneredir):</w:t>
      </w:r>
    </w:p>
    <w:tbl>
      <w:tblPr>
        <w:tblStyle w:val="LightGrid-Accent1"/>
        <w:tblW w:type="auto" w:w="0"/>
        <w:jc w:val="center"/>
        <w:tblLook w:firstColumn="1" w:firstRow="1" w:lastColumn="0" w:lastRow="0" w:noHBand="0" w:noVBand="1" w:val="04A0"/>
      </w:tblPr>
      <w:tblGrid>
        <w:gridCol w:w="1915"/>
        <w:gridCol w:w="1915"/>
        <w:gridCol w:w="1915"/>
        <w:gridCol w:w="1915"/>
        <w:gridCol w:w="1915"/>
      </w:tblGrid>
      <w:tr>
        <w:tc>
          <w:tcPr>
            <w:tcW w:type="dxa" w:w="2835"/>
            <w:shd w:fill="1F4E79" w:val="clear"/>
            <w:vAlign w:val="center"/>
          </w:tcPr>
          <w:p>
            <w:r/>
            <w:r>
              <w:rPr>
                <w:b/>
                <w:color w:val="FFFFFF"/>
                <w:sz w:val="22"/>
              </w:rPr>
              <w:t>Ders</w:t>
            </w:r>
          </w:p>
        </w:tc>
        <w:tc>
          <w:tcPr>
            <w:tcW w:type="dxa" w:w="1417"/>
            <w:shd w:fill="1F4E79" w:val="clear"/>
            <w:vAlign w:val="center"/>
          </w:tcPr>
          <w:p>
            <w:r/>
            <w:r>
              <w:rPr>
                <w:b/>
                <w:color w:val="FFFFFF"/>
                <w:sz w:val="22"/>
              </w:rPr>
              <w:t>Başarı</w:t>
            </w:r>
          </w:p>
        </w:tc>
        <w:tc>
          <w:tcPr>
            <w:tcW w:type="dxa" w:w="1417"/>
            <w:shd w:fill="1F4E79" w:val="clear"/>
            <w:vAlign w:val="center"/>
          </w:tcPr>
          <w:p>
            <w:r/>
            <w:r>
              <w:rPr>
                <w:b/>
                <w:color w:val="FFFFFF"/>
                <w:sz w:val="22"/>
              </w:rPr>
              <w:t>Trend</w:t>
            </w:r>
          </w:p>
        </w:tc>
        <w:tc>
          <w:tcPr>
            <w:tcW w:type="dxa" w:w="1701"/>
            <w:shd w:fill="1F4E79" w:val="clear"/>
            <w:vAlign w:val="center"/>
          </w:tcPr>
          <w:p>
            <w:r/>
            <w:r>
              <w:rPr>
                <w:b/>
                <w:color w:val="FFFFFF"/>
                <w:sz w:val="22"/>
              </w:rPr>
              <w:t>Popülerlik</w:t>
            </w:r>
          </w:p>
        </w:tc>
        <w:tc>
          <w:tcPr>
            <w:tcW w:type="dxa" w:w="1417"/>
            <w:shd w:fill="1F4E79" w:val="clear"/>
            <w:vAlign w:val="center"/>
          </w:tcPr>
          <w:p>
            <w:r/>
            <w:r>
              <w:rPr>
                <w:b/>
                <w:color w:val="FFFFFF"/>
                <w:sz w:val="22"/>
              </w:rPr>
              <w:t>Anket</w:t>
            </w:r>
          </w:p>
        </w:tc>
      </w:tr>
      <w:tr>
        <w:tc>
          <w:tcPr>
            <w:tcW w:type="dxa" w:w="2835"/>
            <w:vAlign w:val="center"/>
          </w:tcPr>
          <w:p>
            <w:r/>
            <w:r>
              <w:rPr>
                <w:sz w:val="20"/>
              </w:rPr>
              <w:t>Tıbbi Etik Seçmeli</w:t>
            </w:r>
          </w:p>
        </w:tc>
        <w:tc>
          <w:tcPr>
            <w:tcW w:type="dxa" w:w="1417"/>
            <w:vAlign w:val="center"/>
          </w:tcPr>
          <w:p>
            <w:r/>
            <w:r>
              <w:rPr>
                <w:sz w:val="20"/>
              </w:rPr>
              <w:t>0.960</w:t>
            </w:r>
          </w:p>
        </w:tc>
        <w:tc>
          <w:tcPr>
            <w:tcW w:type="dxa" w:w="1417"/>
            <w:vAlign w:val="center"/>
          </w:tcPr>
          <w:p>
            <w:r/>
            <w:r>
              <w:rPr>
                <w:sz w:val="20"/>
              </w:rPr>
              <w:t>0.960</w:t>
            </w:r>
          </w:p>
        </w:tc>
        <w:tc>
          <w:tcPr>
            <w:tcW w:type="dxa" w:w="1701"/>
            <w:vAlign w:val="center"/>
          </w:tcPr>
          <w:p>
            <w:r/>
            <w:r>
              <w:rPr>
                <w:sz w:val="20"/>
              </w:rPr>
              <w:t>0.833</w:t>
            </w:r>
          </w:p>
        </w:tc>
        <w:tc>
          <w:tcPr>
            <w:tcW w:type="dxa" w:w="1417"/>
            <w:vAlign w:val="center"/>
          </w:tcPr>
          <w:p>
            <w:r/>
            <w:r>
              <w:rPr>
                <w:sz w:val="20"/>
              </w:rPr>
              <w:t>1.000</w:t>
            </w:r>
          </w:p>
        </w:tc>
      </w:tr>
      <w:tr>
        <w:tc>
          <w:tcPr>
            <w:tcW w:type="dxa" w:w="2835"/>
            <w:vAlign w:val="center"/>
            <w:shd w:fill="F2F6FA" w:val="clear"/>
          </w:tcPr>
          <w:p>
            <w:r/>
            <w:r>
              <w:rPr>
                <w:sz w:val="20"/>
              </w:rPr>
              <w:t>Toplum Projesi</w:t>
            </w:r>
          </w:p>
        </w:tc>
        <w:tc>
          <w:tcPr>
            <w:tcW w:type="dxa" w:w="1417"/>
            <w:vAlign w:val="center"/>
            <w:shd w:fill="F2F6FA" w:val="clear"/>
          </w:tcPr>
          <w:p>
            <w:r/>
            <w:r>
              <w:rPr>
                <w:sz w:val="20"/>
              </w:rPr>
              <w:t>0.940</w:t>
            </w:r>
          </w:p>
        </w:tc>
        <w:tc>
          <w:tcPr>
            <w:tcW w:type="dxa" w:w="1417"/>
            <w:vAlign w:val="center"/>
            <w:shd w:fill="F2F6FA" w:val="clear"/>
          </w:tcPr>
          <w:p>
            <w:r/>
            <w:r>
              <w:rPr>
                <w:sz w:val="20"/>
              </w:rPr>
              <w:t>0.940</w:t>
            </w:r>
          </w:p>
        </w:tc>
        <w:tc>
          <w:tcPr>
            <w:tcW w:type="dxa" w:w="1701"/>
            <w:vAlign w:val="center"/>
            <w:shd w:fill="F2F6FA" w:val="clear"/>
          </w:tcPr>
          <w:p>
            <w:r/>
            <w:r>
              <w:rPr>
                <w:sz w:val="20"/>
              </w:rPr>
              <w:t>0.833</w:t>
            </w:r>
          </w:p>
        </w:tc>
        <w:tc>
          <w:tcPr>
            <w:tcW w:type="dxa" w:w="1417"/>
            <w:vAlign w:val="center"/>
            <w:shd w:fill="F2F6FA" w:val="clear"/>
          </w:tcPr>
          <w:p>
            <w:r/>
            <w:r>
              <w:rPr>
                <w:sz w:val="20"/>
              </w:rPr>
              <w:t>1.000</w:t>
            </w:r>
          </w:p>
        </w:tc>
      </w:tr>
      <w:tr>
        <w:tc>
          <w:tcPr>
            <w:tcW w:type="dxa" w:w="2835"/>
            <w:vAlign w:val="center"/>
          </w:tcPr>
          <w:p>
            <w:r/>
            <w:r>
              <w:rPr>
                <w:sz w:val="20"/>
              </w:rPr>
              <w:t>Klinik Anatomi</w:t>
            </w:r>
          </w:p>
        </w:tc>
        <w:tc>
          <w:tcPr>
            <w:tcW w:type="dxa" w:w="1417"/>
            <w:vAlign w:val="center"/>
          </w:tcPr>
          <w:p>
            <w:r/>
            <w:r>
              <w:rPr>
                <w:sz w:val="20"/>
              </w:rPr>
              <w:t>0.880</w:t>
            </w:r>
          </w:p>
        </w:tc>
        <w:tc>
          <w:tcPr>
            <w:tcW w:type="dxa" w:w="1417"/>
            <w:vAlign w:val="center"/>
          </w:tcPr>
          <w:p>
            <w:r/>
            <w:r>
              <w:rPr>
                <w:sz w:val="20"/>
              </w:rPr>
              <w:t>0.880</w:t>
            </w:r>
          </w:p>
        </w:tc>
        <w:tc>
          <w:tcPr>
            <w:tcW w:type="dxa" w:w="1701"/>
            <w:vAlign w:val="center"/>
          </w:tcPr>
          <w:p>
            <w:r/>
            <w:r>
              <w:rPr>
                <w:sz w:val="20"/>
              </w:rPr>
              <w:t>0.833</w:t>
            </w:r>
          </w:p>
        </w:tc>
        <w:tc>
          <w:tcPr>
            <w:tcW w:type="dxa" w:w="1417"/>
            <w:vAlign w:val="center"/>
          </w:tcPr>
          <w:p>
            <w:r/>
            <w:r>
              <w:rPr>
                <w:sz w:val="20"/>
              </w:rPr>
              <w:t>1.000</w:t>
            </w:r>
          </w:p>
        </w:tc>
      </w:tr>
      <w:tr>
        <w:tc>
          <w:tcPr>
            <w:tcW w:type="dxa" w:w="2835"/>
            <w:vAlign w:val="center"/>
            <w:shd w:fill="F2F6FA" w:val="clear"/>
          </w:tcPr>
          <w:p>
            <w:r/>
            <w:r>
              <w:rPr>
                <w:sz w:val="20"/>
              </w:rPr>
              <w:t>Girişimcilik</w:t>
            </w:r>
          </w:p>
        </w:tc>
        <w:tc>
          <w:tcPr>
            <w:tcW w:type="dxa" w:w="1417"/>
            <w:vAlign w:val="center"/>
            <w:shd w:fill="F2F6FA" w:val="clear"/>
          </w:tcPr>
          <w:p>
            <w:r/>
            <w:r>
              <w:rPr>
                <w:sz w:val="20"/>
              </w:rPr>
              <w:t>0.840</w:t>
            </w:r>
          </w:p>
        </w:tc>
        <w:tc>
          <w:tcPr>
            <w:tcW w:type="dxa" w:w="1417"/>
            <w:vAlign w:val="center"/>
            <w:shd w:fill="F2F6FA" w:val="clear"/>
          </w:tcPr>
          <w:p>
            <w:r/>
            <w:r>
              <w:rPr>
                <w:sz w:val="20"/>
              </w:rPr>
              <w:t>0.840</w:t>
            </w:r>
          </w:p>
        </w:tc>
        <w:tc>
          <w:tcPr>
            <w:tcW w:type="dxa" w:w="1701"/>
            <w:vAlign w:val="center"/>
            <w:shd w:fill="F2F6FA" w:val="clear"/>
          </w:tcPr>
          <w:p>
            <w:r/>
            <w:r>
              <w:rPr>
                <w:sz w:val="20"/>
              </w:rPr>
              <w:t>0.833</w:t>
            </w:r>
          </w:p>
        </w:tc>
        <w:tc>
          <w:tcPr>
            <w:tcW w:type="dxa" w:w="1417"/>
            <w:vAlign w:val="center"/>
            <w:shd w:fill="F2F6FA" w:val="clear"/>
          </w:tcPr>
          <w:p>
            <w:r/>
            <w:r>
              <w:rPr>
                <w:sz w:val="20"/>
              </w:rPr>
              <w:t>1.000</w:t>
            </w:r>
          </w:p>
        </w:tc>
      </w:tr>
    </w:tbl>
    <w:p>
      <w:pPr>
        <w:spacing w:after="120"/>
      </w:pPr>
      <w:r>
        <w:rPr>
          <w:rFonts w:ascii="Calibri" w:hAnsi="Calibri"/>
          <w:b w:val="0"/>
          <w:i w:val="0"/>
          <w:sz w:val="22"/>
        </w:rPr>
        <w:t>Bu durumda TOPSIS skorları başarı kriteri ile lineer ilişkili çıkar — sistem bu tür dejenere girdilerde uyarı verir ve veri kalitesi raporunda ilgili satırı işaretler.</w:t>
      </w:r>
    </w:p>
    <w:p>
      <w:pPr>
        <w:spacing w:after="120"/>
      </w:pPr>
      <w:r>
        <w:rPr>
          <w:rFonts w:ascii="Calibri" w:hAnsi="Calibri"/>
          <w:b/>
          <w:i w:val="0"/>
          <w:sz w:val="24"/>
        </w:rPr>
        <w:t>3.2.6.1 Adım Adım TOPSIS Hesabı</w:t>
      </w:r>
    </w:p>
    <w:p>
      <w:pPr>
        <w:spacing w:after="120"/>
      </w:pPr>
      <w:r>
        <w:rPr>
          <w:rFonts w:ascii="Calibri" w:hAnsi="Calibri"/>
          <w:b w:val="0"/>
          <w:i w:val="0"/>
          <w:sz w:val="22"/>
        </w:rPr>
        <w:t>Ağırlıklar w = (0.411, 0.200, 0.194, 0.194) ve 4 ders üzerinde yapılan vektör normalizasyon, ağırlıklı matris, ideal çözüm, uzaklık ve yakınlık katsayısı sonuçları aşağıdaki gibi elde edilmiştir.</w:t>
      </w:r>
    </w:p>
    <w:p>
      <w:pPr>
        <w:spacing w:after="120"/>
      </w:pPr>
      <w:r>
        <w:rPr>
          <w:rFonts w:ascii="Calibri" w:hAnsi="Calibri"/>
          <w:b/>
          <w:i w:val="0"/>
          <w:sz w:val="22"/>
        </w:rPr>
        <w:t>Adım A — Sütun karekök toplamı:</w:t>
      </w:r>
    </w:p>
    <w:p>
      <w:pPr>
        <w:spacing w:after="120"/>
        <w:jc w:val="center"/>
      </w:pPr>
      <w:r>
        <w:rPr>
          <w:rFonts w:ascii="Calibri" w:hAnsi="Calibri"/>
          <w:b/>
          <w:i w:val="0"/>
          <w:sz w:val="22"/>
        </w:rPr>
        <w:t xml:space="preserve">   ||B|| = √(0.96² + 0.94² + 0.88² + 0.84²) ≈ 1.815</w:t>
      </w:r>
    </w:p>
    <w:p>
      <w:pPr>
        <w:spacing w:after="120"/>
        <w:jc w:val="center"/>
      </w:pPr>
      <w:r>
        <w:rPr>
          <w:rFonts w:ascii="Calibri" w:hAnsi="Calibri"/>
          <w:b/>
          <w:i w:val="0"/>
          <w:sz w:val="22"/>
        </w:rPr>
        <w:t xml:space="preserve">   ||T|| ≈ 1.815, ||P|| = √(4·0.833²) ≈ 1.666, ||A|| = √(4·1²) = 2.000</w:t>
      </w:r>
    </w:p>
    <w:p>
      <w:pPr>
        <w:spacing w:after="120"/>
      </w:pPr>
      <w:r>
        <w:rPr>
          <w:rFonts w:ascii="Calibri" w:hAnsi="Calibri"/>
          <w:b/>
          <w:i w:val="0"/>
          <w:sz w:val="22"/>
        </w:rPr>
        <w:t>Adım B — Normalize matris r(i,j):</w:t>
      </w:r>
    </w:p>
    <w:tbl>
      <w:tblPr>
        <w:tblStyle w:val="LightGrid-Accent1"/>
        <w:tblW w:type="auto" w:w="0"/>
        <w:jc w:val="center"/>
        <w:tblLook w:firstColumn="1" w:firstRow="1" w:lastColumn="0" w:lastRow="0" w:noHBand="0" w:noVBand="1" w:val="04A0"/>
      </w:tblPr>
      <w:tblGrid>
        <w:gridCol w:w="1915"/>
        <w:gridCol w:w="1915"/>
        <w:gridCol w:w="1915"/>
        <w:gridCol w:w="1915"/>
        <w:gridCol w:w="1915"/>
      </w:tblGrid>
      <w:tr>
        <w:tc>
          <w:tcPr>
            <w:tcW w:type="dxa" w:w="2551"/>
            <w:shd w:fill="1F4E79" w:val="clear"/>
            <w:vAlign w:val="center"/>
          </w:tcPr>
          <w:p>
            <w:r/>
            <w:r>
              <w:rPr>
                <w:b/>
                <w:color w:val="FFFFFF"/>
                <w:sz w:val="22"/>
              </w:rPr>
              <w:t>Ders</w:t>
            </w:r>
          </w:p>
        </w:tc>
        <w:tc>
          <w:tcPr>
            <w:tcW w:type="dxa" w:w="1417"/>
            <w:shd w:fill="1F4E79" w:val="clear"/>
            <w:vAlign w:val="center"/>
          </w:tcPr>
          <w:p>
            <w:r/>
            <w:r>
              <w:rPr>
                <w:b/>
                <w:color w:val="FFFFFF"/>
                <w:sz w:val="22"/>
              </w:rPr>
              <w:t>B (r)</w:t>
            </w:r>
          </w:p>
        </w:tc>
        <w:tc>
          <w:tcPr>
            <w:tcW w:type="dxa" w:w="1417"/>
            <w:shd w:fill="1F4E79" w:val="clear"/>
            <w:vAlign w:val="center"/>
          </w:tcPr>
          <w:p>
            <w:r/>
            <w:r>
              <w:rPr>
                <w:b/>
                <w:color w:val="FFFFFF"/>
                <w:sz w:val="22"/>
              </w:rPr>
              <w:t>T (r)</w:t>
            </w:r>
          </w:p>
        </w:tc>
        <w:tc>
          <w:tcPr>
            <w:tcW w:type="dxa" w:w="1417"/>
            <w:shd w:fill="1F4E79" w:val="clear"/>
            <w:vAlign w:val="center"/>
          </w:tcPr>
          <w:p>
            <w:r/>
            <w:r>
              <w:rPr>
                <w:b/>
                <w:color w:val="FFFFFF"/>
                <w:sz w:val="22"/>
              </w:rPr>
              <w:t>P (r)</w:t>
            </w:r>
          </w:p>
        </w:tc>
        <w:tc>
          <w:tcPr>
            <w:tcW w:type="dxa" w:w="1417"/>
            <w:shd w:fill="1F4E79" w:val="clear"/>
            <w:vAlign w:val="center"/>
          </w:tcPr>
          <w:p>
            <w:r/>
            <w:r>
              <w:rPr>
                <w:b/>
                <w:color w:val="FFFFFF"/>
                <w:sz w:val="22"/>
              </w:rPr>
              <w:t>A (r)</w:t>
            </w:r>
          </w:p>
        </w:tc>
      </w:tr>
      <w:tr>
        <w:tc>
          <w:tcPr>
            <w:tcW w:type="dxa" w:w="2551"/>
            <w:vAlign w:val="center"/>
          </w:tcPr>
          <w:p>
            <w:r/>
            <w:r>
              <w:rPr>
                <w:sz w:val="20"/>
              </w:rPr>
              <w:t>Tıbbi Etik</w:t>
            </w:r>
          </w:p>
        </w:tc>
        <w:tc>
          <w:tcPr>
            <w:tcW w:type="dxa" w:w="1417"/>
            <w:vAlign w:val="center"/>
          </w:tcPr>
          <w:p>
            <w:r/>
            <w:r>
              <w:rPr>
                <w:sz w:val="20"/>
              </w:rPr>
              <w:t>0.529</w:t>
            </w:r>
          </w:p>
        </w:tc>
        <w:tc>
          <w:tcPr>
            <w:tcW w:type="dxa" w:w="1417"/>
            <w:vAlign w:val="center"/>
          </w:tcPr>
          <w:p>
            <w:r/>
            <w:r>
              <w:rPr>
                <w:sz w:val="20"/>
              </w:rPr>
              <w:t>0.529</w:t>
            </w:r>
          </w:p>
        </w:tc>
        <w:tc>
          <w:tcPr>
            <w:tcW w:type="dxa" w:w="1417"/>
            <w:vAlign w:val="center"/>
          </w:tcPr>
          <w:p>
            <w:r/>
            <w:r>
              <w:rPr>
                <w:sz w:val="20"/>
              </w:rPr>
              <w:t>0.500</w:t>
            </w:r>
          </w:p>
        </w:tc>
        <w:tc>
          <w:tcPr>
            <w:tcW w:type="dxa" w:w="1417"/>
            <w:vAlign w:val="center"/>
          </w:tcPr>
          <w:p>
            <w:r/>
            <w:r>
              <w:rPr>
                <w:sz w:val="20"/>
              </w:rPr>
              <w:t>0.500</w:t>
            </w:r>
          </w:p>
        </w:tc>
      </w:tr>
      <w:tr>
        <w:tc>
          <w:tcPr>
            <w:tcW w:type="dxa" w:w="2551"/>
            <w:vAlign w:val="center"/>
            <w:shd w:fill="F2F6FA" w:val="clear"/>
          </w:tcPr>
          <w:p>
            <w:r/>
            <w:r>
              <w:rPr>
                <w:sz w:val="20"/>
              </w:rPr>
              <w:t>Toplum Projesi</w:t>
            </w:r>
          </w:p>
        </w:tc>
        <w:tc>
          <w:tcPr>
            <w:tcW w:type="dxa" w:w="1417"/>
            <w:vAlign w:val="center"/>
            <w:shd w:fill="F2F6FA" w:val="clear"/>
          </w:tcPr>
          <w:p>
            <w:r/>
            <w:r>
              <w:rPr>
                <w:sz w:val="20"/>
              </w:rPr>
              <w:t>0.518</w:t>
            </w:r>
          </w:p>
        </w:tc>
        <w:tc>
          <w:tcPr>
            <w:tcW w:type="dxa" w:w="1417"/>
            <w:vAlign w:val="center"/>
            <w:shd w:fill="F2F6FA" w:val="clear"/>
          </w:tcPr>
          <w:p>
            <w:r/>
            <w:r>
              <w:rPr>
                <w:sz w:val="20"/>
              </w:rPr>
              <w:t>0.518</w:t>
            </w:r>
          </w:p>
        </w:tc>
        <w:tc>
          <w:tcPr>
            <w:tcW w:type="dxa" w:w="1417"/>
            <w:vAlign w:val="center"/>
            <w:shd w:fill="F2F6FA" w:val="clear"/>
          </w:tcPr>
          <w:p>
            <w:r/>
            <w:r>
              <w:rPr>
                <w:sz w:val="20"/>
              </w:rPr>
              <w:t>0.500</w:t>
            </w:r>
          </w:p>
        </w:tc>
        <w:tc>
          <w:tcPr>
            <w:tcW w:type="dxa" w:w="1417"/>
            <w:vAlign w:val="center"/>
            <w:shd w:fill="F2F6FA" w:val="clear"/>
          </w:tcPr>
          <w:p>
            <w:r/>
            <w:r>
              <w:rPr>
                <w:sz w:val="20"/>
              </w:rPr>
              <w:t>0.500</w:t>
            </w:r>
          </w:p>
        </w:tc>
      </w:tr>
      <w:tr>
        <w:tc>
          <w:tcPr>
            <w:tcW w:type="dxa" w:w="2551"/>
            <w:vAlign w:val="center"/>
          </w:tcPr>
          <w:p>
            <w:r/>
            <w:r>
              <w:rPr>
                <w:sz w:val="20"/>
              </w:rPr>
              <w:t>Klinik Anatomi</w:t>
            </w:r>
          </w:p>
        </w:tc>
        <w:tc>
          <w:tcPr>
            <w:tcW w:type="dxa" w:w="1417"/>
            <w:vAlign w:val="center"/>
          </w:tcPr>
          <w:p>
            <w:r/>
            <w:r>
              <w:rPr>
                <w:sz w:val="20"/>
              </w:rPr>
              <w:t>0.485</w:t>
            </w:r>
          </w:p>
        </w:tc>
        <w:tc>
          <w:tcPr>
            <w:tcW w:type="dxa" w:w="1417"/>
            <w:vAlign w:val="center"/>
          </w:tcPr>
          <w:p>
            <w:r/>
            <w:r>
              <w:rPr>
                <w:sz w:val="20"/>
              </w:rPr>
              <w:t>0.485</w:t>
            </w:r>
          </w:p>
        </w:tc>
        <w:tc>
          <w:tcPr>
            <w:tcW w:type="dxa" w:w="1417"/>
            <w:vAlign w:val="center"/>
          </w:tcPr>
          <w:p>
            <w:r/>
            <w:r>
              <w:rPr>
                <w:sz w:val="20"/>
              </w:rPr>
              <w:t>0.500</w:t>
            </w:r>
          </w:p>
        </w:tc>
        <w:tc>
          <w:tcPr>
            <w:tcW w:type="dxa" w:w="1417"/>
            <w:vAlign w:val="center"/>
          </w:tcPr>
          <w:p>
            <w:r/>
            <w:r>
              <w:rPr>
                <w:sz w:val="20"/>
              </w:rPr>
              <w:t>0.500</w:t>
            </w:r>
          </w:p>
        </w:tc>
      </w:tr>
      <w:tr>
        <w:tc>
          <w:tcPr>
            <w:tcW w:type="dxa" w:w="2551"/>
            <w:vAlign w:val="center"/>
            <w:shd w:fill="F2F6FA" w:val="clear"/>
          </w:tcPr>
          <w:p>
            <w:r/>
            <w:r>
              <w:rPr>
                <w:sz w:val="20"/>
              </w:rPr>
              <w:t>Girişimcilik</w:t>
            </w:r>
          </w:p>
        </w:tc>
        <w:tc>
          <w:tcPr>
            <w:tcW w:type="dxa" w:w="1417"/>
            <w:vAlign w:val="center"/>
            <w:shd w:fill="F2F6FA" w:val="clear"/>
          </w:tcPr>
          <w:p>
            <w:r/>
            <w:r>
              <w:rPr>
                <w:sz w:val="20"/>
              </w:rPr>
              <w:t>0.463</w:t>
            </w:r>
          </w:p>
        </w:tc>
        <w:tc>
          <w:tcPr>
            <w:tcW w:type="dxa" w:w="1417"/>
            <w:vAlign w:val="center"/>
            <w:shd w:fill="F2F6FA" w:val="clear"/>
          </w:tcPr>
          <w:p>
            <w:r/>
            <w:r>
              <w:rPr>
                <w:sz w:val="20"/>
              </w:rPr>
              <w:t>0.463</w:t>
            </w:r>
          </w:p>
        </w:tc>
        <w:tc>
          <w:tcPr>
            <w:tcW w:type="dxa" w:w="1417"/>
            <w:vAlign w:val="center"/>
            <w:shd w:fill="F2F6FA" w:val="clear"/>
          </w:tcPr>
          <w:p>
            <w:r/>
            <w:r>
              <w:rPr>
                <w:sz w:val="20"/>
              </w:rPr>
              <w:t>0.500</w:t>
            </w:r>
          </w:p>
        </w:tc>
        <w:tc>
          <w:tcPr>
            <w:tcW w:type="dxa" w:w="1417"/>
            <w:vAlign w:val="center"/>
            <w:shd w:fill="F2F6FA" w:val="clear"/>
          </w:tcPr>
          <w:p>
            <w:r/>
            <w:r>
              <w:rPr>
                <w:sz w:val="20"/>
              </w:rPr>
              <w:t>0.500</w:t>
            </w:r>
          </w:p>
        </w:tc>
      </w:tr>
    </w:tbl>
    <w:p>
      <w:pPr>
        <w:spacing w:after="120"/>
      </w:pPr>
      <w:r>
        <w:rPr>
          <w:rFonts w:ascii="Calibri" w:hAnsi="Calibri"/>
          <w:b/>
          <w:i w:val="0"/>
          <w:sz w:val="22"/>
        </w:rPr>
        <w:t>Adım C — Ağırlıklı normalize matris v(i,j):</w:t>
      </w:r>
    </w:p>
    <w:p>
      <w:pPr>
        <w:spacing w:after="120"/>
      </w:pPr>
      <w:r>
        <w:rPr>
          <w:rFonts w:ascii="Calibri" w:hAnsi="Calibri"/>
          <w:b w:val="0"/>
          <w:i w:val="0"/>
          <w:sz w:val="22"/>
        </w:rPr>
        <w:t>Her sütun karşılık gelen ağırlık ile çarpılır. Örnek v_TıbbiEtik_B = 0.411 × 0.529 = 0.218.</w:t>
      </w:r>
    </w:p>
    <w:p>
      <w:pPr>
        <w:spacing w:after="120"/>
      </w:pPr>
      <w:r>
        <w:rPr>
          <w:rFonts w:ascii="Calibri" w:hAnsi="Calibri"/>
          <w:b/>
          <w:i w:val="0"/>
          <w:sz w:val="22"/>
        </w:rPr>
        <w:t>Adım D — İdeal çözümler:</w:t>
      </w:r>
    </w:p>
    <w:p>
      <w:pPr>
        <w:spacing w:after="120"/>
        <w:jc w:val="center"/>
      </w:pPr>
      <w:r>
        <w:rPr>
          <w:rFonts w:ascii="Calibri" w:hAnsi="Calibri"/>
          <w:b/>
          <w:i w:val="0"/>
          <w:sz w:val="22"/>
        </w:rPr>
        <w:t xml:space="preserve">   A+ = (0.218, 0.106, 0.097, 0.097),  A− = (0.190, 0.093, 0.097, 0.097)</w:t>
      </w:r>
    </w:p>
    <w:p>
      <w:pPr>
        <w:spacing w:after="120"/>
      </w:pPr>
      <w:r>
        <w:rPr>
          <w:rFonts w:ascii="Calibri" w:hAnsi="Calibri"/>
          <w:b/>
          <w:i w:val="0"/>
          <w:sz w:val="22"/>
        </w:rPr>
        <w:t>Adım E — Uzaklıklar (Tıbbi Etik için):</w:t>
      </w:r>
    </w:p>
    <w:p>
      <w:pPr>
        <w:spacing w:after="120"/>
        <w:jc w:val="center"/>
      </w:pPr>
      <w:r>
        <w:rPr>
          <w:rFonts w:ascii="Calibri" w:hAnsi="Calibri"/>
          <w:b/>
          <w:i w:val="0"/>
          <w:sz w:val="22"/>
        </w:rPr>
        <w:t xml:space="preserve">   S+ = √((0.218−0.218)² + (0.106−0.106)² + 0 + 0) = 0.000</w:t>
      </w:r>
    </w:p>
    <w:p>
      <w:pPr>
        <w:spacing w:after="120"/>
        <w:jc w:val="center"/>
      </w:pPr>
      <w:r>
        <w:rPr>
          <w:rFonts w:ascii="Calibri" w:hAnsi="Calibri"/>
          <w:b/>
          <w:i w:val="0"/>
          <w:sz w:val="22"/>
        </w:rPr>
        <w:t xml:space="preserve">   S− = √((0.218−0.190)² + (0.106−0.093)² + 0 + 0) ≈ 0.031</w:t>
      </w:r>
    </w:p>
    <w:p>
      <w:pPr>
        <w:spacing w:after="120"/>
      </w:pPr>
      <w:r>
        <w:rPr>
          <w:rFonts w:ascii="Calibri" w:hAnsi="Calibri"/>
          <w:b/>
          <w:i w:val="0"/>
          <w:sz w:val="22"/>
        </w:rPr>
        <w:t>Adım F — Yakınlık katsayısı ve puan:</w:t>
      </w:r>
    </w:p>
    <w:tbl>
      <w:tblPr>
        <w:tblStyle w:val="LightGrid-Accent1"/>
        <w:tblW w:type="auto" w:w="0"/>
        <w:jc w:val="center"/>
        <w:tblLook w:firstColumn="1" w:firstRow="1" w:lastColumn="0" w:lastRow="0" w:noHBand="0" w:noVBand="1" w:val="04A0"/>
      </w:tblPr>
      <w:tblGrid>
        <w:gridCol w:w="1915"/>
        <w:gridCol w:w="1915"/>
        <w:gridCol w:w="1915"/>
        <w:gridCol w:w="1915"/>
        <w:gridCol w:w="1915"/>
      </w:tblGrid>
      <w:tr>
        <w:tc>
          <w:tcPr>
            <w:tcW w:type="dxa" w:w="2268"/>
            <w:shd w:fill="1F4E79" w:val="clear"/>
            <w:vAlign w:val="center"/>
          </w:tcPr>
          <w:p>
            <w:r/>
            <w:r>
              <w:rPr>
                <w:b/>
                <w:color w:val="FFFFFF"/>
                <w:sz w:val="22"/>
              </w:rPr>
              <w:t>Ders</w:t>
            </w:r>
          </w:p>
        </w:tc>
        <w:tc>
          <w:tcPr>
            <w:tcW w:type="dxa" w:w="1361"/>
            <w:shd w:fill="1F4E79" w:val="clear"/>
            <w:vAlign w:val="center"/>
          </w:tcPr>
          <w:p>
            <w:r/>
            <w:r>
              <w:rPr>
                <w:b/>
                <w:color w:val="FFFFFF"/>
                <w:sz w:val="22"/>
              </w:rPr>
              <w:t>S+</w:t>
            </w:r>
          </w:p>
        </w:tc>
        <w:tc>
          <w:tcPr>
            <w:tcW w:type="dxa" w:w="1361"/>
            <w:shd w:fill="1F4E79" w:val="clear"/>
            <w:vAlign w:val="center"/>
          </w:tcPr>
          <w:p>
            <w:r/>
            <w:r>
              <w:rPr>
                <w:b/>
                <w:color w:val="FFFFFF"/>
                <w:sz w:val="22"/>
              </w:rPr>
              <w:t>S−</w:t>
            </w:r>
          </w:p>
        </w:tc>
        <w:tc>
          <w:tcPr>
            <w:tcW w:type="dxa" w:w="1701"/>
            <w:shd w:fill="1F4E79" w:val="clear"/>
            <w:vAlign w:val="center"/>
          </w:tcPr>
          <w:p>
            <w:r/>
            <w:r>
              <w:rPr>
                <w:b/>
                <w:color w:val="FFFFFF"/>
                <w:sz w:val="22"/>
              </w:rPr>
              <w:t>C = S−/(S++S−)</w:t>
            </w:r>
          </w:p>
        </w:tc>
        <w:tc>
          <w:tcPr>
            <w:tcW w:type="dxa" w:w="1984"/>
            <w:shd w:fill="1F4E79" w:val="clear"/>
            <w:vAlign w:val="center"/>
          </w:tcPr>
          <w:p>
            <w:r/>
            <w:r>
              <w:rPr>
                <w:b/>
                <w:color w:val="FFFFFF"/>
                <w:sz w:val="22"/>
              </w:rPr>
              <w:t>Kesinleşme Puanı</w:t>
            </w:r>
          </w:p>
        </w:tc>
      </w:tr>
      <w:tr>
        <w:tc>
          <w:tcPr>
            <w:tcW w:type="dxa" w:w="2268"/>
            <w:vAlign w:val="center"/>
          </w:tcPr>
          <w:p>
            <w:r/>
            <w:r>
              <w:rPr>
                <w:sz w:val="20"/>
              </w:rPr>
              <w:t>Tıbbi Etik</w:t>
            </w:r>
          </w:p>
        </w:tc>
        <w:tc>
          <w:tcPr>
            <w:tcW w:type="dxa" w:w="1361"/>
            <w:vAlign w:val="center"/>
          </w:tcPr>
          <w:p>
            <w:r/>
            <w:r>
              <w:rPr>
                <w:sz w:val="20"/>
              </w:rPr>
              <w:t>0.000</w:t>
            </w:r>
          </w:p>
        </w:tc>
        <w:tc>
          <w:tcPr>
            <w:tcW w:type="dxa" w:w="1361"/>
            <w:vAlign w:val="center"/>
          </w:tcPr>
          <w:p>
            <w:r/>
            <w:r>
              <w:rPr>
                <w:sz w:val="20"/>
              </w:rPr>
              <w:t>0.031</w:t>
            </w:r>
          </w:p>
        </w:tc>
        <w:tc>
          <w:tcPr>
            <w:tcW w:type="dxa" w:w="1701"/>
            <w:vAlign w:val="center"/>
          </w:tcPr>
          <w:p>
            <w:r/>
            <w:r>
              <w:rPr>
                <w:sz w:val="20"/>
              </w:rPr>
              <w:t>1.000</w:t>
            </w:r>
          </w:p>
        </w:tc>
        <w:tc>
          <w:tcPr>
            <w:tcW w:type="dxa" w:w="1984"/>
            <w:vAlign w:val="center"/>
          </w:tcPr>
          <w:p>
            <w:r/>
            <w:r>
              <w:rPr>
                <w:sz w:val="20"/>
              </w:rPr>
              <w:t>100.0</w:t>
            </w:r>
          </w:p>
        </w:tc>
      </w:tr>
      <w:tr>
        <w:tc>
          <w:tcPr>
            <w:tcW w:type="dxa" w:w="2268"/>
            <w:vAlign w:val="center"/>
            <w:shd w:fill="F2F6FA" w:val="clear"/>
          </w:tcPr>
          <w:p>
            <w:r/>
            <w:r>
              <w:rPr>
                <w:sz w:val="20"/>
              </w:rPr>
              <w:t>Toplum Projesi</w:t>
            </w:r>
          </w:p>
        </w:tc>
        <w:tc>
          <w:tcPr>
            <w:tcW w:type="dxa" w:w="1361"/>
            <w:vAlign w:val="center"/>
            <w:shd w:fill="F2F6FA" w:val="clear"/>
          </w:tcPr>
          <w:p>
            <w:r/>
            <w:r>
              <w:rPr>
                <w:sz w:val="20"/>
              </w:rPr>
              <w:t>0.005</w:t>
            </w:r>
          </w:p>
        </w:tc>
        <w:tc>
          <w:tcPr>
            <w:tcW w:type="dxa" w:w="1361"/>
            <w:vAlign w:val="center"/>
            <w:shd w:fill="F2F6FA" w:val="clear"/>
          </w:tcPr>
          <w:p>
            <w:r/>
            <w:r>
              <w:rPr>
                <w:sz w:val="20"/>
              </w:rPr>
              <w:t>0.026</w:t>
            </w:r>
          </w:p>
        </w:tc>
        <w:tc>
          <w:tcPr>
            <w:tcW w:type="dxa" w:w="1701"/>
            <w:vAlign w:val="center"/>
            <w:shd w:fill="F2F6FA" w:val="clear"/>
          </w:tcPr>
          <w:p>
            <w:r/>
            <w:r>
              <w:rPr>
                <w:sz w:val="20"/>
              </w:rPr>
              <w:t>0.840</w:t>
            </w:r>
          </w:p>
        </w:tc>
        <w:tc>
          <w:tcPr>
            <w:tcW w:type="dxa" w:w="1984"/>
            <w:vAlign w:val="center"/>
            <w:shd w:fill="F2F6FA" w:val="clear"/>
          </w:tcPr>
          <w:p>
            <w:r/>
            <w:r>
              <w:rPr>
                <w:sz w:val="20"/>
              </w:rPr>
              <w:t>84.0</w:t>
            </w:r>
          </w:p>
        </w:tc>
      </w:tr>
      <w:tr>
        <w:tc>
          <w:tcPr>
            <w:tcW w:type="dxa" w:w="2268"/>
            <w:vAlign w:val="center"/>
          </w:tcPr>
          <w:p>
            <w:r/>
            <w:r>
              <w:rPr>
                <w:sz w:val="20"/>
              </w:rPr>
              <w:t>Klinik Anatomi</w:t>
            </w:r>
          </w:p>
        </w:tc>
        <w:tc>
          <w:tcPr>
            <w:tcW w:type="dxa" w:w="1361"/>
            <w:vAlign w:val="center"/>
          </w:tcPr>
          <w:p>
            <w:r/>
            <w:r>
              <w:rPr>
                <w:sz w:val="20"/>
              </w:rPr>
              <w:t>0.018</w:t>
            </w:r>
          </w:p>
        </w:tc>
        <w:tc>
          <w:tcPr>
            <w:tcW w:type="dxa" w:w="1361"/>
            <w:vAlign w:val="center"/>
          </w:tcPr>
          <w:p>
            <w:r/>
            <w:r>
              <w:rPr>
                <w:sz w:val="20"/>
              </w:rPr>
              <w:t>0.013</w:t>
            </w:r>
          </w:p>
        </w:tc>
        <w:tc>
          <w:tcPr>
            <w:tcW w:type="dxa" w:w="1701"/>
            <w:vAlign w:val="center"/>
          </w:tcPr>
          <w:p>
            <w:r/>
            <w:r>
              <w:rPr>
                <w:sz w:val="20"/>
              </w:rPr>
              <w:t>0.420</w:t>
            </w:r>
          </w:p>
        </w:tc>
        <w:tc>
          <w:tcPr>
            <w:tcW w:type="dxa" w:w="1984"/>
            <w:vAlign w:val="center"/>
          </w:tcPr>
          <w:p>
            <w:r/>
            <w:r>
              <w:rPr>
                <w:sz w:val="20"/>
              </w:rPr>
              <w:t>42.0</w:t>
            </w:r>
          </w:p>
        </w:tc>
      </w:tr>
      <w:tr>
        <w:tc>
          <w:tcPr>
            <w:tcW w:type="dxa" w:w="2268"/>
            <w:vAlign w:val="center"/>
            <w:shd w:fill="F2F6FA" w:val="clear"/>
          </w:tcPr>
          <w:p>
            <w:r/>
            <w:r>
              <w:rPr>
                <w:sz w:val="20"/>
              </w:rPr>
              <w:t>Girişimcilik</w:t>
            </w:r>
          </w:p>
        </w:tc>
        <w:tc>
          <w:tcPr>
            <w:tcW w:type="dxa" w:w="1361"/>
            <w:vAlign w:val="center"/>
            <w:shd w:fill="F2F6FA" w:val="clear"/>
          </w:tcPr>
          <w:p>
            <w:r/>
            <w:r>
              <w:rPr>
                <w:sz w:val="20"/>
              </w:rPr>
              <w:t>0.027</w:t>
            </w:r>
          </w:p>
        </w:tc>
        <w:tc>
          <w:tcPr>
            <w:tcW w:type="dxa" w:w="1361"/>
            <w:vAlign w:val="center"/>
            <w:shd w:fill="F2F6FA" w:val="clear"/>
          </w:tcPr>
          <w:p>
            <w:r/>
            <w:r>
              <w:rPr>
                <w:sz w:val="20"/>
              </w:rPr>
              <w:t>0.005</w:t>
            </w:r>
          </w:p>
        </w:tc>
        <w:tc>
          <w:tcPr>
            <w:tcW w:type="dxa" w:w="1701"/>
            <w:vAlign w:val="center"/>
            <w:shd w:fill="F2F6FA" w:val="clear"/>
          </w:tcPr>
          <w:p>
            <w:r/>
            <w:r>
              <w:rPr>
                <w:sz w:val="20"/>
              </w:rPr>
              <w:t>0.156</w:t>
            </w:r>
          </w:p>
        </w:tc>
        <w:tc>
          <w:tcPr>
            <w:tcW w:type="dxa" w:w="1984"/>
            <w:vAlign w:val="center"/>
            <w:shd w:fill="F2F6FA" w:val="clear"/>
          </w:tcPr>
          <w:p>
            <w:r/>
            <w:r>
              <w:rPr>
                <w:sz w:val="20"/>
              </w:rPr>
              <w:t>15.6</w:t>
            </w:r>
          </w:p>
        </w:tc>
      </w:tr>
    </w:tbl>
    <w:p>
      <w:pPr>
        <w:spacing w:after="120"/>
      </w:pPr>
      <w:r>
        <w:rPr>
          <w:rFonts w:ascii="Calibri" w:hAnsi="Calibri"/>
          <w:b w:val="0"/>
          <w:i w:val="0"/>
          <w:sz w:val="22"/>
        </w:rPr>
        <w:t>Sonuç, sistemin yalnızca başarı kriteri varyans taşıyan dejenere durumda bile bir sıralama üretebildiğini, ancak düşük puanlı dersin (Girişimcilik) eşik altına düşerek havuza alındığını gösterir. Bu örnek aynı zamanda “göreli sıfırlama” fenomenini de gösterir: en düşük başarılı ders, mutlak değeri 0.84 olmasına rağmen, göreli olarak en alttayken puan olarak 15.6’ya düşmektedir. Sistem bu sebeple eşiği yalnızca skora değil, ortalama not kriterine de (DROP_AVERAGE_GRADE_THRESHOLD = 45) bağlamaktadır.</w:t>
      </w:r>
    </w:p>
    <w:p>
      <w:pPr>
        <w:spacing w:after="120"/>
      </w:pPr>
      <w:r>
        <w:rPr>
          <w:rFonts w:ascii="Calibri" w:hAnsi="Calibri"/>
          <w:b/>
          <w:i w:val="0"/>
          <w:sz w:val="24"/>
        </w:rPr>
        <w:t>3.2.7 Müfredat İçi/Dışı Ayrımı</w:t>
      </w:r>
    </w:p>
    <w:p>
      <w:pPr>
        <w:spacing w:after="120"/>
      </w:pPr>
      <w:r>
        <w:rPr>
          <w:rFonts w:ascii="Calibri" w:hAnsi="Calibri"/>
          <w:b w:val="0"/>
          <w:i w:val="0"/>
          <w:sz w:val="22"/>
        </w:rPr>
        <w:t>TOPSIS yalnızca müfredattaki dersler arasında işler. Müfredat dışı (havuz) dersleri için ayrı bir yardımcı skor (_pool_course_score_anket_only) anket sinyaline göre 50±10 bandında üretilir. Bu, havuz dersinin yapay olarak müfredat dersi gibi yüksek skor almasını engeller.</w:t>
      </w:r>
    </w:p>
    <w:p>
      <w:pPr>
        <w:pStyle w:val="Heading1"/>
      </w:pPr>
      <w:r>
        <w:rPr>
          <w:rFonts w:ascii="Calibri" w:hAnsi="Calibri"/>
          <w:color w:val="1F4E79"/>
          <w:sz w:val="40"/>
        </w:rPr>
        <w:t>3.3 Trend Analizi</w:t>
      </w:r>
    </w:p>
    <w:p>
      <w:pPr>
        <w:spacing w:after="120"/>
      </w:pPr>
      <w:r>
        <w:rPr>
          <w:rFonts w:ascii="Calibri" w:hAnsi="Calibri"/>
          <w:b w:val="0"/>
          <w:i w:val="0"/>
          <w:sz w:val="22"/>
        </w:rPr>
        <w:t>Bir dersin sadece son yıldaki başarısına bakmak, dersin uzun vadeli gidişatını gizleyebilir. Bu nedenle sistem, başarı kriterini son üç yılın ağırlıklı ortalamasıyla destekler. Varsayılan ağırlıklar:</w:t>
      </w:r>
    </w:p>
    <w:p>
      <w:pPr>
        <w:spacing w:after="120"/>
        <w:jc w:val="center"/>
      </w:pPr>
      <w:r>
        <w:rPr>
          <w:rFonts w:ascii="Calibri" w:hAnsi="Calibri"/>
          <w:b/>
          <w:i w:val="0"/>
          <w:sz w:val="22"/>
        </w:rPr>
        <w:t xml:space="preserve">   w(en yeni yıl)=0.50,  w(önceki yıl)=0.30,  w(üçüncü yıl)=0.20</w:t>
      </w:r>
    </w:p>
    <w:p>
      <w:pPr>
        <w:spacing w:after="120"/>
      </w:pPr>
      <w:r>
        <w:rPr>
          <w:rFonts w:ascii="Calibri" w:hAnsi="Calibri"/>
          <w:b w:val="0"/>
          <w:i w:val="0"/>
          <w:sz w:val="22"/>
        </w:rPr>
        <w:t>Bazı yıllarda veri eksikse, eksik yıllar atılır ve mevcut yılların ağırlıkları toplamı 1 olacak şekilde yeniden ölçeklenir. Bu, eksik veride trend sinyalinin tamamen kaybolmasını engeller.</w:t>
      </w:r>
    </w:p>
    <w:p>
      <w:pPr>
        <w:jc w:val="center"/>
      </w:pPr>
      <w:r>
        <w:drawing>
          <wp:inline xmlns:a="http://schemas.openxmlformats.org/drawingml/2006/main" xmlns:pic="http://schemas.openxmlformats.org/drawingml/2006/picture">
            <wp:extent cx="5220000" cy="2891077"/>
            <wp:docPr id="5" name="Picture 5"/>
            <wp:cNvGraphicFramePr>
              <a:graphicFrameLocks noChangeAspect="1"/>
            </wp:cNvGraphicFramePr>
            <a:graphic>
              <a:graphicData uri="http://schemas.openxmlformats.org/drawingml/2006/picture">
                <pic:pic>
                  <pic:nvPicPr>
                    <pic:cNvPr id="0" name="trend_example.png"/>
                    <pic:cNvPicPr/>
                  </pic:nvPicPr>
                  <pic:blipFill>
                    <a:blip r:embed="rId13"/>
                    <a:stretch>
                      <a:fillRect/>
                    </a:stretch>
                  </pic:blipFill>
                  <pic:spPr>
                    <a:xfrm>
                      <a:off x="0" y="0"/>
                      <a:ext cx="5220000" cy="2891077"/>
                    </a:xfrm>
                    <a:prstGeom prst="rect"/>
                  </pic:spPr>
                </pic:pic>
              </a:graphicData>
            </a:graphic>
          </wp:inline>
        </w:drawing>
      </w:r>
    </w:p>
    <w:p>
      <w:pPr>
        <w:jc w:val="center"/>
      </w:pPr>
      <w:r>
        <w:rPr>
          <w:i/>
          <w:color w:val="666666"/>
          <w:sz w:val="20"/>
        </w:rPr>
        <w:t>Şekil 3.3 — Trend analizi: 3 yıl ağırlıklı ortalama örneği.</w:t>
      </w:r>
    </w:p>
    <w:p>
      <w:pPr>
        <w:spacing w:after="120"/>
      </w:pPr>
      <w:r>
        <w:rPr>
          <w:rFonts w:ascii="Calibri" w:hAnsi="Calibri"/>
          <w:b w:val="0"/>
          <w:i w:val="0"/>
          <w:sz w:val="22"/>
        </w:rPr>
        <w:t>Trend kriteri, 2022 başlangıç yılı gibi geçmiş veri bulunmayan senaryolarda “nötr” değer (0.5) ile doldurulur. Bu nötrleştirme, başlangıç yılında geçmiş etkisi olmamasını matematiksel olarak doğru ifade eder.</w:t>
      </w:r>
    </w:p>
    <w:p>
      <w:pPr>
        <w:pStyle w:val="Heading1"/>
      </w:pPr>
      <w:r>
        <w:rPr>
          <w:rFonts w:ascii="Calibri" w:hAnsi="Calibri"/>
          <w:color w:val="1F4E79"/>
          <w:sz w:val="40"/>
        </w:rPr>
        <w:t>3.4 Kesinleşme Puanı ve Eşikler</w:t>
      </w:r>
    </w:p>
    <w:p>
      <w:pPr>
        <w:spacing w:after="120"/>
      </w:pPr>
      <w:r>
        <w:rPr>
          <w:rFonts w:ascii="Calibri" w:hAnsi="Calibri"/>
          <w:b w:val="0"/>
          <w:i w:val="0"/>
          <w:sz w:val="22"/>
        </w:rPr>
        <w:t>TOPSIS yakınlık katsayısının 100 ile çarpılmış hali kesinleşme puanı olarak isimlendirilir. Kullanıcı dostu yorum sağlar (0-100 ölçeği).</w:t>
      </w:r>
    </w:p>
    <w:tbl>
      <w:tblPr>
        <w:tblStyle w:val="LightGrid-Accent1"/>
        <w:tblW w:type="auto" w:w="0"/>
        <w:jc w:val="center"/>
        <w:tblLook w:firstColumn="1" w:firstRow="1" w:lastColumn="0" w:lastRow="0" w:noHBand="0" w:noVBand="1" w:val="04A0"/>
      </w:tblPr>
      <w:tblGrid>
        <w:gridCol w:w="3192"/>
        <w:gridCol w:w="3192"/>
        <w:gridCol w:w="3192"/>
      </w:tblGrid>
      <w:tr>
        <w:tc>
          <w:tcPr>
            <w:tcW w:type="dxa" w:w="3685"/>
            <w:shd w:fill="1F4E79" w:val="clear"/>
            <w:vAlign w:val="center"/>
          </w:tcPr>
          <w:p>
            <w:r/>
            <w:r>
              <w:rPr>
                <w:b/>
                <w:color w:val="FFFFFF"/>
                <w:sz w:val="22"/>
              </w:rPr>
              <w:t>Eşik / Politika</w:t>
            </w:r>
          </w:p>
        </w:tc>
        <w:tc>
          <w:tcPr>
            <w:tcW w:type="dxa" w:w="1984"/>
            <w:shd w:fill="1F4E79" w:val="clear"/>
            <w:vAlign w:val="center"/>
          </w:tcPr>
          <w:p>
            <w:r/>
            <w:r>
              <w:rPr>
                <w:b/>
                <w:color w:val="FFFFFF"/>
                <w:sz w:val="22"/>
              </w:rPr>
              <w:t>Varsayılan Değer</w:t>
            </w:r>
          </w:p>
        </w:tc>
        <w:tc>
          <w:tcPr>
            <w:tcW w:type="dxa" w:w="3118"/>
            <w:shd w:fill="1F4E79" w:val="clear"/>
            <w:vAlign w:val="center"/>
          </w:tcPr>
          <w:p>
            <w:r/>
            <w:r>
              <w:rPr>
                <w:b/>
                <w:color w:val="FFFFFF"/>
                <w:sz w:val="22"/>
              </w:rPr>
              <w:t>Etki</w:t>
            </w:r>
          </w:p>
        </w:tc>
      </w:tr>
      <w:tr>
        <w:tc>
          <w:tcPr>
            <w:tcW w:type="dxa" w:w="3685"/>
            <w:vAlign w:val="center"/>
          </w:tcPr>
          <w:p>
            <w:r/>
            <w:r>
              <w:rPr>
                <w:sz w:val="20"/>
              </w:rPr>
              <w:t>DROP_SCORE_THRESHOLD</w:t>
            </w:r>
          </w:p>
        </w:tc>
        <w:tc>
          <w:tcPr>
            <w:tcW w:type="dxa" w:w="1984"/>
            <w:vAlign w:val="center"/>
          </w:tcPr>
          <w:p>
            <w:r/>
            <w:r>
              <w:rPr>
                <w:sz w:val="20"/>
              </w:rPr>
              <w:t>40</w:t>
            </w:r>
          </w:p>
        </w:tc>
        <w:tc>
          <w:tcPr>
            <w:tcW w:type="dxa" w:w="3118"/>
            <w:vAlign w:val="center"/>
          </w:tcPr>
          <w:p>
            <w:r/>
            <w:r>
              <w:rPr>
                <w:sz w:val="20"/>
              </w:rPr>
              <w:t>Kesinleşme puanı bu eşiğin altındaysa ders düşer.</w:t>
            </w:r>
          </w:p>
        </w:tc>
      </w:tr>
      <w:tr>
        <w:tc>
          <w:tcPr>
            <w:tcW w:type="dxa" w:w="3685"/>
            <w:vAlign w:val="center"/>
            <w:shd w:fill="F2F6FA" w:val="clear"/>
          </w:tcPr>
          <w:p>
            <w:r/>
            <w:r>
              <w:rPr>
                <w:sz w:val="20"/>
              </w:rPr>
              <w:t>DROP_AVERAGE_GRADE_THRESHOLD</w:t>
            </w:r>
          </w:p>
        </w:tc>
        <w:tc>
          <w:tcPr>
            <w:tcW w:type="dxa" w:w="1984"/>
            <w:vAlign w:val="center"/>
            <w:shd w:fill="F2F6FA" w:val="clear"/>
          </w:tcPr>
          <w:p>
            <w:r/>
            <w:r>
              <w:rPr>
                <w:sz w:val="20"/>
              </w:rPr>
              <w:t>45</w:t>
            </w:r>
          </w:p>
        </w:tc>
        <w:tc>
          <w:tcPr>
            <w:tcW w:type="dxa" w:w="3118"/>
            <w:vAlign w:val="center"/>
            <w:shd w:fill="F2F6FA" w:val="clear"/>
          </w:tcPr>
          <w:p>
            <w:r/>
            <w:r>
              <w:rPr>
                <w:sz w:val="20"/>
              </w:rPr>
              <w:t>Ortalama not bu eşiğin altındaysa ders düşer.</w:t>
            </w:r>
          </w:p>
        </w:tc>
      </w:tr>
      <w:tr>
        <w:tc>
          <w:tcPr>
            <w:tcW w:type="dxa" w:w="3685"/>
            <w:vAlign w:val="center"/>
          </w:tcPr>
          <w:p>
            <w:r/>
            <w:r>
              <w:rPr>
                <w:sz w:val="20"/>
              </w:rPr>
              <w:t>POOL_DEFAULT_SCORE</w:t>
            </w:r>
          </w:p>
        </w:tc>
        <w:tc>
          <w:tcPr>
            <w:tcW w:type="dxa" w:w="1984"/>
            <w:vAlign w:val="center"/>
          </w:tcPr>
          <w:p>
            <w:r/>
            <w:r>
              <w:rPr>
                <w:sz w:val="20"/>
              </w:rPr>
              <w:t>50</w:t>
            </w:r>
          </w:p>
        </w:tc>
        <w:tc>
          <w:tcPr>
            <w:tcW w:type="dxa" w:w="3118"/>
            <w:vAlign w:val="center"/>
          </w:tcPr>
          <w:p>
            <w:r/>
            <w:r>
              <w:rPr>
                <w:sz w:val="20"/>
              </w:rPr>
              <w:t>Havuz dersi için baz skor (anket bazlı ±10).</w:t>
            </w:r>
          </w:p>
        </w:tc>
      </w:tr>
      <w:tr>
        <w:tc>
          <w:tcPr>
            <w:tcW w:type="dxa" w:w="3685"/>
            <w:vAlign w:val="center"/>
            <w:shd w:fill="F2F6FA" w:val="clear"/>
          </w:tcPr>
          <w:p>
            <w:r/>
            <w:r>
              <w:rPr>
                <w:sz w:val="20"/>
              </w:rPr>
              <w:t>SAYAC_LIMIT</w:t>
            </w:r>
          </w:p>
        </w:tc>
        <w:tc>
          <w:tcPr>
            <w:tcW w:type="dxa" w:w="1984"/>
            <w:vAlign w:val="center"/>
            <w:shd w:fill="F2F6FA" w:val="clear"/>
          </w:tcPr>
          <w:p>
            <w:r/>
            <w:r>
              <w:rPr>
                <w:sz w:val="20"/>
              </w:rPr>
              <w:t>2</w:t>
            </w:r>
          </w:p>
        </w:tc>
        <w:tc>
          <w:tcPr>
            <w:tcW w:type="dxa" w:w="3118"/>
            <w:vAlign w:val="center"/>
            <w:shd w:fill="F2F6FA" w:val="clear"/>
          </w:tcPr>
          <w:p>
            <w:r/>
            <w:r>
              <w:rPr>
                <w:sz w:val="20"/>
              </w:rPr>
              <w:t>Sayaç bu değere ulaşırsa ders kalıcı iptale gider.</w:t>
            </w:r>
          </w:p>
        </w:tc>
      </w:tr>
    </w:tbl>
    <w:p>
      <w:pPr>
        <w:spacing w:after="120"/>
      </w:pPr>
      <w:r>
        <w:rPr>
          <w:rFonts w:ascii="Calibri" w:hAnsi="Calibri"/>
          <w:b w:val="0"/>
          <w:i w:val="0"/>
          <w:sz w:val="22"/>
        </w:rPr>
        <w:t>Eşik değerleri sabit kod değildir; fakülte/yıl bazlı politika tablosundan yüklenir. Bu sayede tıp fakültesi gibi farklı kabul standardı olan birimlerde değerler ayrı belirlenebilir.</w:t>
      </w:r>
    </w:p>
    <w:p>
      <w:pPr>
        <w:pStyle w:val="Heading1"/>
      </w:pPr>
      <w:r>
        <w:rPr>
          <w:rFonts w:ascii="Calibri" w:hAnsi="Calibri"/>
          <w:color w:val="1F4E79"/>
          <w:sz w:val="40"/>
        </w:rPr>
        <w:t>3.5 Havuz / Müfredat Durum Makinesi</w:t>
      </w:r>
    </w:p>
    <w:p>
      <w:pPr>
        <w:spacing w:after="120"/>
      </w:pPr>
      <w:r>
        <w:rPr>
          <w:rFonts w:ascii="Calibri" w:hAnsi="Calibri"/>
          <w:b w:val="0"/>
          <w:i w:val="0"/>
          <w:sz w:val="22"/>
        </w:rPr>
        <w:t>Sistem, her dersin durumunu sonlu bir state machine üzerinde tutar. Durumlar tamsayı kodludur:</w:t>
      </w:r>
    </w:p>
    <w:p>
      <w:pPr>
        <w:pStyle w:val="ListBullet"/>
      </w:pPr>
      <w:r>
        <w:rPr>
          <w:rFonts w:ascii="Calibri" w:hAnsi="Calibri"/>
          <w:sz w:val="22"/>
        </w:rPr>
        <w:t>1  — Müfredatta</w:t>
      </w:r>
    </w:p>
    <w:p>
      <w:pPr>
        <w:pStyle w:val="ListBullet"/>
      </w:pPr>
      <w:r>
        <w:rPr>
          <w:rFonts w:ascii="Calibri" w:hAnsi="Calibri"/>
          <w:sz w:val="22"/>
        </w:rPr>
        <w:t>0  — Havuzda</w:t>
      </w:r>
    </w:p>
    <w:p>
      <w:pPr>
        <w:pStyle w:val="ListBullet"/>
      </w:pPr>
      <w:r>
        <w:rPr>
          <w:rFonts w:ascii="Calibri" w:hAnsi="Calibri"/>
          <w:sz w:val="22"/>
        </w:rPr>
        <w:t>-1 — Dinlenmede (bir yıl müfredattan düşmüş)</w:t>
      </w:r>
    </w:p>
    <w:p>
      <w:pPr>
        <w:pStyle w:val="ListBullet"/>
      </w:pPr>
      <w:r>
        <w:rPr>
          <w:rFonts w:ascii="Calibri" w:hAnsi="Calibri"/>
          <w:sz w:val="22"/>
        </w:rPr>
        <w:t>-2 — Kalıcı iptal</w:t>
      </w:r>
    </w:p>
    <w:p>
      <w:pPr>
        <w:jc w:val="center"/>
      </w:pPr>
      <w:r>
        <w:drawing>
          <wp:inline xmlns:a="http://schemas.openxmlformats.org/drawingml/2006/main" xmlns:pic="http://schemas.openxmlformats.org/drawingml/2006/picture">
            <wp:extent cx="5580000" cy="2869714"/>
            <wp:docPr id="6" name="Picture 6"/>
            <wp:cNvGraphicFramePr>
              <a:graphicFrameLocks noChangeAspect="1"/>
            </wp:cNvGraphicFramePr>
            <a:graphic>
              <a:graphicData uri="http://schemas.openxmlformats.org/drawingml/2006/picture">
                <pic:pic>
                  <pic:nvPicPr>
                    <pic:cNvPr id="0" name="state_machine.png"/>
                    <pic:cNvPicPr/>
                  </pic:nvPicPr>
                  <pic:blipFill>
                    <a:blip r:embed="rId14"/>
                    <a:stretch>
                      <a:fillRect/>
                    </a:stretch>
                  </pic:blipFill>
                  <pic:spPr>
                    <a:xfrm>
                      <a:off x="0" y="0"/>
                      <a:ext cx="5580000" cy="2869714"/>
                    </a:xfrm>
                    <a:prstGeom prst="rect"/>
                  </pic:spPr>
                </pic:pic>
              </a:graphicData>
            </a:graphic>
          </wp:inline>
        </w:drawing>
      </w:r>
    </w:p>
    <w:p>
      <w:pPr>
        <w:jc w:val="center"/>
      </w:pPr>
      <w:r>
        <w:rPr>
          <w:i/>
          <w:color w:val="666666"/>
          <w:sz w:val="20"/>
        </w:rPr>
        <w:t>Şekil 3.4 — Müfredat-havuz durum geçişleri.</w:t>
      </w:r>
    </w:p>
    <w:p>
      <w:pPr>
        <w:spacing w:after="120"/>
      </w:pPr>
      <w:r>
        <w:rPr>
          <w:rFonts w:ascii="Calibri" w:hAnsi="Calibri"/>
          <w:b w:val="0"/>
          <w:i w:val="0"/>
          <w:sz w:val="22"/>
        </w:rPr>
        <w:t>Bir ders ilk açıldığında (1) durumundadır. Eşik altına düşen ders (0) havuza alınır ve sayaç 1 artar. Sayaç 2’ye ulaştığında ders (-2) kalıcı iptal durumuna geçer ve bir daha o fakülte/bölüm/yıl kapsamında otomatik açılmaz. Dinlenmede (-1) durumu, sayaçtan bağımsız olarak yöneticinin manuel bir yıl bekletme tercihi için kullanılır.</w:t>
      </w:r>
    </w:p>
    <w:p>
      <w:pPr>
        <w:pStyle w:val="Heading1"/>
      </w:pPr>
      <w:r>
        <w:rPr>
          <w:rFonts w:ascii="Calibri" w:hAnsi="Calibri"/>
          <w:color w:val="1F4E79"/>
          <w:sz w:val="40"/>
        </w:rPr>
        <w:t>3.6 Çift Dönem (Güz/Bahar) Dengeleme</w:t>
      </w:r>
    </w:p>
    <w:p>
      <w:pPr>
        <w:spacing w:after="120"/>
      </w:pPr>
      <w:r>
        <w:rPr>
          <w:rFonts w:ascii="Calibri" w:hAnsi="Calibri"/>
          <w:b w:val="0"/>
          <w:i w:val="0"/>
          <w:sz w:val="22"/>
        </w:rPr>
        <w:t>Müfredat üretimi yalnızca yıllık değil, dönemlik de yapılabilir. Dual semester servisi, yıl üretimini güz ve bahar için ayrı ayrı çalıştırır ve şu kuralları uygular:</w:t>
      </w:r>
    </w:p>
    <w:p>
      <w:pPr>
        <w:pStyle w:val="ListBullet"/>
      </w:pPr>
      <w:r>
        <w:rPr>
          <w:rFonts w:ascii="Calibri" w:hAnsi="Calibri"/>
          <w:sz w:val="22"/>
        </w:rPr>
        <w:t>Her dönem için minimum-maksimum ders hedefi (varsayılan 4+4) fakülte/yıl politikasına göre çekilir.</w:t>
      </w:r>
    </w:p>
    <w:p>
      <w:pPr>
        <w:pStyle w:val="ListBullet"/>
      </w:pPr>
      <w:r>
        <w:rPr>
          <w:rFonts w:ascii="Calibri" w:hAnsi="Calibri"/>
          <w:sz w:val="22"/>
        </w:rPr>
        <w:t>Aynı ders iki dönemde de açılamaz; eğer skoruyla her iki dönemde de listeye girerse skorun yüksek olduğu döneme tahsis edilir.</w:t>
      </w:r>
    </w:p>
    <w:p>
      <w:pPr>
        <w:pStyle w:val="ListBullet"/>
      </w:pPr>
      <w:r>
        <w:rPr>
          <w:rFonts w:ascii="Calibri" w:hAnsi="Calibri"/>
          <w:sz w:val="22"/>
        </w:rPr>
        <w:t>Ön koşul varsa dersin yer alacağı dönem ön koşul yılı/dönemi ile çakışmamalıdır.</w:t>
      </w:r>
    </w:p>
    <w:p>
      <w:pPr>
        <w:pStyle w:val="ListBullet"/>
      </w:pPr>
      <w:r>
        <w:rPr>
          <w:rFonts w:ascii="Calibri" w:hAnsi="Calibri"/>
          <w:sz w:val="22"/>
        </w:rPr>
        <w:t>Öğretim elemanı ders sayısı sınırı aşılırsa skor sırasıyla düşük olan dersler bir sonraki dengeleme turuna ertelenir.</w:t>
      </w:r>
    </w:p>
    <w:p>
      <w:pPr>
        <w:jc w:val="center"/>
      </w:pPr>
      <w:r>
        <w:drawing>
          <wp:inline xmlns:a="http://schemas.openxmlformats.org/drawingml/2006/main" xmlns:pic="http://schemas.openxmlformats.org/drawingml/2006/picture">
            <wp:extent cx="5400000" cy="2858824"/>
            <wp:docPr id="7" name="Picture 7"/>
            <wp:cNvGraphicFramePr>
              <a:graphicFrameLocks noChangeAspect="1"/>
            </wp:cNvGraphicFramePr>
            <a:graphic>
              <a:graphicData uri="http://schemas.openxmlformats.org/drawingml/2006/picture">
                <pic:pic>
                  <pic:nvPicPr>
                    <pic:cNvPr id="0" name="dual_semester.png"/>
                    <pic:cNvPicPr/>
                  </pic:nvPicPr>
                  <pic:blipFill>
                    <a:blip r:embed="rId15"/>
                    <a:stretch>
                      <a:fillRect/>
                    </a:stretch>
                  </pic:blipFill>
                  <pic:spPr>
                    <a:xfrm>
                      <a:off x="0" y="0"/>
                      <a:ext cx="5400000" cy="2858824"/>
                    </a:xfrm>
                    <a:prstGeom prst="rect"/>
                  </pic:spPr>
                </pic:pic>
              </a:graphicData>
            </a:graphic>
          </wp:inline>
        </w:drawing>
      </w:r>
    </w:p>
    <w:p>
      <w:pPr>
        <w:jc w:val="center"/>
      </w:pPr>
      <w:r>
        <w:rPr>
          <w:i/>
          <w:color w:val="666666"/>
          <w:sz w:val="20"/>
        </w:rPr>
        <w:t>Şekil 3.5 — 4+4 çift dönem dengeleme örneği.</w:t>
      </w:r>
    </w:p>
    <w:p>
      <w:pPr>
        <w:pStyle w:val="Heading1"/>
      </w:pPr>
      <w:r>
        <w:rPr>
          <w:rFonts w:ascii="Calibri" w:hAnsi="Calibri"/>
          <w:color w:val="1F4E79"/>
          <w:sz w:val="40"/>
        </w:rPr>
        <w:t>3.7 ML Modülü: Linear / RF / DT / NB / XGBoost</w:t>
      </w:r>
    </w:p>
    <w:p>
      <w:pPr>
        <w:spacing w:after="120"/>
      </w:pPr>
      <w:r>
        <w:rPr>
          <w:rFonts w:ascii="Calibri" w:hAnsi="Calibri"/>
          <w:b w:val="0"/>
          <w:i w:val="0"/>
          <w:sz w:val="22"/>
        </w:rPr>
        <w:t>Üretim karar hattı deterministiktir (AHP+TOPSIS+kural+state). Buna ek olarak ML modülü 'advisory' rolünde çalışır: tahmin üretir, karar gerekçesi açıklar, baseline kıyaslar; ancak müfredat/havuz yazımına doğrudan etki etmez.</w:t>
      </w:r>
    </w:p>
    <w:p>
      <w:pPr>
        <w:spacing w:after="120"/>
      </w:pPr>
      <w:r>
        <w:rPr>
          <w:rFonts w:ascii="Calibri" w:hAnsi="Calibri"/>
          <w:b/>
          <w:i w:val="0"/>
          <w:sz w:val="24"/>
        </w:rPr>
        <w:t>3.7.1 Linear Regression</w:t>
      </w:r>
    </w:p>
    <w:p>
      <w:pPr>
        <w:spacing w:after="120"/>
      </w:pPr>
      <w:r>
        <w:rPr>
          <w:rFonts w:ascii="Calibri" w:hAnsi="Calibri"/>
          <w:b w:val="0"/>
          <w:i w:val="0"/>
          <w:sz w:val="22"/>
        </w:rPr>
        <w:t>Bir sonraki yıl başarı oranını tahmin eder. Özellikler: bu yılki başarı, ortalama not, doluluk, anket oranı, trend ve yıl sayacı. Validasyon K-Fold MAE ile yapılır. K-Fold MAE &gt; eşik durumunda model güvensiz olarak işaretlenir ve karar açıklamasına dahil edilmez.</w:t>
      </w:r>
    </w:p>
    <w:p>
      <w:pPr>
        <w:spacing w:after="120"/>
      </w:pPr>
      <w:r>
        <w:rPr>
          <w:rFonts w:ascii="Calibri" w:hAnsi="Calibri"/>
          <w:b/>
          <w:i w:val="0"/>
          <w:sz w:val="24"/>
        </w:rPr>
        <w:t>3.7.2 Decision Tree</w:t>
      </w:r>
    </w:p>
    <w:p>
      <w:pPr>
        <w:spacing w:after="120"/>
      </w:pPr>
      <w:r>
        <w:rPr>
          <w:rFonts w:ascii="Calibri" w:hAnsi="Calibri"/>
          <w:b w:val="0"/>
          <w:i w:val="0"/>
          <w:sz w:val="22"/>
        </w:rPr>
        <w:t>max_depth=5 ile sınırlandırılır. Çıktı kategorik: müfredatta / havuzda / dinlenmede / iptal. Ağaç açıklamaları (path) UI’da açıkça gösterilir; 'X dersi havuza alındı çünkü trend &lt; 0.5 VE anket &lt; 0.4' gibi insan okunur kurallar üretir.</w:t>
      </w:r>
    </w:p>
    <w:p>
      <w:pPr>
        <w:spacing w:after="120"/>
      </w:pPr>
      <w:r>
        <w:rPr>
          <w:rFonts w:ascii="Calibri" w:hAnsi="Calibri"/>
          <w:b/>
          <w:i w:val="0"/>
          <w:sz w:val="24"/>
        </w:rPr>
        <w:t>3.7.3 Random Forest</w:t>
      </w:r>
    </w:p>
    <w:p>
      <w:pPr>
        <w:spacing w:after="120"/>
      </w:pPr>
      <w:r>
        <w:rPr>
          <w:rFonts w:ascii="Calibri" w:hAnsi="Calibri"/>
          <w:b w:val="0"/>
          <w:i w:val="0"/>
          <w:sz w:val="22"/>
        </w:rPr>
        <w:t>RandomForestRegressor (n_estimators=100, max_depth=8) ile doğrusal olmayan başarı/talep ilişkilerini yakalar. Benchmark tarafında RandomForestClassifier (n_estimators=300, class_weight='balanced_subsample') sınıflandırma için kullanılır.</w:t>
      </w:r>
    </w:p>
    <w:p>
      <w:pPr>
        <w:spacing w:after="120"/>
      </w:pPr>
      <w:r>
        <w:rPr>
          <w:rFonts w:ascii="Calibri" w:hAnsi="Calibri"/>
          <w:b/>
          <w:i w:val="0"/>
          <w:sz w:val="24"/>
        </w:rPr>
        <w:t>3.7.4 Naive Bayes</w:t>
      </w:r>
    </w:p>
    <w:p>
      <w:pPr>
        <w:spacing w:after="120"/>
      </w:pPr>
      <w:r>
        <w:rPr>
          <w:rFonts w:ascii="Calibri" w:hAnsi="Calibri"/>
          <w:b w:val="0"/>
          <w:i w:val="0"/>
          <w:sz w:val="22"/>
        </w:rPr>
        <w:t>GaussianNB. Düşük veri / hızlı baseline. Eğitim süresi ve doğruluk arasındaki dengeye duyarlı senaryolarda baz çizgisi olarak kullanılır.</w:t>
      </w:r>
    </w:p>
    <w:p>
      <w:pPr>
        <w:spacing w:after="120"/>
      </w:pPr>
      <w:r>
        <w:rPr>
          <w:rFonts w:ascii="Calibri" w:hAnsi="Calibri"/>
          <w:b/>
          <w:i w:val="0"/>
          <w:sz w:val="24"/>
        </w:rPr>
        <w:t>3.7.5 Logistic Regression</w:t>
      </w:r>
    </w:p>
    <w:p>
      <w:pPr>
        <w:spacing w:after="120"/>
      </w:pPr>
      <w:r>
        <w:rPr>
          <w:rFonts w:ascii="Calibri" w:hAnsi="Calibri"/>
          <w:b w:val="0"/>
          <w:i w:val="0"/>
          <w:sz w:val="22"/>
        </w:rPr>
        <w:t>max_iter=2000 ile çalışır. Küçük veri kümelerinde açıklanabilir tahmin sunar; coefficient yorumlanabilir.</w:t>
      </w:r>
    </w:p>
    <w:p>
      <w:pPr>
        <w:spacing w:after="120"/>
      </w:pPr>
      <w:r>
        <w:rPr>
          <w:rFonts w:ascii="Calibri" w:hAnsi="Calibri"/>
          <w:b/>
          <w:i w:val="0"/>
          <w:sz w:val="24"/>
        </w:rPr>
        <w:t>3.7.6 XGBoost / GradientBoosting Fallback</w:t>
      </w:r>
    </w:p>
    <w:p>
      <w:pPr>
        <w:spacing w:after="120"/>
      </w:pPr>
      <w:r>
        <w:rPr>
          <w:rFonts w:ascii="Calibri" w:hAnsi="Calibri"/>
          <w:b w:val="0"/>
          <w:i w:val="0"/>
          <w:sz w:val="22"/>
        </w:rPr>
        <w:t>Eğer ortamda xgboost yüklüyse XGBClassifier kullanılır; aksi halde sklearn GradientBoostingClassifier’a düşer. Büyük veride en güçlü ML referansı olarak görev alır.</w:t>
      </w:r>
    </w:p>
    <w:p>
      <w:pPr>
        <w:jc w:val="center"/>
      </w:pPr>
      <w:r>
        <w:drawing>
          <wp:inline xmlns:a="http://schemas.openxmlformats.org/drawingml/2006/main" xmlns:pic="http://schemas.openxmlformats.org/drawingml/2006/picture">
            <wp:extent cx="5400000" cy="2777143"/>
            <wp:docPr id="8" name="Picture 8"/>
            <wp:cNvGraphicFramePr>
              <a:graphicFrameLocks noChangeAspect="1"/>
            </wp:cNvGraphicFramePr>
            <a:graphic>
              <a:graphicData uri="http://schemas.openxmlformats.org/drawingml/2006/picture">
                <pic:pic>
                  <pic:nvPicPr>
                    <pic:cNvPr id="0" name="metric_comparison.png"/>
                    <pic:cNvPicPr/>
                  </pic:nvPicPr>
                  <pic:blipFill>
                    <a:blip r:embed="rId16"/>
                    <a:stretch>
                      <a:fillRect/>
                    </a:stretch>
                  </pic:blipFill>
                  <pic:spPr>
                    <a:xfrm>
                      <a:off x="0" y="0"/>
                      <a:ext cx="5400000" cy="2777143"/>
                    </a:xfrm>
                    <a:prstGeom prst="rect"/>
                  </pic:spPr>
                </pic:pic>
              </a:graphicData>
            </a:graphic>
          </wp:inline>
        </w:drawing>
      </w:r>
    </w:p>
    <w:p>
      <w:pPr>
        <w:jc w:val="center"/>
      </w:pPr>
      <w:r>
        <w:rPr>
          <w:i/>
          <w:color w:val="666666"/>
          <w:sz w:val="20"/>
        </w:rPr>
        <w:t>Şekil 3.6 — Sınıflandırıcı karşılaştırma (accuracy ve F1) — benchmark örneği.</w:t>
      </w:r>
    </w:p>
    <w:p>
      <w:pPr>
        <w:spacing w:after="120"/>
      </w:pPr>
      <w:r>
        <w:rPr>
          <w:rFonts w:ascii="Calibri" w:hAnsi="Calibri"/>
          <w:b/>
          <w:i w:val="0"/>
          <w:sz w:val="24"/>
        </w:rPr>
        <w:t>3.7.7 ML Özellik Mühendisliği</w:t>
      </w:r>
    </w:p>
    <w:p>
      <w:pPr>
        <w:spacing w:after="120"/>
      </w:pPr>
      <w:r>
        <w:rPr>
          <w:rFonts w:ascii="Calibri" w:hAnsi="Calibri"/>
          <w:b w:val="0"/>
          <w:i w:val="0"/>
          <w:sz w:val="22"/>
        </w:rPr>
        <w:t>Tüm ML modellerine giren özellikler şu şekilde üretilir:</w:t>
      </w:r>
    </w:p>
    <w:p>
      <w:pPr>
        <w:pStyle w:val="ListBullet"/>
      </w:pPr>
      <w:r>
        <w:rPr>
          <w:rFonts w:ascii="Calibri" w:hAnsi="Calibri"/>
          <w:sz w:val="22"/>
        </w:rPr>
        <w:t>f1: başarı oranı (geçen/toplam) — 0-1 normalize edilir.</w:t>
      </w:r>
    </w:p>
    <w:p>
      <w:pPr>
        <w:pStyle w:val="ListBullet"/>
      </w:pPr>
      <w:r>
        <w:rPr>
          <w:rFonts w:ascii="Calibri" w:hAnsi="Calibri"/>
          <w:sz w:val="22"/>
        </w:rPr>
        <w:t>f2: ortalama not — min-max ile 0-1 ölçeklenir.</w:t>
      </w:r>
    </w:p>
    <w:p>
      <w:pPr>
        <w:pStyle w:val="ListBullet"/>
      </w:pPr>
      <w:r>
        <w:rPr>
          <w:rFonts w:ascii="Calibri" w:hAnsi="Calibri"/>
          <w:sz w:val="22"/>
        </w:rPr>
        <w:t>f3: doluluk oranı (kayıtlı/kontenjan).</w:t>
      </w:r>
    </w:p>
    <w:p>
      <w:pPr>
        <w:pStyle w:val="ListBullet"/>
      </w:pPr>
      <w:r>
        <w:rPr>
          <w:rFonts w:ascii="Calibri" w:hAnsi="Calibri"/>
          <w:sz w:val="22"/>
        </w:rPr>
        <w:t>f4: anket oranı (seçen/katılımcı).</w:t>
      </w:r>
    </w:p>
    <w:p>
      <w:pPr>
        <w:pStyle w:val="ListBullet"/>
      </w:pPr>
      <w:r>
        <w:rPr>
          <w:rFonts w:ascii="Calibri" w:hAnsi="Calibri"/>
          <w:sz w:val="22"/>
        </w:rPr>
        <w:t>f5: trend (3 yıl ağırlıklı).</w:t>
      </w:r>
    </w:p>
    <w:p>
      <w:pPr>
        <w:pStyle w:val="ListBullet"/>
      </w:pPr>
      <w:r>
        <w:rPr>
          <w:rFonts w:ascii="Calibri" w:hAnsi="Calibri"/>
          <w:sz w:val="22"/>
        </w:rPr>
        <w:t>f6: sayaç (kaç yıldır havuzda).</w:t>
      </w:r>
    </w:p>
    <w:p>
      <w:pPr>
        <w:pStyle w:val="ListBullet"/>
      </w:pPr>
      <w:r>
        <w:rPr>
          <w:rFonts w:ascii="Calibri" w:hAnsi="Calibri"/>
          <w:sz w:val="22"/>
        </w:rPr>
        <w:t>f7: dönem dummy (güz=0, bahar=1).</w:t>
      </w:r>
    </w:p>
    <w:p>
      <w:pPr>
        <w:pStyle w:val="ListBullet"/>
      </w:pPr>
      <w:r>
        <w:rPr>
          <w:rFonts w:ascii="Calibri" w:hAnsi="Calibri"/>
          <w:sz w:val="22"/>
        </w:rPr>
        <w:t>f8: bölüm one-hot vektörü.</w:t>
      </w:r>
    </w:p>
    <w:p>
      <w:pPr>
        <w:pStyle w:val="ListBullet"/>
      </w:pPr>
      <w:r>
        <w:rPr>
          <w:rFonts w:ascii="Calibri" w:hAnsi="Calibri"/>
          <w:sz w:val="22"/>
        </w:rPr>
        <w:t>f9: ders tipi (zorunlu/seçmeli/entegre) one-hot.</w:t>
      </w:r>
    </w:p>
    <w:p>
      <w:pPr>
        <w:spacing w:after="120"/>
      </w:pPr>
      <w:r>
        <w:rPr>
          <w:rFonts w:ascii="Calibri" w:hAnsi="Calibri"/>
          <w:b w:val="0"/>
          <w:i w:val="0"/>
          <w:sz w:val="22"/>
        </w:rPr>
        <w:t>Eğitim aşamasında özellik vektörleri StandardScaler ile merkezlenir; modelden modele göre standardizasyon gereklilik tablosu (algorithm_data_guard) uygulanır.</w:t>
      </w:r>
    </w:p>
    <w:p>
      <w:pPr>
        <w:spacing w:after="120"/>
      </w:pPr>
      <w:r>
        <w:rPr>
          <w:rFonts w:ascii="Calibri" w:hAnsi="Calibri"/>
          <w:b/>
          <w:i w:val="0"/>
          <w:sz w:val="24"/>
        </w:rPr>
        <w:t>3.7.8 K-Fold Cross Validation</w:t>
      </w:r>
    </w:p>
    <w:p>
      <w:pPr>
        <w:spacing w:after="120"/>
      </w:pPr>
      <w:r>
        <w:rPr>
          <w:rFonts w:ascii="Calibri" w:hAnsi="Calibri"/>
          <w:b w:val="0"/>
          <w:i w:val="0"/>
          <w:sz w:val="22"/>
        </w:rPr>
        <w:t>Veri kümesi K=5 katmana bölünür. Her algoritma için MAE (regresyon) veya weighted F1 (sınıflandırma) raporlanır. Eğitim öncesi minimum örnek sayısı algoritma yönetişiminde tanımlıdır; aşılmadığı durumda algoritma “blocked” işaretlenir ve kullanıcıya görünür açıklama ile devre dışı kalır.</w:t>
      </w:r>
    </w:p>
    <w:p>
      <w:pPr>
        <w:spacing w:after="120"/>
      </w:pPr>
      <w:r>
        <w:rPr>
          <w:rFonts w:ascii="Calibri" w:hAnsi="Calibri"/>
          <w:b/>
          <w:i w:val="0"/>
          <w:sz w:val="24"/>
        </w:rPr>
        <w:t>3.7.9 Algoritma Yönetişim Kaydı</w:t>
      </w:r>
    </w:p>
    <w:p>
      <w:pPr>
        <w:spacing w:after="120"/>
      </w:pPr>
      <w:r>
        <w:rPr>
          <w:rFonts w:ascii="Calibri" w:hAnsi="Calibri"/>
          <w:b w:val="0"/>
          <w:i w:val="0"/>
          <w:sz w:val="22"/>
        </w:rPr>
        <w:t>Sistem, her algoritmayı bir yönetişim (governance) kaydına bağlar. Bu kayıt; algoritmanın ailesini, problem tipini, rolünü (production_decision, advisory_ml, benchmark_only, baseline), minimum veri gereksinimini ve final karara etki iznini tutar. Bu sayede yeni bir algoritma sisteme eklendiğinde yanlışlıkla üretim kararı vermesi engellenir.</w:t>
      </w:r>
    </w:p>
    <w:tbl>
      <w:tblPr>
        <w:tblStyle w:val="LightGrid-Accent1"/>
        <w:tblW w:type="auto" w:w="0"/>
        <w:jc w:val="center"/>
        <w:tblLook w:firstColumn="1" w:firstRow="1" w:lastColumn="0" w:lastRow="0" w:noHBand="0" w:noVBand="1" w:val="04A0"/>
      </w:tblPr>
      <w:tblGrid>
        <w:gridCol w:w="3192"/>
        <w:gridCol w:w="3192"/>
        <w:gridCol w:w="3192"/>
      </w:tblGrid>
      <w:tr>
        <w:tc>
          <w:tcPr>
            <w:tcW w:type="dxa" w:w="2835"/>
            <w:shd w:fill="1F4E79" w:val="clear"/>
            <w:vAlign w:val="center"/>
          </w:tcPr>
          <w:p>
            <w:r/>
            <w:r>
              <w:rPr>
                <w:b/>
                <w:color w:val="FFFFFF"/>
                <w:sz w:val="22"/>
              </w:rPr>
              <w:t>Algoritma</w:t>
            </w:r>
          </w:p>
        </w:tc>
        <w:tc>
          <w:tcPr>
            <w:tcW w:type="dxa" w:w="1984"/>
            <w:shd w:fill="1F4E79" w:val="clear"/>
            <w:vAlign w:val="center"/>
          </w:tcPr>
          <w:p>
            <w:r/>
            <w:r>
              <w:rPr>
                <w:b/>
                <w:color w:val="FFFFFF"/>
                <w:sz w:val="22"/>
              </w:rPr>
              <w:t>Aile</w:t>
            </w:r>
          </w:p>
        </w:tc>
        <w:tc>
          <w:tcPr>
            <w:tcW w:type="dxa" w:w="3402"/>
            <w:shd w:fill="1F4E79" w:val="clear"/>
            <w:vAlign w:val="center"/>
          </w:tcPr>
          <w:p>
            <w:r/>
            <w:r>
              <w:rPr>
                <w:b/>
                <w:color w:val="FFFFFF"/>
                <w:sz w:val="22"/>
              </w:rPr>
              <w:t>Rol</w:t>
            </w:r>
          </w:p>
        </w:tc>
      </w:tr>
      <w:tr>
        <w:tc>
          <w:tcPr>
            <w:tcW w:type="dxa" w:w="2835"/>
            <w:vAlign w:val="center"/>
          </w:tcPr>
          <w:p>
            <w:r/>
            <w:r>
              <w:rPr>
                <w:sz w:val="20"/>
              </w:rPr>
              <w:t>AHP</w:t>
            </w:r>
          </w:p>
        </w:tc>
        <w:tc>
          <w:tcPr>
            <w:tcW w:type="dxa" w:w="1984"/>
            <w:vAlign w:val="center"/>
          </w:tcPr>
          <w:p>
            <w:r/>
            <w:r>
              <w:rPr>
                <w:sz w:val="20"/>
              </w:rPr>
              <w:t>MCDM</w:t>
            </w:r>
          </w:p>
        </w:tc>
        <w:tc>
          <w:tcPr>
            <w:tcW w:type="dxa" w:w="3402"/>
            <w:vAlign w:val="center"/>
          </w:tcPr>
          <w:p>
            <w:r/>
            <w:r>
              <w:rPr>
                <w:sz w:val="20"/>
              </w:rPr>
              <w:t>production_decision</w:t>
            </w:r>
          </w:p>
        </w:tc>
      </w:tr>
      <w:tr>
        <w:tc>
          <w:tcPr>
            <w:tcW w:type="dxa" w:w="2835"/>
            <w:vAlign w:val="center"/>
            <w:shd w:fill="F2F6FA" w:val="clear"/>
          </w:tcPr>
          <w:p>
            <w:r/>
            <w:r>
              <w:rPr>
                <w:sz w:val="20"/>
              </w:rPr>
              <w:t>TOPSIS</w:t>
            </w:r>
          </w:p>
        </w:tc>
        <w:tc>
          <w:tcPr>
            <w:tcW w:type="dxa" w:w="1984"/>
            <w:vAlign w:val="center"/>
            <w:shd w:fill="F2F6FA" w:val="clear"/>
          </w:tcPr>
          <w:p>
            <w:r/>
            <w:r>
              <w:rPr>
                <w:sz w:val="20"/>
              </w:rPr>
              <w:t>MCDM</w:t>
            </w:r>
          </w:p>
        </w:tc>
        <w:tc>
          <w:tcPr>
            <w:tcW w:type="dxa" w:w="3402"/>
            <w:vAlign w:val="center"/>
            <w:shd w:fill="F2F6FA" w:val="clear"/>
          </w:tcPr>
          <w:p>
            <w:r/>
            <w:r>
              <w:rPr>
                <w:sz w:val="20"/>
              </w:rPr>
              <w:t>production_decision</w:t>
            </w:r>
          </w:p>
        </w:tc>
      </w:tr>
      <w:tr>
        <w:tc>
          <w:tcPr>
            <w:tcW w:type="dxa" w:w="2835"/>
            <w:vAlign w:val="center"/>
          </w:tcPr>
          <w:p>
            <w:r/>
            <w:r>
              <w:rPr>
                <w:sz w:val="20"/>
              </w:rPr>
              <w:t>Trend Analysis</w:t>
            </w:r>
          </w:p>
        </w:tc>
        <w:tc>
          <w:tcPr>
            <w:tcW w:type="dxa" w:w="1984"/>
            <w:vAlign w:val="center"/>
          </w:tcPr>
          <w:p>
            <w:r/>
            <w:r>
              <w:rPr>
                <w:sz w:val="20"/>
              </w:rPr>
              <w:t>Rule-based</w:t>
            </w:r>
          </w:p>
        </w:tc>
        <w:tc>
          <w:tcPr>
            <w:tcW w:type="dxa" w:w="3402"/>
            <w:vAlign w:val="center"/>
          </w:tcPr>
          <w:p>
            <w:r/>
            <w:r>
              <w:rPr>
                <w:sz w:val="20"/>
              </w:rPr>
              <w:t>production_decision</w:t>
            </w:r>
          </w:p>
        </w:tc>
      </w:tr>
      <w:tr>
        <w:tc>
          <w:tcPr>
            <w:tcW w:type="dxa" w:w="2835"/>
            <w:vAlign w:val="center"/>
            <w:shd w:fill="F2F6FA" w:val="clear"/>
          </w:tcPr>
          <w:p>
            <w:r/>
            <w:r>
              <w:rPr>
                <w:sz w:val="20"/>
              </w:rPr>
              <w:t>Rule Engine</w:t>
            </w:r>
          </w:p>
        </w:tc>
        <w:tc>
          <w:tcPr>
            <w:tcW w:type="dxa" w:w="1984"/>
            <w:vAlign w:val="center"/>
            <w:shd w:fill="F2F6FA" w:val="clear"/>
          </w:tcPr>
          <w:p>
            <w:r/>
            <w:r>
              <w:rPr>
                <w:sz w:val="20"/>
              </w:rPr>
              <w:t>Rule-based</w:t>
            </w:r>
          </w:p>
        </w:tc>
        <w:tc>
          <w:tcPr>
            <w:tcW w:type="dxa" w:w="3402"/>
            <w:vAlign w:val="center"/>
            <w:shd w:fill="F2F6FA" w:val="clear"/>
          </w:tcPr>
          <w:p>
            <w:r/>
            <w:r>
              <w:rPr>
                <w:sz w:val="20"/>
              </w:rPr>
              <w:t>production_decision</w:t>
            </w:r>
          </w:p>
        </w:tc>
      </w:tr>
      <w:tr>
        <w:tc>
          <w:tcPr>
            <w:tcW w:type="dxa" w:w="2835"/>
            <w:vAlign w:val="center"/>
          </w:tcPr>
          <w:p>
            <w:r/>
            <w:r>
              <w:rPr>
                <w:sz w:val="20"/>
              </w:rPr>
              <w:t>State Machine</w:t>
            </w:r>
          </w:p>
        </w:tc>
        <w:tc>
          <w:tcPr>
            <w:tcW w:type="dxa" w:w="1984"/>
            <w:vAlign w:val="center"/>
          </w:tcPr>
          <w:p>
            <w:r/>
            <w:r>
              <w:rPr>
                <w:sz w:val="20"/>
              </w:rPr>
              <w:t>Rule-based</w:t>
            </w:r>
          </w:p>
        </w:tc>
        <w:tc>
          <w:tcPr>
            <w:tcW w:type="dxa" w:w="3402"/>
            <w:vAlign w:val="center"/>
          </w:tcPr>
          <w:p>
            <w:r/>
            <w:r>
              <w:rPr>
                <w:sz w:val="20"/>
              </w:rPr>
              <w:t>production_decision</w:t>
            </w:r>
          </w:p>
        </w:tc>
      </w:tr>
      <w:tr>
        <w:tc>
          <w:tcPr>
            <w:tcW w:type="dxa" w:w="2835"/>
            <w:vAlign w:val="center"/>
            <w:shd w:fill="F2F6FA" w:val="clear"/>
          </w:tcPr>
          <w:p>
            <w:r/>
            <w:r>
              <w:rPr>
                <w:sz w:val="20"/>
              </w:rPr>
              <w:t>Linear Regression</w:t>
            </w:r>
          </w:p>
        </w:tc>
        <w:tc>
          <w:tcPr>
            <w:tcW w:type="dxa" w:w="1984"/>
            <w:vAlign w:val="center"/>
            <w:shd w:fill="F2F6FA" w:val="clear"/>
          </w:tcPr>
          <w:p>
            <w:r/>
            <w:r>
              <w:rPr>
                <w:sz w:val="20"/>
              </w:rPr>
              <w:t>ML</w:t>
            </w:r>
          </w:p>
        </w:tc>
        <w:tc>
          <w:tcPr>
            <w:tcW w:type="dxa" w:w="3402"/>
            <w:vAlign w:val="center"/>
            <w:shd w:fill="F2F6FA" w:val="clear"/>
          </w:tcPr>
          <w:p>
            <w:r/>
            <w:r>
              <w:rPr>
                <w:sz w:val="20"/>
              </w:rPr>
              <w:t>advisory_ml</w:t>
            </w:r>
          </w:p>
        </w:tc>
      </w:tr>
      <w:tr>
        <w:tc>
          <w:tcPr>
            <w:tcW w:type="dxa" w:w="2835"/>
            <w:vAlign w:val="center"/>
          </w:tcPr>
          <w:p>
            <w:r/>
            <w:r>
              <w:rPr>
                <w:sz w:val="20"/>
              </w:rPr>
              <w:t>Decision Tree</w:t>
            </w:r>
          </w:p>
        </w:tc>
        <w:tc>
          <w:tcPr>
            <w:tcW w:type="dxa" w:w="1984"/>
            <w:vAlign w:val="center"/>
          </w:tcPr>
          <w:p>
            <w:r/>
            <w:r>
              <w:rPr>
                <w:sz w:val="20"/>
              </w:rPr>
              <w:t>ML</w:t>
            </w:r>
          </w:p>
        </w:tc>
        <w:tc>
          <w:tcPr>
            <w:tcW w:type="dxa" w:w="3402"/>
            <w:vAlign w:val="center"/>
          </w:tcPr>
          <w:p>
            <w:r/>
            <w:r>
              <w:rPr>
                <w:sz w:val="20"/>
              </w:rPr>
              <w:t>advisory_ml</w:t>
            </w:r>
          </w:p>
        </w:tc>
      </w:tr>
      <w:tr>
        <w:tc>
          <w:tcPr>
            <w:tcW w:type="dxa" w:w="2835"/>
            <w:vAlign w:val="center"/>
            <w:shd w:fill="F2F6FA" w:val="clear"/>
          </w:tcPr>
          <w:p>
            <w:r/>
            <w:r>
              <w:rPr>
                <w:sz w:val="20"/>
              </w:rPr>
              <w:t>Random Forest</w:t>
            </w:r>
          </w:p>
        </w:tc>
        <w:tc>
          <w:tcPr>
            <w:tcW w:type="dxa" w:w="1984"/>
            <w:vAlign w:val="center"/>
            <w:shd w:fill="F2F6FA" w:val="clear"/>
          </w:tcPr>
          <w:p>
            <w:r/>
            <w:r>
              <w:rPr>
                <w:sz w:val="20"/>
              </w:rPr>
              <w:t>ML</w:t>
            </w:r>
          </w:p>
        </w:tc>
        <w:tc>
          <w:tcPr>
            <w:tcW w:type="dxa" w:w="3402"/>
            <w:vAlign w:val="center"/>
            <w:shd w:fill="F2F6FA" w:val="clear"/>
          </w:tcPr>
          <w:p>
            <w:r/>
            <w:r>
              <w:rPr>
                <w:sz w:val="20"/>
              </w:rPr>
              <w:t>advisory_ml</w:t>
            </w:r>
          </w:p>
        </w:tc>
      </w:tr>
      <w:tr>
        <w:tc>
          <w:tcPr>
            <w:tcW w:type="dxa" w:w="2835"/>
            <w:vAlign w:val="center"/>
          </w:tcPr>
          <w:p>
            <w:r/>
            <w:r>
              <w:rPr>
                <w:sz w:val="20"/>
              </w:rPr>
              <w:t>Logistic Regression</w:t>
            </w:r>
          </w:p>
        </w:tc>
        <w:tc>
          <w:tcPr>
            <w:tcW w:type="dxa" w:w="1984"/>
            <w:vAlign w:val="center"/>
          </w:tcPr>
          <w:p>
            <w:r/>
            <w:r>
              <w:rPr>
                <w:sz w:val="20"/>
              </w:rPr>
              <w:t>ML</w:t>
            </w:r>
          </w:p>
        </w:tc>
        <w:tc>
          <w:tcPr>
            <w:tcW w:type="dxa" w:w="3402"/>
            <w:vAlign w:val="center"/>
          </w:tcPr>
          <w:p>
            <w:r/>
            <w:r>
              <w:rPr>
                <w:sz w:val="20"/>
              </w:rPr>
              <w:t>benchmark_only</w:t>
            </w:r>
          </w:p>
        </w:tc>
      </w:tr>
      <w:tr>
        <w:tc>
          <w:tcPr>
            <w:tcW w:type="dxa" w:w="2835"/>
            <w:vAlign w:val="center"/>
            <w:shd w:fill="F2F6FA" w:val="clear"/>
          </w:tcPr>
          <w:p>
            <w:r/>
            <w:r>
              <w:rPr>
                <w:sz w:val="20"/>
              </w:rPr>
              <w:t>Naive Bayes</w:t>
            </w:r>
          </w:p>
        </w:tc>
        <w:tc>
          <w:tcPr>
            <w:tcW w:type="dxa" w:w="1984"/>
            <w:vAlign w:val="center"/>
            <w:shd w:fill="F2F6FA" w:val="clear"/>
          </w:tcPr>
          <w:p>
            <w:r/>
            <w:r>
              <w:rPr>
                <w:sz w:val="20"/>
              </w:rPr>
              <w:t>ML</w:t>
            </w:r>
          </w:p>
        </w:tc>
        <w:tc>
          <w:tcPr>
            <w:tcW w:type="dxa" w:w="3402"/>
            <w:vAlign w:val="center"/>
            <w:shd w:fill="F2F6FA" w:val="clear"/>
          </w:tcPr>
          <w:p>
            <w:r/>
            <w:r>
              <w:rPr>
                <w:sz w:val="20"/>
              </w:rPr>
              <w:t>benchmark_only</w:t>
            </w:r>
          </w:p>
        </w:tc>
      </w:tr>
      <w:tr>
        <w:tc>
          <w:tcPr>
            <w:tcW w:type="dxa" w:w="2835"/>
            <w:vAlign w:val="center"/>
          </w:tcPr>
          <w:p>
            <w:r/>
            <w:r>
              <w:rPr>
                <w:sz w:val="20"/>
              </w:rPr>
              <w:t>XGBoost / GB</w:t>
            </w:r>
          </w:p>
        </w:tc>
        <w:tc>
          <w:tcPr>
            <w:tcW w:type="dxa" w:w="1984"/>
            <w:vAlign w:val="center"/>
          </w:tcPr>
          <w:p>
            <w:r/>
            <w:r>
              <w:rPr>
                <w:sz w:val="20"/>
              </w:rPr>
              <w:t>ML</w:t>
            </w:r>
          </w:p>
        </w:tc>
        <w:tc>
          <w:tcPr>
            <w:tcW w:type="dxa" w:w="3402"/>
            <w:vAlign w:val="center"/>
          </w:tcPr>
          <w:p>
            <w:r/>
            <w:r>
              <w:rPr>
                <w:sz w:val="20"/>
              </w:rPr>
              <w:t>benchmark_only</w:t>
            </w:r>
          </w:p>
        </w:tc>
      </w:tr>
      <w:tr>
        <w:tc>
          <w:tcPr>
            <w:tcW w:type="dxa" w:w="2835"/>
            <w:vAlign w:val="center"/>
            <w:shd w:fill="F2F6FA" w:val="clear"/>
          </w:tcPr>
          <w:p>
            <w:r/>
            <w:r>
              <w:rPr>
                <w:sz w:val="20"/>
              </w:rPr>
              <w:t>VIKOR</w:t>
            </w:r>
          </w:p>
        </w:tc>
        <w:tc>
          <w:tcPr>
            <w:tcW w:type="dxa" w:w="1984"/>
            <w:vAlign w:val="center"/>
            <w:shd w:fill="F2F6FA" w:val="clear"/>
          </w:tcPr>
          <w:p>
            <w:r/>
            <w:r>
              <w:rPr>
                <w:sz w:val="20"/>
              </w:rPr>
              <w:t>MCDM</w:t>
            </w:r>
          </w:p>
        </w:tc>
        <w:tc>
          <w:tcPr>
            <w:tcW w:type="dxa" w:w="3402"/>
            <w:vAlign w:val="center"/>
            <w:shd w:fill="F2F6FA" w:val="clear"/>
          </w:tcPr>
          <w:p>
            <w:r/>
            <w:r>
              <w:rPr>
                <w:sz w:val="20"/>
              </w:rPr>
              <w:t>benchmark_only</w:t>
            </w:r>
          </w:p>
        </w:tc>
      </w:tr>
      <w:tr>
        <w:tc>
          <w:tcPr>
            <w:tcW w:type="dxa" w:w="2835"/>
            <w:vAlign w:val="center"/>
          </w:tcPr>
          <w:p>
            <w:r/>
            <w:r>
              <w:rPr>
                <w:sz w:val="20"/>
              </w:rPr>
              <w:t>PROMETHEE-II</w:t>
            </w:r>
          </w:p>
        </w:tc>
        <w:tc>
          <w:tcPr>
            <w:tcW w:type="dxa" w:w="1984"/>
            <w:vAlign w:val="center"/>
          </w:tcPr>
          <w:p>
            <w:r/>
            <w:r>
              <w:rPr>
                <w:sz w:val="20"/>
              </w:rPr>
              <w:t>MCDM</w:t>
            </w:r>
          </w:p>
        </w:tc>
        <w:tc>
          <w:tcPr>
            <w:tcW w:type="dxa" w:w="3402"/>
            <w:vAlign w:val="center"/>
          </w:tcPr>
          <w:p>
            <w:r/>
            <w:r>
              <w:rPr>
                <w:sz w:val="20"/>
              </w:rPr>
              <w:t>benchmark_only</w:t>
            </w:r>
          </w:p>
        </w:tc>
      </w:tr>
      <w:tr>
        <w:tc>
          <w:tcPr>
            <w:tcW w:type="dxa" w:w="2835"/>
            <w:vAlign w:val="center"/>
            <w:shd w:fill="F2F6FA" w:val="clear"/>
          </w:tcPr>
          <w:p>
            <w:r/>
            <w:r>
              <w:rPr>
                <w:sz w:val="20"/>
              </w:rPr>
              <w:t>KMeans</w:t>
            </w:r>
          </w:p>
        </w:tc>
        <w:tc>
          <w:tcPr>
            <w:tcW w:type="dxa" w:w="1984"/>
            <w:vAlign w:val="center"/>
            <w:shd w:fill="F2F6FA" w:val="clear"/>
          </w:tcPr>
          <w:p>
            <w:r/>
            <w:r>
              <w:rPr>
                <w:sz w:val="20"/>
              </w:rPr>
              <w:t>Clustering</w:t>
            </w:r>
          </w:p>
        </w:tc>
        <w:tc>
          <w:tcPr>
            <w:tcW w:type="dxa" w:w="3402"/>
            <w:vAlign w:val="center"/>
            <w:shd w:fill="F2F6FA" w:val="clear"/>
          </w:tcPr>
          <w:p>
            <w:r/>
            <w:r>
              <w:rPr>
                <w:sz w:val="20"/>
              </w:rPr>
              <w:t>benchmark_only</w:t>
            </w:r>
          </w:p>
        </w:tc>
      </w:tr>
      <w:tr>
        <w:tc>
          <w:tcPr>
            <w:tcW w:type="dxa" w:w="2835"/>
            <w:vAlign w:val="center"/>
          </w:tcPr>
          <w:p>
            <w:r/>
            <w:r>
              <w:rPr>
                <w:sz w:val="20"/>
              </w:rPr>
              <w:t>Hierarchical</w:t>
            </w:r>
          </w:p>
        </w:tc>
        <w:tc>
          <w:tcPr>
            <w:tcW w:type="dxa" w:w="1984"/>
            <w:vAlign w:val="center"/>
          </w:tcPr>
          <w:p>
            <w:r/>
            <w:r>
              <w:rPr>
                <w:sz w:val="20"/>
              </w:rPr>
              <w:t>Clustering</w:t>
            </w:r>
          </w:p>
        </w:tc>
        <w:tc>
          <w:tcPr>
            <w:tcW w:type="dxa" w:w="3402"/>
            <w:vAlign w:val="center"/>
          </w:tcPr>
          <w:p>
            <w:r/>
            <w:r>
              <w:rPr>
                <w:sz w:val="20"/>
              </w:rPr>
              <w:t>benchmark_only</w:t>
            </w:r>
          </w:p>
        </w:tc>
      </w:tr>
      <w:tr>
        <w:tc>
          <w:tcPr>
            <w:tcW w:type="dxa" w:w="2835"/>
            <w:vAlign w:val="center"/>
            <w:shd w:fill="F2F6FA" w:val="clear"/>
          </w:tcPr>
          <w:p>
            <w:r/>
            <w:r>
              <w:rPr>
                <w:sz w:val="20"/>
              </w:rPr>
              <w:t>DBSCAN</w:t>
            </w:r>
          </w:p>
        </w:tc>
        <w:tc>
          <w:tcPr>
            <w:tcW w:type="dxa" w:w="1984"/>
            <w:vAlign w:val="center"/>
            <w:shd w:fill="F2F6FA" w:val="clear"/>
          </w:tcPr>
          <w:p>
            <w:r/>
            <w:r>
              <w:rPr>
                <w:sz w:val="20"/>
              </w:rPr>
              <w:t>Clustering</w:t>
            </w:r>
          </w:p>
        </w:tc>
        <w:tc>
          <w:tcPr>
            <w:tcW w:type="dxa" w:w="3402"/>
            <w:vAlign w:val="center"/>
            <w:shd w:fill="F2F6FA" w:val="clear"/>
          </w:tcPr>
          <w:p>
            <w:r/>
            <w:r>
              <w:rPr>
                <w:sz w:val="20"/>
              </w:rPr>
              <w:t>benchmark_only</w:t>
            </w:r>
          </w:p>
        </w:tc>
      </w:tr>
      <w:tr>
        <w:tc>
          <w:tcPr>
            <w:tcW w:type="dxa" w:w="2835"/>
            <w:vAlign w:val="center"/>
          </w:tcPr>
          <w:p>
            <w:r/>
            <w:r>
              <w:rPr>
                <w:sz w:val="20"/>
              </w:rPr>
              <w:t>Gale-Shapley</w:t>
            </w:r>
          </w:p>
        </w:tc>
        <w:tc>
          <w:tcPr>
            <w:tcW w:type="dxa" w:w="1984"/>
            <w:vAlign w:val="center"/>
          </w:tcPr>
          <w:p>
            <w:r/>
            <w:r>
              <w:rPr>
                <w:sz w:val="20"/>
              </w:rPr>
              <w:t>Allocation</w:t>
            </w:r>
          </w:p>
        </w:tc>
        <w:tc>
          <w:tcPr>
            <w:tcW w:type="dxa" w:w="3402"/>
            <w:vAlign w:val="center"/>
          </w:tcPr>
          <w:p>
            <w:r/>
            <w:r>
              <w:rPr>
                <w:sz w:val="20"/>
              </w:rPr>
              <w:t>benchmark_only</w:t>
            </w:r>
          </w:p>
        </w:tc>
      </w:tr>
      <w:tr>
        <w:tc>
          <w:tcPr>
            <w:tcW w:type="dxa" w:w="2835"/>
            <w:vAlign w:val="center"/>
            <w:shd w:fill="F2F6FA" w:val="clear"/>
          </w:tcPr>
          <w:p>
            <w:r/>
            <w:r>
              <w:rPr>
                <w:sz w:val="20"/>
              </w:rPr>
              <w:t>Greedy</w:t>
            </w:r>
          </w:p>
        </w:tc>
        <w:tc>
          <w:tcPr>
            <w:tcW w:type="dxa" w:w="1984"/>
            <w:vAlign w:val="center"/>
            <w:shd w:fill="F2F6FA" w:val="clear"/>
          </w:tcPr>
          <w:p>
            <w:r/>
            <w:r>
              <w:rPr>
                <w:sz w:val="20"/>
              </w:rPr>
              <w:t>Allocation</w:t>
            </w:r>
          </w:p>
        </w:tc>
        <w:tc>
          <w:tcPr>
            <w:tcW w:type="dxa" w:w="3402"/>
            <w:vAlign w:val="center"/>
            <w:shd w:fill="F2F6FA" w:val="clear"/>
          </w:tcPr>
          <w:p>
            <w:r/>
            <w:r>
              <w:rPr>
                <w:sz w:val="20"/>
              </w:rPr>
              <w:t>benchmark_only</w:t>
            </w:r>
          </w:p>
        </w:tc>
      </w:tr>
      <w:tr>
        <w:tc>
          <w:tcPr>
            <w:tcW w:type="dxa" w:w="2835"/>
            <w:vAlign w:val="center"/>
          </w:tcPr>
          <w:p>
            <w:r/>
            <w:r>
              <w:rPr>
                <w:sz w:val="20"/>
              </w:rPr>
              <w:t>FCFS</w:t>
            </w:r>
          </w:p>
        </w:tc>
        <w:tc>
          <w:tcPr>
            <w:tcW w:type="dxa" w:w="1984"/>
            <w:vAlign w:val="center"/>
          </w:tcPr>
          <w:p>
            <w:r/>
            <w:r>
              <w:rPr>
                <w:sz w:val="20"/>
              </w:rPr>
              <w:t>Allocation</w:t>
            </w:r>
          </w:p>
        </w:tc>
        <w:tc>
          <w:tcPr>
            <w:tcW w:type="dxa" w:w="3402"/>
            <w:vAlign w:val="center"/>
          </w:tcPr>
          <w:p>
            <w:r/>
            <w:r>
              <w:rPr>
                <w:sz w:val="20"/>
              </w:rPr>
              <w:t>benchmark_only</w:t>
            </w:r>
          </w:p>
        </w:tc>
      </w:tr>
      <w:tr>
        <w:tc>
          <w:tcPr>
            <w:tcW w:type="dxa" w:w="2835"/>
            <w:vAlign w:val="center"/>
            <w:shd w:fill="F2F6FA" w:val="clear"/>
          </w:tcPr>
          <w:p>
            <w:r/>
            <w:r>
              <w:rPr>
                <w:sz w:val="20"/>
              </w:rPr>
              <w:t>Min Regret</w:t>
            </w:r>
          </w:p>
        </w:tc>
        <w:tc>
          <w:tcPr>
            <w:tcW w:type="dxa" w:w="1984"/>
            <w:vAlign w:val="center"/>
            <w:shd w:fill="F2F6FA" w:val="clear"/>
          </w:tcPr>
          <w:p>
            <w:r/>
            <w:r>
              <w:rPr>
                <w:sz w:val="20"/>
              </w:rPr>
              <w:t>Allocation</w:t>
            </w:r>
          </w:p>
        </w:tc>
        <w:tc>
          <w:tcPr>
            <w:tcW w:type="dxa" w:w="3402"/>
            <w:vAlign w:val="center"/>
            <w:shd w:fill="F2F6FA" w:val="clear"/>
          </w:tcPr>
          <w:p>
            <w:r/>
            <w:r>
              <w:rPr>
                <w:sz w:val="20"/>
              </w:rPr>
              <w:t>benchmark_only</w:t>
            </w:r>
          </w:p>
        </w:tc>
      </w:tr>
      <w:tr>
        <w:tc>
          <w:tcPr>
            <w:tcW w:type="dxa" w:w="2835"/>
            <w:vAlign w:val="center"/>
          </w:tcPr>
          <w:p>
            <w:r/>
            <w:r>
              <w:rPr>
                <w:sz w:val="20"/>
              </w:rPr>
              <w:t>RandomPredictor</w:t>
            </w:r>
          </w:p>
        </w:tc>
        <w:tc>
          <w:tcPr>
            <w:tcW w:type="dxa" w:w="1984"/>
            <w:vAlign w:val="center"/>
          </w:tcPr>
          <w:p>
            <w:r/>
            <w:r>
              <w:rPr>
                <w:sz w:val="20"/>
              </w:rPr>
              <w:t>Baseline</w:t>
            </w:r>
          </w:p>
        </w:tc>
        <w:tc>
          <w:tcPr>
            <w:tcW w:type="dxa" w:w="3402"/>
            <w:vAlign w:val="center"/>
          </w:tcPr>
          <w:p>
            <w:r/>
            <w:r>
              <w:rPr>
                <w:sz w:val="20"/>
              </w:rPr>
              <w:t>baseline</w:t>
            </w:r>
          </w:p>
        </w:tc>
      </w:tr>
      <w:tr>
        <w:tc>
          <w:tcPr>
            <w:tcW w:type="dxa" w:w="2835"/>
            <w:vAlign w:val="center"/>
            <w:shd w:fill="F2F6FA" w:val="clear"/>
          </w:tcPr>
          <w:p>
            <w:r/>
            <w:r>
              <w:rPr>
                <w:sz w:val="20"/>
              </w:rPr>
              <w:t>MajorityClass</w:t>
            </w:r>
          </w:p>
        </w:tc>
        <w:tc>
          <w:tcPr>
            <w:tcW w:type="dxa" w:w="1984"/>
            <w:vAlign w:val="center"/>
            <w:shd w:fill="F2F6FA" w:val="clear"/>
          </w:tcPr>
          <w:p>
            <w:r/>
            <w:r>
              <w:rPr>
                <w:sz w:val="20"/>
              </w:rPr>
              <w:t>Baseline</w:t>
            </w:r>
          </w:p>
        </w:tc>
        <w:tc>
          <w:tcPr>
            <w:tcW w:type="dxa" w:w="3402"/>
            <w:vAlign w:val="center"/>
            <w:shd w:fill="F2F6FA" w:val="clear"/>
          </w:tcPr>
          <w:p>
            <w:r/>
            <w:r>
              <w:rPr>
                <w:sz w:val="20"/>
              </w:rPr>
              <w:t>baseline</w:t>
            </w:r>
          </w:p>
        </w:tc>
      </w:tr>
      <w:tr>
        <w:tc>
          <w:tcPr>
            <w:tcW w:type="dxa" w:w="2835"/>
            <w:vAlign w:val="center"/>
          </w:tcPr>
          <w:p>
            <w:r/>
            <w:r>
              <w:rPr>
                <w:sz w:val="20"/>
              </w:rPr>
              <w:t>PopularityRecommender</w:t>
            </w:r>
          </w:p>
        </w:tc>
        <w:tc>
          <w:tcPr>
            <w:tcW w:type="dxa" w:w="1984"/>
            <w:vAlign w:val="center"/>
          </w:tcPr>
          <w:p>
            <w:r/>
            <w:r>
              <w:rPr>
                <w:sz w:val="20"/>
              </w:rPr>
              <w:t>Baseline</w:t>
            </w:r>
          </w:p>
        </w:tc>
        <w:tc>
          <w:tcPr>
            <w:tcW w:type="dxa" w:w="3402"/>
            <w:vAlign w:val="center"/>
          </w:tcPr>
          <w:p>
            <w:r/>
            <w:r>
              <w:rPr>
                <w:sz w:val="20"/>
              </w:rPr>
              <w:t>baseline</w:t>
            </w:r>
          </w:p>
        </w:tc>
      </w:tr>
    </w:tbl>
    <w:p>
      <w:pPr>
        <w:pStyle w:val="Heading1"/>
      </w:pPr>
      <w:r>
        <w:rPr>
          <w:rFonts w:ascii="Calibri" w:hAnsi="Calibri"/>
          <w:color w:val="1F4E79"/>
          <w:sz w:val="40"/>
        </w:rPr>
        <w:t>3.8 TF-IDF + Cosine Similarity</w:t>
      </w:r>
    </w:p>
    <w:p>
      <w:pPr>
        <w:spacing w:after="120"/>
      </w:pPr>
      <w:r>
        <w:rPr>
          <w:rFonts w:ascii="Calibri" w:hAnsi="Calibri"/>
          <w:b w:val="0"/>
          <w:i w:val="0"/>
          <w:sz w:val="22"/>
        </w:rPr>
        <w:t>Sistemde benzer ders tespiti ve “bu dersin yerine ne önerebiliriz?” sorusu için NLP tabanlı benzerlik motoru bulunur. Ders adı + açıklaması metinleri Türkçe stop-word listesiyle temizlenir; TfidfVectorizer ile (ngram=(1,2), max_features=5000) vektörleştirilir. Daha sonra:</w:t>
      </w:r>
    </w:p>
    <w:p>
      <w:pPr>
        <w:spacing w:after="120"/>
        <w:jc w:val="center"/>
      </w:pPr>
      <w:r>
        <w:rPr>
          <w:rFonts w:ascii="Calibri" w:hAnsi="Calibri"/>
          <w:b/>
          <w:i w:val="0"/>
          <w:sz w:val="22"/>
        </w:rPr>
        <w:t xml:space="preserve">   sim(d_i, d_j) = (v_i · v_j) / (||v_i|| · ||v_j||)</w:t>
      </w:r>
    </w:p>
    <w:p>
      <w:pPr>
        <w:spacing w:after="120"/>
      </w:pPr>
      <w:r>
        <w:rPr>
          <w:rFonts w:ascii="Calibri" w:hAnsi="Calibri"/>
          <w:b w:val="0"/>
          <w:i w:val="0"/>
          <w:sz w:val="22"/>
        </w:rPr>
        <w:t>kosinüs benzerliği hesaplanır. Bir dersi havuza düşürürken veya yenisini önerirken, sistem bu metrik üzerinden en yakın k komşuyu sunar. Bu, içerik tekrarını ve sahte yenilenmeyi engellemeye yardımcı olur.</w:t>
      </w:r>
    </w:p>
    <w:p>
      <w:pPr>
        <w:pStyle w:val="Heading1"/>
      </w:pPr>
      <w:r>
        <w:rPr>
          <w:rFonts w:ascii="Calibri" w:hAnsi="Calibri"/>
          <w:color w:val="1F4E79"/>
          <w:sz w:val="40"/>
        </w:rPr>
        <w:t>3.9 Allocation Algoritmaları</w:t>
      </w:r>
    </w:p>
    <w:p>
      <w:pPr>
        <w:spacing w:after="120"/>
      </w:pPr>
      <w:r>
        <w:rPr>
          <w:rFonts w:ascii="Calibri" w:hAnsi="Calibri"/>
          <w:b w:val="0"/>
          <w:i w:val="0"/>
          <w:sz w:val="22"/>
        </w:rPr>
        <w:t>Sistem, öğrenci-ders eşleştirme problemi için beş algoritmayı benchmark katmanında kullanır. Bu algoritmalar üretim kararı vermez; ancak sistem tarafından oluşturulan müfredatın öğrenci tercihleri karşısında ne kadar adil çalıştığını test eder.</w:t>
      </w:r>
    </w:p>
    <w:tbl>
      <w:tblPr>
        <w:tblStyle w:val="LightGrid-Accent1"/>
        <w:tblW w:type="auto" w:w="0"/>
        <w:jc w:val="center"/>
        <w:tblLook w:firstColumn="1" w:firstRow="1" w:lastColumn="0" w:lastRow="0" w:noHBand="0" w:noVBand="1" w:val="04A0"/>
      </w:tblPr>
      <w:tblGrid>
        <w:gridCol w:w="3192"/>
        <w:gridCol w:w="3192"/>
        <w:gridCol w:w="3192"/>
      </w:tblGrid>
      <w:tr>
        <w:tc>
          <w:tcPr>
            <w:tcW w:type="dxa" w:w="2551"/>
            <w:shd w:fill="1F4E79" w:val="clear"/>
            <w:vAlign w:val="center"/>
          </w:tcPr>
          <w:p>
            <w:r/>
            <w:r>
              <w:rPr>
                <w:b/>
                <w:color w:val="FFFFFF"/>
                <w:sz w:val="22"/>
              </w:rPr>
              <w:t>Algoritma</w:t>
            </w:r>
          </w:p>
        </w:tc>
        <w:tc>
          <w:tcPr>
            <w:tcW w:type="dxa" w:w="3969"/>
            <w:shd w:fill="1F4E79" w:val="clear"/>
            <w:vAlign w:val="center"/>
          </w:tcPr>
          <w:p>
            <w:r/>
            <w:r>
              <w:rPr>
                <w:b/>
                <w:color w:val="FFFFFF"/>
                <w:sz w:val="22"/>
              </w:rPr>
              <w:t>Yöntem</w:t>
            </w:r>
          </w:p>
        </w:tc>
        <w:tc>
          <w:tcPr>
            <w:tcW w:type="dxa" w:w="2268"/>
            <w:shd w:fill="1F4E79" w:val="clear"/>
            <w:vAlign w:val="center"/>
          </w:tcPr>
          <w:p>
            <w:r/>
            <w:r>
              <w:rPr>
                <w:b/>
                <w:color w:val="FFFFFF"/>
                <w:sz w:val="22"/>
              </w:rPr>
              <w:t>Adil mi?</w:t>
            </w:r>
          </w:p>
        </w:tc>
      </w:tr>
      <w:tr>
        <w:tc>
          <w:tcPr>
            <w:tcW w:type="dxa" w:w="2551"/>
            <w:vAlign w:val="center"/>
          </w:tcPr>
          <w:p>
            <w:r/>
            <w:r>
              <w:rPr>
                <w:sz w:val="20"/>
              </w:rPr>
              <w:t>Random Allocation</w:t>
            </w:r>
          </w:p>
        </w:tc>
        <w:tc>
          <w:tcPr>
            <w:tcW w:type="dxa" w:w="3969"/>
            <w:vAlign w:val="center"/>
          </w:tcPr>
          <w:p>
            <w:r/>
            <w:r>
              <w:rPr>
                <w:sz w:val="20"/>
              </w:rPr>
              <w:t>Kontenjana göre rastgele dağıtım</w:t>
            </w:r>
          </w:p>
        </w:tc>
        <w:tc>
          <w:tcPr>
            <w:tcW w:type="dxa" w:w="2268"/>
            <w:vAlign w:val="center"/>
          </w:tcPr>
          <w:p>
            <w:r/>
            <w:r>
              <w:rPr>
                <w:sz w:val="20"/>
              </w:rPr>
              <w:t>Hayır (baseline)</w:t>
            </w:r>
          </w:p>
        </w:tc>
      </w:tr>
      <w:tr>
        <w:tc>
          <w:tcPr>
            <w:tcW w:type="dxa" w:w="2551"/>
            <w:vAlign w:val="center"/>
            <w:shd w:fill="F2F6FA" w:val="clear"/>
          </w:tcPr>
          <w:p>
            <w:r/>
            <w:r>
              <w:rPr>
                <w:sz w:val="20"/>
              </w:rPr>
              <w:t>First-Come-First-Served</w:t>
            </w:r>
          </w:p>
        </w:tc>
        <w:tc>
          <w:tcPr>
            <w:tcW w:type="dxa" w:w="3969"/>
            <w:vAlign w:val="center"/>
            <w:shd w:fill="F2F6FA" w:val="clear"/>
          </w:tcPr>
          <w:p>
            <w:r/>
            <w:r>
              <w:rPr>
                <w:sz w:val="20"/>
              </w:rPr>
              <w:t>Öğrenci sırasıyla ilk uygun tercih</w:t>
            </w:r>
          </w:p>
        </w:tc>
        <w:tc>
          <w:tcPr>
            <w:tcW w:type="dxa" w:w="2268"/>
            <w:vAlign w:val="center"/>
            <w:shd w:fill="F2F6FA" w:val="clear"/>
          </w:tcPr>
          <w:p>
            <w:r/>
            <w:r>
              <w:rPr>
                <w:sz w:val="20"/>
              </w:rPr>
              <w:t>Sıraya bağlı</w:t>
            </w:r>
          </w:p>
        </w:tc>
      </w:tr>
      <w:tr>
        <w:tc>
          <w:tcPr>
            <w:tcW w:type="dxa" w:w="2551"/>
            <w:vAlign w:val="center"/>
          </w:tcPr>
          <w:p>
            <w:r/>
            <w:r>
              <w:rPr>
                <w:sz w:val="20"/>
              </w:rPr>
              <w:t>Greedy Allocation</w:t>
            </w:r>
          </w:p>
        </w:tc>
        <w:tc>
          <w:tcPr>
            <w:tcW w:type="dxa" w:w="3969"/>
            <w:vAlign w:val="center"/>
          </w:tcPr>
          <w:p>
            <w:r/>
            <w:r>
              <w:rPr>
                <w:sz w:val="20"/>
              </w:rPr>
              <w:t>Ters tercih sırasına göre fayda maksimizasyonu</w:t>
            </w:r>
          </w:p>
        </w:tc>
        <w:tc>
          <w:tcPr>
            <w:tcW w:type="dxa" w:w="2268"/>
            <w:vAlign w:val="center"/>
          </w:tcPr>
          <w:p>
            <w:r/>
            <w:r>
              <w:rPr>
                <w:sz w:val="20"/>
              </w:rPr>
              <w:t>Kısmen</w:t>
            </w:r>
          </w:p>
        </w:tc>
      </w:tr>
      <w:tr>
        <w:tc>
          <w:tcPr>
            <w:tcW w:type="dxa" w:w="2551"/>
            <w:vAlign w:val="center"/>
            <w:shd w:fill="F2F6FA" w:val="clear"/>
          </w:tcPr>
          <w:p>
            <w:r/>
            <w:r>
              <w:rPr>
                <w:sz w:val="20"/>
              </w:rPr>
              <w:t>Minimum Regret</w:t>
            </w:r>
          </w:p>
        </w:tc>
        <w:tc>
          <w:tcPr>
            <w:tcW w:type="dxa" w:w="3969"/>
            <w:vAlign w:val="center"/>
            <w:shd w:fill="F2F6FA" w:val="clear"/>
          </w:tcPr>
          <w:p>
            <w:r/>
            <w:r>
              <w:rPr>
                <w:sz w:val="20"/>
              </w:rPr>
              <w:t>Global düşük rank eşleşmelerini önce işle</w:t>
            </w:r>
          </w:p>
        </w:tc>
        <w:tc>
          <w:tcPr>
            <w:tcW w:type="dxa" w:w="2268"/>
            <w:vAlign w:val="center"/>
            <w:shd w:fill="F2F6FA" w:val="clear"/>
          </w:tcPr>
          <w:p>
            <w:r/>
            <w:r>
              <w:rPr>
                <w:sz w:val="20"/>
              </w:rPr>
              <w:t>Yüksek</w:t>
            </w:r>
          </w:p>
        </w:tc>
      </w:tr>
      <w:tr>
        <w:tc>
          <w:tcPr>
            <w:tcW w:type="dxa" w:w="2551"/>
            <w:vAlign w:val="center"/>
          </w:tcPr>
          <w:p>
            <w:r/>
            <w:r>
              <w:rPr>
                <w:sz w:val="20"/>
              </w:rPr>
              <w:t>Gale-Shapley (modifiye)</w:t>
            </w:r>
          </w:p>
        </w:tc>
        <w:tc>
          <w:tcPr>
            <w:tcW w:type="dxa" w:w="3969"/>
            <w:vAlign w:val="center"/>
          </w:tcPr>
          <w:p>
            <w:r/>
            <w:r>
              <w:rPr>
                <w:sz w:val="20"/>
              </w:rPr>
              <w:t>Stable matching; ders tarafı GPA önceliği</w:t>
            </w:r>
          </w:p>
        </w:tc>
        <w:tc>
          <w:tcPr>
            <w:tcW w:type="dxa" w:w="2268"/>
            <w:vAlign w:val="center"/>
          </w:tcPr>
          <w:p>
            <w:r/>
            <w:r>
              <w:rPr>
                <w:sz w:val="20"/>
              </w:rPr>
              <w:t>Stable + adil</w:t>
            </w:r>
          </w:p>
        </w:tc>
      </w:tr>
    </w:tbl>
    <w:p>
      <w:pPr>
        <w:spacing w:after="120"/>
      </w:pPr>
      <w:r>
        <w:rPr>
          <w:rFonts w:ascii="Calibri" w:hAnsi="Calibri"/>
          <w:b w:val="0"/>
          <w:i w:val="0"/>
          <w:sz w:val="22"/>
        </w:rPr>
        <w:t>Adalet metrikleri: average rank, top-k satisfaction, envy score ve seat fill rate. Bu metrikler benchmark çalışmasında her algoritma için ayrı ayrı raporlanır.</w:t>
      </w:r>
    </w:p>
    <w:p>
      <w:pPr>
        <w:pStyle w:val="Heading1"/>
      </w:pPr>
      <w:r>
        <w:rPr>
          <w:rFonts w:ascii="Calibri" w:hAnsi="Calibri"/>
          <w:color w:val="1F4E79"/>
          <w:sz w:val="40"/>
        </w:rPr>
        <w:t>3.10 Clustering Algoritmaları</w:t>
      </w:r>
    </w:p>
    <w:p>
      <w:pPr>
        <w:spacing w:after="120"/>
      </w:pPr>
      <w:r>
        <w:rPr>
          <w:rFonts w:ascii="Calibri" w:hAnsi="Calibri"/>
          <w:b w:val="0"/>
          <w:i w:val="0"/>
          <w:sz w:val="22"/>
        </w:rPr>
        <w:t>Öğrenci/ders örüntülerini keşif amaçlı segmentlere ayırmak için üç kümeleme algoritması mevcuttur:</w:t>
      </w:r>
    </w:p>
    <w:p>
      <w:pPr>
        <w:pStyle w:val="ListBullet"/>
      </w:pPr>
      <w:r>
        <w:rPr>
          <w:rFonts w:ascii="Calibri" w:hAnsi="Calibri"/>
          <w:sz w:val="22"/>
        </w:rPr>
        <w:t>KMeans — küresel kümeler için hızlı baseline. n_clusters elbow yöntemiyle önerilir.</w:t>
      </w:r>
    </w:p>
    <w:p>
      <w:pPr>
        <w:pStyle w:val="ListBullet"/>
      </w:pPr>
      <w:r>
        <w:rPr>
          <w:rFonts w:ascii="Calibri" w:hAnsi="Calibri"/>
          <w:sz w:val="22"/>
        </w:rPr>
        <w:t>Hierarchical / Agglomerative — küçük veri kümelerinde dendrogram tabanlı keşif.</w:t>
      </w:r>
    </w:p>
    <w:p>
      <w:pPr>
        <w:pStyle w:val="ListBullet"/>
      </w:pPr>
      <w:r>
        <w:rPr>
          <w:rFonts w:ascii="Calibri" w:hAnsi="Calibri"/>
          <w:sz w:val="22"/>
        </w:rPr>
        <w:t>DBSCAN — yoğunluk tabanlı küme; gürültüyü ayrı sınıf olarak etiketler.</w:t>
      </w:r>
    </w:p>
    <w:p>
      <w:pPr>
        <w:spacing w:after="120"/>
      </w:pPr>
      <w:r>
        <w:rPr>
          <w:rFonts w:ascii="Calibri" w:hAnsi="Calibri"/>
          <w:b w:val="0"/>
          <w:i w:val="0"/>
          <w:sz w:val="22"/>
        </w:rPr>
        <w:t>Kümeleme kalite metrikleri: silhouette, Davies-Bouldin, Calinski-Harabasz. Algoritma seçimi benchmark sonuçlarına bakarak veri analistinin tercihine bırakılır.</w:t>
      </w:r>
    </w:p>
    <w:p>
      <w:pPr>
        <w:pStyle w:val="Heading1"/>
      </w:pPr>
      <w:r>
        <w:rPr>
          <w:rFonts w:ascii="Calibri" w:hAnsi="Calibri"/>
          <w:color w:val="1F4E79"/>
          <w:sz w:val="40"/>
        </w:rPr>
        <w:t>3.11 VIKOR ve PROMETHEE-II</w:t>
      </w:r>
    </w:p>
    <w:p>
      <w:pPr>
        <w:spacing w:after="120"/>
      </w:pPr>
      <w:r>
        <w:rPr>
          <w:rFonts w:ascii="Calibri" w:hAnsi="Calibri"/>
          <w:b w:val="0"/>
          <w:i w:val="0"/>
          <w:sz w:val="22"/>
        </w:rPr>
        <w:t>Benchmark tarafında iki ek MCDM yöntemi mevcuttur. Bu algoritmalar üretim kararı vermez, ancak TOPSIS sonuçlarının ne kadar tutarlı olduğunu çapraz doğrulamak için kullanılır.</w:t>
      </w:r>
    </w:p>
    <w:p>
      <w:pPr>
        <w:spacing w:after="120"/>
      </w:pPr>
      <w:r>
        <w:rPr>
          <w:rFonts w:ascii="Calibri" w:hAnsi="Calibri"/>
          <w:b/>
          <w:i w:val="0"/>
          <w:sz w:val="22"/>
        </w:rPr>
        <w:t>VIKOR (Opricovic, 1998):</w:t>
      </w:r>
    </w:p>
    <w:p>
      <w:pPr>
        <w:spacing w:after="120"/>
        <w:jc w:val="center"/>
      </w:pPr>
      <w:r>
        <w:rPr>
          <w:rFonts w:ascii="Calibri" w:hAnsi="Calibri"/>
          <w:b/>
          <w:i w:val="0"/>
          <w:sz w:val="22"/>
        </w:rPr>
        <w:t xml:space="preserve">   S = Σ wj · (fj* − fij)/(fj* − fj⁻)</w:t>
      </w:r>
    </w:p>
    <w:p>
      <w:pPr>
        <w:spacing w:after="120"/>
        <w:jc w:val="center"/>
      </w:pPr>
      <w:r>
        <w:rPr>
          <w:rFonts w:ascii="Calibri" w:hAnsi="Calibri"/>
          <w:b/>
          <w:i w:val="0"/>
          <w:sz w:val="22"/>
        </w:rPr>
        <w:t xml:space="preserve">   R = max{ wj · (fj* − fij)/(fj* − fj⁻) }</w:t>
      </w:r>
    </w:p>
    <w:p>
      <w:pPr>
        <w:spacing w:after="120"/>
        <w:jc w:val="center"/>
      </w:pPr>
      <w:r>
        <w:rPr>
          <w:rFonts w:ascii="Calibri" w:hAnsi="Calibri"/>
          <w:b/>
          <w:i w:val="0"/>
          <w:sz w:val="22"/>
        </w:rPr>
        <w:t xml:space="preserve">   Q = v·(S−S*)/(S⁻−S*) + (1−v)·(R−R*)/(R⁻−R*)</w:t>
      </w:r>
    </w:p>
    <w:p>
      <w:pPr>
        <w:spacing w:after="120"/>
      </w:pPr>
      <w:r>
        <w:rPr>
          <w:rFonts w:ascii="Calibri" w:hAnsi="Calibri"/>
          <w:b w:val="0"/>
          <w:i w:val="0"/>
          <w:sz w:val="22"/>
        </w:rPr>
        <w:t>v parametresi grup faydası ile bireysel pişmanlık arasındaki dengeyi belirler (varsayılan 0.5).</w:t>
      </w:r>
    </w:p>
    <w:p>
      <w:pPr>
        <w:spacing w:after="120"/>
      </w:pPr>
      <w:r>
        <w:rPr>
          <w:rFonts w:ascii="Calibri" w:hAnsi="Calibri"/>
          <w:b/>
          <w:i w:val="0"/>
          <w:sz w:val="22"/>
        </w:rPr>
        <w:t>PROMETHEE-II (Brans, 1985):</w:t>
      </w:r>
    </w:p>
    <w:p>
      <w:pPr>
        <w:spacing w:after="120"/>
      </w:pPr>
      <w:r>
        <w:rPr>
          <w:rFonts w:ascii="Calibri" w:hAnsi="Calibri"/>
          <w:b w:val="0"/>
          <w:i w:val="0"/>
          <w:sz w:val="22"/>
        </w:rPr>
        <w:t>Pairwise preference fonksiyonu üzerinden leaving flow φ+ ve entering flow φ⁻ hesaplanır. Net flow φ = φ+ − φ⁻ üzerinden alternatifler sıralanır. Projede V-shape preference fonksiyonu varsayılan olarak kullanılır.</w:t>
      </w:r>
    </w:p>
    <w:p>
      <w:pPr>
        <w:jc w:val="center"/>
      </w:pPr>
      <w:r>
        <w:drawing>
          <wp:inline xmlns:a="http://schemas.openxmlformats.org/drawingml/2006/main" xmlns:pic="http://schemas.openxmlformats.org/drawingml/2006/picture">
            <wp:extent cx="5760000" cy="3040000"/>
            <wp:docPr id="9" name="Picture 9"/>
            <wp:cNvGraphicFramePr>
              <a:graphicFrameLocks noChangeAspect="1"/>
            </wp:cNvGraphicFramePr>
            <a:graphic>
              <a:graphicData uri="http://schemas.openxmlformats.org/drawingml/2006/picture">
                <pic:pic>
                  <pic:nvPicPr>
                    <pic:cNvPr id="0" name="algorithm_family.png"/>
                    <pic:cNvPicPr/>
                  </pic:nvPicPr>
                  <pic:blipFill>
                    <a:blip r:embed="rId17"/>
                    <a:stretch>
                      <a:fillRect/>
                    </a:stretch>
                  </pic:blipFill>
                  <pic:spPr>
                    <a:xfrm>
                      <a:off x="0" y="0"/>
                      <a:ext cx="5760000" cy="3040000"/>
                    </a:xfrm>
                    <a:prstGeom prst="rect"/>
                  </pic:spPr>
                </pic:pic>
              </a:graphicData>
            </a:graphic>
          </wp:inline>
        </w:drawing>
      </w:r>
    </w:p>
    <w:p>
      <w:pPr>
        <w:jc w:val="center"/>
      </w:pPr>
      <w:r>
        <w:rPr>
          <w:i/>
          <w:color w:val="666666"/>
          <w:sz w:val="20"/>
        </w:rPr>
        <w:t>Şekil 3.7 — Benchmark platformunda kullanılan algoritmaların aile bazında dağılımı.</w:t>
      </w:r>
    </w:p>
    <w:p>
      <w:pPr>
        <w:pStyle w:val="Heading1"/>
      </w:pPr>
      <w:r>
        <w:rPr>
          <w:rFonts w:ascii="Calibri" w:hAnsi="Calibri"/>
          <w:color w:val="1F4E79"/>
          <w:sz w:val="40"/>
        </w:rPr>
        <w:t>3.12 Karar Açıklanabilirliği (XAI)</w:t>
      </w:r>
    </w:p>
    <w:p>
      <w:pPr>
        <w:spacing w:after="120"/>
      </w:pPr>
      <w:r>
        <w:rPr>
          <w:rFonts w:ascii="Calibri" w:hAnsi="Calibri"/>
          <w:b w:val="0"/>
          <w:i w:val="0"/>
          <w:sz w:val="22"/>
        </w:rPr>
        <w:t>Sistem, her karar için kullanıcıya açıklanabilir bir “neden” paneli sunar. Bu panelde aşağıdaki bilgiler birlikte gösterilir:</w:t>
      </w:r>
    </w:p>
    <w:p>
      <w:pPr>
        <w:pStyle w:val="ListNumber"/>
      </w:pPr>
      <w:r>
        <w:rPr>
          <w:rFonts w:ascii="Calibri" w:hAnsi="Calibri"/>
          <w:sz w:val="22"/>
        </w:rPr>
        <w:t>Hangi AHP profili kullanıldı (id ve CR değeri)</w:t>
      </w:r>
    </w:p>
    <w:p>
      <w:pPr>
        <w:pStyle w:val="ListNumber"/>
      </w:pPr>
      <w:r>
        <w:rPr>
          <w:rFonts w:ascii="Calibri" w:hAnsi="Calibri"/>
          <w:sz w:val="22"/>
        </w:rPr>
        <w:t>Her kriter için ham değer ve normalize değer</w:t>
      </w:r>
    </w:p>
    <w:p>
      <w:pPr>
        <w:pStyle w:val="ListNumber"/>
      </w:pPr>
      <w:r>
        <w:rPr>
          <w:rFonts w:ascii="Calibri" w:hAnsi="Calibri"/>
          <w:sz w:val="22"/>
        </w:rPr>
        <w:t>Ağırlıklı kriter katkısı (örn. başarı %41, trend %20…)</w:t>
      </w:r>
    </w:p>
    <w:p>
      <w:pPr>
        <w:pStyle w:val="ListNumber"/>
      </w:pPr>
      <w:r>
        <w:rPr>
          <w:rFonts w:ascii="Calibri" w:hAnsi="Calibri"/>
          <w:sz w:val="22"/>
        </w:rPr>
        <w:t>Pozitif/negatif ideal çözüme uzaklık</w:t>
      </w:r>
    </w:p>
    <w:p>
      <w:pPr>
        <w:pStyle w:val="ListNumber"/>
      </w:pPr>
      <w:r>
        <w:rPr>
          <w:rFonts w:ascii="Calibri" w:hAnsi="Calibri"/>
          <w:sz w:val="22"/>
        </w:rPr>
        <w:t>Hangi eşiğin altında kalındığı (varsa)</w:t>
      </w:r>
    </w:p>
    <w:p>
      <w:pPr>
        <w:pStyle w:val="ListNumber"/>
      </w:pPr>
      <w:r>
        <w:rPr>
          <w:rFonts w:ascii="Calibri" w:hAnsi="Calibri"/>
          <w:sz w:val="22"/>
        </w:rPr>
        <w:t>State machine geçişi (durum, sayaç, sebep)</w:t>
      </w:r>
    </w:p>
    <w:p>
      <w:pPr>
        <w:pStyle w:val="ListNumber"/>
      </w:pPr>
      <w:r>
        <w:rPr>
          <w:rFonts w:ascii="Calibri" w:hAnsi="Calibri"/>
          <w:sz w:val="22"/>
        </w:rPr>
        <w:t>Trend yönü (yükseliyor/düşüyor/sabit)</w:t>
      </w:r>
    </w:p>
    <w:p>
      <w:pPr>
        <w:pStyle w:val="ListNumber"/>
      </w:pPr>
      <w:r>
        <w:rPr>
          <w:rFonts w:ascii="Calibri" w:hAnsi="Calibri"/>
          <w:sz w:val="22"/>
        </w:rPr>
        <w:t>Benzer derslerden öneri (TF-IDF cosine)</w:t>
      </w:r>
    </w:p>
    <w:p>
      <w:pPr>
        <w:pStyle w:val="ListNumber"/>
      </w:pPr>
      <w:r>
        <w:rPr>
          <w:rFonts w:ascii="Calibri" w:hAnsi="Calibri"/>
          <w:sz w:val="22"/>
        </w:rPr>
        <w:t>ML modeli ne tahmin etti (advisory) ve gerekçesi</w:t>
      </w:r>
    </w:p>
    <w:p>
      <w:pPr>
        <w:spacing w:after="120"/>
      </w:pPr>
      <w:r>
        <w:rPr>
          <w:rFonts w:ascii="Calibri" w:hAnsi="Calibri"/>
          <w:b w:val="0"/>
          <w:i w:val="0"/>
          <w:sz w:val="22"/>
        </w:rPr>
        <w:t>Bu panel, müfredat komisyonunun “bu dersi neden düşürdün, neden tuttun?” gibi sorulara saniyeler içinde belgelenmiş cevap verebilmesini sağlar. Karar destek sistemlerinde açıklanabilirlik (explainability), özellikle kamu eğitim ortamlarında, sistem benimsenmesinin en kritik bileşenidir.</w:t>
      </w:r>
    </w:p>
    <w:p>
      <w:pPr>
        <w:pStyle w:val="Heading1"/>
      </w:pPr>
      <w:r>
        <w:rPr>
          <w:rFonts w:ascii="Calibri" w:hAnsi="Calibri"/>
          <w:color w:val="1F4E79"/>
          <w:sz w:val="40"/>
        </w:rPr>
        <w:t>3.13 Veri Kalitesi ve Doğrulama Katmanı</w:t>
      </w:r>
    </w:p>
    <w:p>
      <w:pPr>
        <w:spacing w:after="120"/>
      </w:pPr>
      <w:r>
        <w:rPr>
          <w:rFonts w:ascii="Calibri" w:hAnsi="Calibri"/>
          <w:b w:val="0"/>
          <w:i w:val="0"/>
          <w:sz w:val="22"/>
        </w:rPr>
        <w:t>Sistemin doğru karar verebilmesi için girdilerin de doğru olması gerekir. Bu nedenle import edilen her satır şu denetimlerden geçer:</w:t>
      </w:r>
    </w:p>
    <w:p>
      <w:pPr>
        <w:pStyle w:val="ListBullet"/>
      </w:pPr>
      <w:r>
        <w:rPr>
          <w:rFonts w:ascii="Calibri" w:hAnsi="Calibri"/>
          <w:sz w:val="22"/>
        </w:rPr>
        <w:t>Sayısal alanların geçerli aralıkta olması (0 ≤ x ≤ 1 veya doğal anlamlı aralık).</w:t>
      </w:r>
    </w:p>
    <w:p>
      <w:pPr>
        <w:pStyle w:val="ListBullet"/>
      </w:pPr>
      <w:r>
        <w:rPr>
          <w:rFonts w:ascii="Calibri" w:hAnsi="Calibri"/>
          <w:sz w:val="22"/>
        </w:rPr>
        <w:t>Anket alanında “seçen ≤ katılımcı” mantıksal kontrolü.</w:t>
      </w:r>
    </w:p>
    <w:p>
      <w:pPr>
        <w:pStyle w:val="ListBullet"/>
      </w:pPr>
      <w:r>
        <w:rPr>
          <w:rFonts w:ascii="Calibri" w:hAnsi="Calibri"/>
          <w:sz w:val="22"/>
        </w:rPr>
        <w:t>Doluluk alanında “kayıtlı ≤ kontenjan × 1.05” esneklik kontrolü (kayıt sayım hataları için).</w:t>
      </w:r>
    </w:p>
    <w:p>
      <w:pPr>
        <w:pStyle w:val="ListBullet"/>
      </w:pPr>
      <w:r>
        <w:rPr>
          <w:rFonts w:ascii="Calibri" w:hAnsi="Calibri"/>
          <w:sz w:val="22"/>
        </w:rPr>
        <w:t>Bütünleştirilmiş trend yıllarında sıra kontrolü.</w:t>
      </w:r>
    </w:p>
    <w:p>
      <w:pPr>
        <w:pStyle w:val="ListBullet"/>
      </w:pPr>
      <w:r>
        <w:rPr>
          <w:rFonts w:ascii="Calibri" w:hAnsi="Calibri"/>
          <w:sz w:val="22"/>
        </w:rPr>
        <w:t>Ders kodu / ders adı eşleştirmesinde alias çakışma kontrolü.</w:t>
      </w:r>
    </w:p>
    <w:p>
      <w:pPr>
        <w:pStyle w:val="ListBullet"/>
      </w:pPr>
      <w:r>
        <w:rPr>
          <w:rFonts w:ascii="Calibri" w:hAnsi="Calibri"/>
          <w:sz w:val="22"/>
        </w:rPr>
        <w:t>Boş hücreler için zorunlu/opsiyonel kuralı.</w:t>
      </w:r>
    </w:p>
    <w:p>
      <w:pPr>
        <w:pStyle w:val="ListBullet"/>
      </w:pPr>
      <w:r>
        <w:rPr>
          <w:rFonts w:ascii="Calibri" w:hAnsi="Calibri"/>
          <w:sz w:val="22"/>
        </w:rPr>
        <w:t>Tarih ve dönem alanlarında format ve tutarlılık kontrolü.</w:t>
      </w:r>
    </w:p>
    <w:p>
      <w:pPr>
        <w:spacing w:after="120"/>
      </w:pPr>
      <w:r>
        <w:rPr>
          <w:rFonts w:ascii="Calibri" w:hAnsi="Calibri"/>
          <w:b w:val="0"/>
          <w:i w:val="0"/>
          <w:sz w:val="22"/>
        </w:rPr>
        <w:t>Bir satır kalite kontrolünü geçemezse import_rows tablosunda “invalid” olarak işaretlenir ve kullanıcıya tek tıkla satır bazlı görünür kılınır. Bu kayıtlar veri kalitesi sayfasında renk kodlu olarak gösterilir.</w:t>
      </w:r>
    </w:p>
    <w:p>
      <w:r>
        <w:br w:type="page"/>
      </w:r>
    </w:p>
    <w:p>
      <w:pPr>
        <w:pStyle w:val="Title"/>
      </w:pPr>
      <w:r>
        <w:rPr>
          <w:rFonts w:ascii="Calibri" w:hAnsi="Calibri"/>
          <w:color w:val="1F4E79"/>
          <w:sz w:val="56"/>
        </w:rPr>
        <w:t>4. DENEYSEL TESTLER, GRAFİKLER VE TABLOLAR</w:t>
      </w:r>
    </w:p>
    <w:p>
      <w:pPr>
        <w:spacing w:after="120"/>
      </w:pPr>
      <w:r>
        <w:rPr>
          <w:rFonts w:ascii="Calibri" w:hAnsi="Calibri"/>
          <w:b w:val="0"/>
          <w:i w:val="0"/>
          <w:sz w:val="22"/>
        </w:rPr>
        <w:t>Bu bölümde, sistem üzerinde yapılan deneysel çalışmaların sonuçları, üretilen grafikler ve tablolar açıklanmıştır. Veriler, projede yer alan gerçek veritabanı snapshot’ı (data/adil_secmeli.db) ve benchmark çalıştırmalarından elde edilmiştir.</w:t>
      </w:r>
    </w:p>
    <w:p>
      <w:pPr>
        <w:pStyle w:val="Heading1"/>
      </w:pPr>
      <w:r>
        <w:rPr>
          <w:rFonts w:ascii="Calibri" w:hAnsi="Calibri"/>
          <w:color w:val="1F4E79"/>
          <w:sz w:val="40"/>
        </w:rPr>
        <w:t>4.1 Veri Seti Özeti</w:t>
      </w:r>
    </w:p>
    <w:tbl>
      <w:tblPr>
        <w:tblStyle w:val="LightGrid-Accent1"/>
        <w:tblW w:type="auto" w:w="0"/>
        <w:jc w:val="center"/>
        <w:tblLook w:firstColumn="1" w:firstRow="1" w:lastColumn="0" w:lastRow="0" w:noHBand="0" w:noVBand="1" w:val="04A0"/>
      </w:tblPr>
      <w:tblGrid>
        <w:gridCol w:w="4788"/>
        <w:gridCol w:w="4788"/>
      </w:tblGrid>
      <w:tr>
        <w:tc>
          <w:tcPr>
            <w:tcW w:type="dxa" w:w="4252"/>
            <w:shd w:fill="1F4E79" w:val="clear"/>
            <w:vAlign w:val="center"/>
          </w:tcPr>
          <w:p>
            <w:r/>
            <w:r>
              <w:rPr>
                <w:b/>
                <w:color w:val="FFFFFF"/>
                <w:sz w:val="22"/>
              </w:rPr>
              <w:t>Boyut</w:t>
            </w:r>
          </w:p>
        </w:tc>
        <w:tc>
          <w:tcPr>
            <w:tcW w:type="dxa" w:w="4252"/>
            <w:shd w:fill="1F4E79" w:val="clear"/>
            <w:vAlign w:val="center"/>
          </w:tcPr>
          <w:p>
            <w:r/>
            <w:r>
              <w:rPr>
                <w:b/>
                <w:color w:val="FFFFFF"/>
                <w:sz w:val="22"/>
              </w:rPr>
              <w:t>Değer</w:t>
            </w:r>
          </w:p>
        </w:tc>
      </w:tr>
      <w:tr>
        <w:tc>
          <w:tcPr>
            <w:tcW w:type="dxa" w:w="4252"/>
            <w:vAlign w:val="center"/>
          </w:tcPr>
          <w:p>
            <w:r/>
            <w:r>
              <w:rPr>
                <w:sz w:val="20"/>
              </w:rPr>
              <w:t>Fakülte sayısı</w:t>
            </w:r>
          </w:p>
        </w:tc>
        <w:tc>
          <w:tcPr>
            <w:tcW w:type="dxa" w:w="4252"/>
            <w:vAlign w:val="center"/>
          </w:tcPr>
          <w:p>
            <w:r/>
            <w:r>
              <w:rPr>
                <w:sz w:val="20"/>
              </w:rPr>
              <w:t>5</w:t>
            </w:r>
          </w:p>
        </w:tc>
      </w:tr>
      <w:tr>
        <w:tc>
          <w:tcPr>
            <w:tcW w:type="dxa" w:w="4252"/>
            <w:vAlign w:val="center"/>
            <w:shd w:fill="F2F6FA" w:val="clear"/>
          </w:tcPr>
          <w:p>
            <w:r/>
            <w:r>
              <w:rPr>
                <w:sz w:val="20"/>
              </w:rPr>
              <w:t>Bölüm sayısı</w:t>
            </w:r>
          </w:p>
        </w:tc>
        <w:tc>
          <w:tcPr>
            <w:tcW w:type="dxa" w:w="4252"/>
            <w:vAlign w:val="center"/>
            <w:shd w:fill="F2F6FA" w:val="clear"/>
          </w:tcPr>
          <w:p>
            <w:r/>
            <w:r>
              <w:rPr>
                <w:sz w:val="20"/>
              </w:rPr>
              <w:t>9</w:t>
            </w:r>
          </w:p>
        </w:tc>
      </w:tr>
      <w:tr>
        <w:tc>
          <w:tcPr>
            <w:tcW w:type="dxa" w:w="4252"/>
            <w:vAlign w:val="center"/>
          </w:tcPr>
          <w:p>
            <w:r/>
            <w:r>
              <w:rPr>
                <w:sz w:val="20"/>
              </w:rPr>
              <w:t>Toplam ders</w:t>
            </w:r>
          </w:p>
        </w:tc>
        <w:tc>
          <w:tcPr>
            <w:tcW w:type="dxa" w:w="4252"/>
            <w:vAlign w:val="center"/>
          </w:tcPr>
          <w:p>
            <w:r/>
            <w:r>
              <w:rPr>
                <w:sz w:val="20"/>
              </w:rPr>
              <w:t>557</w:t>
            </w:r>
          </w:p>
        </w:tc>
      </w:tr>
      <w:tr>
        <w:tc>
          <w:tcPr>
            <w:tcW w:type="dxa" w:w="4252"/>
            <w:vAlign w:val="center"/>
            <w:shd w:fill="F2F6FA" w:val="clear"/>
          </w:tcPr>
          <w:p>
            <w:r/>
            <w:r>
              <w:rPr>
                <w:sz w:val="20"/>
              </w:rPr>
              <w:t>Zorunlu ders</w:t>
            </w:r>
          </w:p>
        </w:tc>
        <w:tc>
          <w:tcPr>
            <w:tcW w:type="dxa" w:w="4252"/>
            <w:vAlign w:val="center"/>
            <w:shd w:fill="F2F6FA" w:val="clear"/>
          </w:tcPr>
          <w:p>
            <w:r/>
            <w:r>
              <w:rPr>
                <w:sz w:val="20"/>
              </w:rPr>
              <w:t>322</w:t>
            </w:r>
          </w:p>
        </w:tc>
      </w:tr>
      <w:tr>
        <w:tc>
          <w:tcPr>
            <w:tcW w:type="dxa" w:w="4252"/>
            <w:vAlign w:val="center"/>
          </w:tcPr>
          <w:p>
            <w:r/>
            <w:r>
              <w:rPr>
                <w:sz w:val="20"/>
              </w:rPr>
              <w:t>Seçmeli ders</w:t>
            </w:r>
          </w:p>
        </w:tc>
        <w:tc>
          <w:tcPr>
            <w:tcW w:type="dxa" w:w="4252"/>
            <w:vAlign w:val="center"/>
          </w:tcPr>
          <w:p>
            <w:r/>
            <w:r>
              <w:rPr>
                <w:sz w:val="20"/>
              </w:rPr>
              <w:t>231</w:t>
            </w:r>
          </w:p>
        </w:tc>
      </w:tr>
      <w:tr>
        <w:tc>
          <w:tcPr>
            <w:tcW w:type="dxa" w:w="4252"/>
            <w:vAlign w:val="center"/>
            <w:shd w:fill="F2F6FA" w:val="clear"/>
          </w:tcPr>
          <w:p>
            <w:r/>
            <w:r>
              <w:rPr>
                <w:sz w:val="20"/>
              </w:rPr>
              <w:t>Entegre ders</w:t>
            </w:r>
          </w:p>
        </w:tc>
        <w:tc>
          <w:tcPr>
            <w:tcW w:type="dxa" w:w="4252"/>
            <w:vAlign w:val="center"/>
            <w:shd w:fill="F2F6FA" w:val="clear"/>
          </w:tcPr>
          <w:p>
            <w:r/>
            <w:r>
              <w:rPr>
                <w:sz w:val="20"/>
              </w:rPr>
              <w:t>4</w:t>
            </w:r>
          </w:p>
        </w:tc>
      </w:tr>
      <w:tr>
        <w:tc>
          <w:tcPr>
            <w:tcW w:type="dxa" w:w="4252"/>
            <w:vAlign w:val="center"/>
          </w:tcPr>
          <w:p>
            <w:r/>
            <w:r>
              <w:rPr>
                <w:sz w:val="20"/>
              </w:rPr>
              <w:t>Müfredat başlığı</w:t>
            </w:r>
          </w:p>
        </w:tc>
        <w:tc>
          <w:tcPr>
            <w:tcW w:type="dxa" w:w="4252"/>
            <w:vAlign w:val="center"/>
          </w:tcPr>
          <w:p>
            <w:r/>
            <w:r>
              <w:rPr>
                <w:sz w:val="20"/>
              </w:rPr>
              <w:t>13 (yıllar 2022-2024)</w:t>
            </w:r>
          </w:p>
        </w:tc>
      </w:tr>
      <w:tr>
        <w:tc>
          <w:tcPr>
            <w:tcW w:type="dxa" w:w="4252"/>
            <w:vAlign w:val="center"/>
            <w:shd w:fill="F2F6FA" w:val="clear"/>
          </w:tcPr>
          <w:p>
            <w:r/>
            <w:r>
              <w:rPr>
                <w:sz w:val="20"/>
              </w:rPr>
              <w:t>Havuz kaydı</w:t>
            </w:r>
          </w:p>
        </w:tc>
        <w:tc>
          <w:tcPr>
            <w:tcW w:type="dxa" w:w="4252"/>
            <w:vAlign w:val="center"/>
            <w:shd w:fill="F2F6FA" w:val="clear"/>
          </w:tcPr>
          <w:p>
            <w:r/>
            <w:r>
              <w:rPr>
                <w:sz w:val="20"/>
              </w:rPr>
              <w:t>2329 (yıllar 2022-2030)</w:t>
            </w:r>
          </w:p>
        </w:tc>
      </w:tr>
      <w:tr>
        <w:tc>
          <w:tcPr>
            <w:tcW w:type="dxa" w:w="4252"/>
            <w:vAlign w:val="center"/>
          </w:tcPr>
          <w:p>
            <w:r/>
            <w:r>
              <w:rPr>
                <w:sz w:val="20"/>
              </w:rPr>
              <w:t>Skor kaydı</w:t>
            </w:r>
          </w:p>
        </w:tc>
        <w:tc>
          <w:tcPr>
            <w:tcW w:type="dxa" w:w="4252"/>
            <w:vAlign w:val="center"/>
          </w:tcPr>
          <w:p>
            <w:r/>
            <w:r>
              <w:rPr>
                <w:sz w:val="20"/>
              </w:rPr>
              <w:t>22 (yıllar 2022-2023)</w:t>
            </w:r>
          </w:p>
        </w:tc>
      </w:tr>
      <w:tr>
        <w:tc>
          <w:tcPr>
            <w:tcW w:type="dxa" w:w="4252"/>
            <w:vAlign w:val="center"/>
            <w:shd w:fill="F2F6FA" w:val="clear"/>
          </w:tcPr>
          <w:p>
            <w:r/>
            <w:r>
              <w:rPr>
                <w:sz w:val="20"/>
              </w:rPr>
              <w:t>Müfredatta (statü=1)</w:t>
            </w:r>
          </w:p>
        </w:tc>
        <w:tc>
          <w:tcPr>
            <w:tcW w:type="dxa" w:w="4252"/>
            <w:vAlign w:val="center"/>
            <w:shd w:fill="F2F6FA" w:val="clear"/>
          </w:tcPr>
          <w:p>
            <w:r/>
            <w:r>
              <w:rPr>
                <w:sz w:val="20"/>
              </w:rPr>
              <w:t>52</w:t>
            </w:r>
          </w:p>
        </w:tc>
      </w:tr>
      <w:tr>
        <w:tc>
          <w:tcPr>
            <w:tcW w:type="dxa" w:w="4252"/>
            <w:vAlign w:val="center"/>
          </w:tcPr>
          <w:p>
            <w:r/>
            <w:r>
              <w:rPr>
                <w:sz w:val="20"/>
              </w:rPr>
              <w:t>Havuzda (statü=0)</w:t>
            </w:r>
          </w:p>
        </w:tc>
        <w:tc>
          <w:tcPr>
            <w:tcW w:type="dxa" w:w="4252"/>
            <w:vAlign w:val="center"/>
          </w:tcPr>
          <w:p>
            <w:r/>
            <w:r>
              <w:rPr>
                <w:sz w:val="20"/>
              </w:rPr>
              <w:t>2272</w:t>
            </w:r>
          </w:p>
        </w:tc>
      </w:tr>
      <w:tr>
        <w:tc>
          <w:tcPr>
            <w:tcW w:type="dxa" w:w="4252"/>
            <w:vAlign w:val="center"/>
            <w:shd w:fill="F2F6FA" w:val="clear"/>
          </w:tcPr>
          <w:p>
            <w:r/>
            <w:r>
              <w:rPr>
                <w:sz w:val="20"/>
              </w:rPr>
              <w:t>Dinlenmede (statü=-1)</w:t>
            </w:r>
          </w:p>
        </w:tc>
        <w:tc>
          <w:tcPr>
            <w:tcW w:type="dxa" w:w="4252"/>
            <w:vAlign w:val="center"/>
            <w:shd w:fill="F2F6FA" w:val="clear"/>
          </w:tcPr>
          <w:p>
            <w:r/>
            <w:r>
              <w:rPr>
                <w:sz w:val="20"/>
              </w:rPr>
              <w:t>5</w:t>
            </w:r>
          </w:p>
        </w:tc>
      </w:tr>
    </w:tbl>
    <w:p>
      <w:pPr>
        <w:spacing w:after="120"/>
      </w:pPr>
      <w:r>
        <w:rPr>
          <w:rFonts w:ascii="Calibri" w:hAnsi="Calibri"/>
          <w:b w:val="0"/>
          <w:i w:val="0"/>
          <w:sz w:val="22"/>
        </w:rPr>
        <w:t>Veriler, sistemin gerçek bir akademik dönem için seçmeli ders havuzunu modellemek üzere üretilmiştir. Veritabanı kapsam olarak 9 bölüm × 3 yıl × 2 dönem kombinasyonunda işlem yapabilecek hacme sahiptir.</w:t>
      </w:r>
    </w:p>
    <w:p>
      <w:pPr>
        <w:pStyle w:val="Heading1"/>
      </w:pPr>
      <w:r>
        <w:rPr>
          <w:rFonts w:ascii="Calibri" w:hAnsi="Calibri"/>
          <w:color w:val="1F4E79"/>
          <w:sz w:val="40"/>
        </w:rPr>
        <w:t>4.2 AHP Tutarlılık Testi</w:t>
      </w:r>
    </w:p>
    <w:p>
      <w:pPr>
        <w:spacing w:after="120"/>
      </w:pPr>
      <w:r>
        <w:rPr>
          <w:rFonts w:ascii="Calibri" w:hAnsi="Calibri"/>
          <w:b w:val="0"/>
          <w:i w:val="0"/>
          <w:sz w:val="22"/>
        </w:rPr>
        <w:t>Projedeki AHP profillerinden aktif olan profil id=11 üzerinde tutarlılık testi yapılmıştır:</w:t>
      </w:r>
    </w:p>
    <w:tbl>
      <w:tblPr>
        <w:tblStyle w:val="LightGrid-Accent1"/>
        <w:tblW w:type="auto" w:w="0"/>
        <w:jc w:val="center"/>
        <w:tblLook w:firstColumn="1" w:firstRow="1" w:lastColumn="0" w:lastRow="0" w:noHBand="0" w:noVBand="1" w:val="04A0"/>
      </w:tblPr>
      <w:tblGrid>
        <w:gridCol w:w="3192"/>
        <w:gridCol w:w="3192"/>
        <w:gridCol w:w="3192"/>
      </w:tblGrid>
      <w:tr>
        <w:tc>
          <w:tcPr>
            <w:tcW w:type="dxa" w:w="1984"/>
            <w:shd w:fill="1F4E79" w:val="clear"/>
            <w:vAlign w:val="center"/>
          </w:tcPr>
          <w:p>
            <w:r/>
            <w:r>
              <w:rPr>
                <w:b/>
                <w:color w:val="FFFFFF"/>
                <w:sz w:val="22"/>
              </w:rPr>
              <w:t>Metrik</w:t>
            </w:r>
          </w:p>
        </w:tc>
        <w:tc>
          <w:tcPr>
            <w:tcW w:type="dxa" w:w="1984"/>
            <w:shd w:fill="1F4E79" w:val="clear"/>
            <w:vAlign w:val="center"/>
          </w:tcPr>
          <w:p>
            <w:r/>
            <w:r>
              <w:rPr>
                <w:b/>
                <w:color w:val="FFFFFF"/>
                <w:sz w:val="22"/>
              </w:rPr>
              <w:t>Değer</w:t>
            </w:r>
          </w:p>
        </w:tc>
        <w:tc>
          <w:tcPr>
            <w:tcW w:type="dxa" w:w="4819"/>
            <w:shd w:fill="1F4E79" w:val="clear"/>
            <w:vAlign w:val="center"/>
          </w:tcPr>
          <w:p>
            <w:r/>
            <w:r>
              <w:rPr>
                <w:b/>
                <w:color w:val="FFFFFF"/>
                <w:sz w:val="22"/>
              </w:rPr>
              <w:t>Yorum</w:t>
            </w:r>
          </w:p>
        </w:tc>
      </w:tr>
      <w:tr>
        <w:tc>
          <w:tcPr>
            <w:tcW w:type="dxa" w:w="1984"/>
            <w:vAlign w:val="center"/>
          </w:tcPr>
          <w:p>
            <w:r/>
            <w:r>
              <w:rPr>
                <w:sz w:val="20"/>
              </w:rPr>
              <w:t>n</w:t>
            </w:r>
          </w:p>
        </w:tc>
        <w:tc>
          <w:tcPr>
            <w:tcW w:type="dxa" w:w="1984"/>
            <w:vAlign w:val="center"/>
          </w:tcPr>
          <w:p>
            <w:r/>
            <w:r>
              <w:rPr>
                <w:sz w:val="20"/>
              </w:rPr>
              <w:t>4</w:t>
            </w:r>
          </w:p>
        </w:tc>
        <w:tc>
          <w:tcPr>
            <w:tcW w:type="dxa" w:w="4819"/>
            <w:vAlign w:val="center"/>
          </w:tcPr>
          <w:p>
            <w:r/>
            <w:r>
              <w:rPr>
                <w:sz w:val="20"/>
              </w:rPr>
              <w:t>Kriter sayısı</w:t>
            </w:r>
          </w:p>
        </w:tc>
      </w:tr>
      <w:tr>
        <w:tc>
          <w:tcPr>
            <w:tcW w:type="dxa" w:w="1984"/>
            <w:vAlign w:val="center"/>
            <w:shd w:fill="F2F6FA" w:val="clear"/>
          </w:tcPr>
          <w:p>
            <w:r/>
            <w:r>
              <w:rPr>
                <w:sz w:val="20"/>
              </w:rPr>
              <w:t>λmax</w:t>
            </w:r>
          </w:p>
        </w:tc>
        <w:tc>
          <w:tcPr>
            <w:tcW w:type="dxa" w:w="1984"/>
            <w:vAlign w:val="center"/>
            <w:shd w:fill="F2F6FA" w:val="clear"/>
          </w:tcPr>
          <w:p>
            <w:r/>
            <w:r>
              <w:rPr>
                <w:sz w:val="20"/>
              </w:rPr>
              <w:t>≈ 4.241</w:t>
            </w:r>
          </w:p>
        </w:tc>
        <w:tc>
          <w:tcPr>
            <w:tcW w:type="dxa" w:w="4819"/>
            <w:vAlign w:val="center"/>
            <w:shd w:fill="F2F6FA" w:val="clear"/>
          </w:tcPr>
          <w:p>
            <w:r/>
            <w:r>
              <w:rPr>
                <w:sz w:val="20"/>
              </w:rPr>
              <w:t>Ana özdeğer</w:t>
            </w:r>
          </w:p>
        </w:tc>
      </w:tr>
      <w:tr>
        <w:tc>
          <w:tcPr>
            <w:tcW w:type="dxa" w:w="1984"/>
            <w:vAlign w:val="center"/>
          </w:tcPr>
          <w:p>
            <w:r/>
            <w:r>
              <w:rPr>
                <w:sz w:val="20"/>
              </w:rPr>
              <w:t>CI</w:t>
            </w:r>
          </w:p>
        </w:tc>
        <w:tc>
          <w:tcPr>
            <w:tcW w:type="dxa" w:w="1984"/>
            <w:vAlign w:val="center"/>
          </w:tcPr>
          <w:p>
            <w:r/>
            <w:r>
              <w:rPr>
                <w:sz w:val="20"/>
              </w:rPr>
              <w:t>0.080</w:t>
            </w:r>
          </w:p>
        </w:tc>
        <w:tc>
          <w:tcPr>
            <w:tcW w:type="dxa" w:w="4819"/>
            <w:vAlign w:val="center"/>
          </w:tcPr>
          <w:p>
            <w:r/>
            <w:r>
              <w:rPr>
                <w:sz w:val="20"/>
              </w:rPr>
              <w:t>(λmax − n)/(n − 1)</w:t>
            </w:r>
          </w:p>
        </w:tc>
      </w:tr>
      <w:tr>
        <w:tc>
          <w:tcPr>
            <w:tcW w:type="dxa" w:w="1984"/>
            <w:vAlign w:val="center"/>
            <w:shd w:fill="F2F6FA" w:val="clear"/>
          </w:tcPr>
          <w:p>
            <w:r/>
            <w:r>
              <w:rPr>
                <w:sz w:val="20"/>
              </w:rPr>
              <w:t>RI</w:t>
            </w:r>
          </w:p>
        </w:tc>
        <w:tc>
          <w:tcPr>
            <w:tcW w:type="dxa" w:w="1984"/>
            <w:vAlign w:val="center"/>
            <w:shd w:fill="F2F6FA" w:val="clear"/>
          </w:tcPr>
          <w:p>
            <w:r/>
            <w:r>
              <w:rPr>
                <w:sz w:val="20"/>
              </w:rPr>
              <w:t>0.90</w:t>
            </w:r>
          </w:p>
        </w:tc>
        <w:tc>
          <w:tcPr>
            <w:tcW w:type="dxa" w:w="4819"/>
            <w:vAlign w:val="center"/>
            <w:shd w:fill="F2F6FA" w:val="clear"/>
          </w:tcPr>
          <w:p>
            <w:r/>
            <w:r>
              <w:rPr>
                <w:sz w:val="20"/>
              </w:rPr>
              <w:t>Saaty RI(4)</w:t>
            </w:r>
          </w:p>
        </w:tc>
      </w:tr>
      <w:tr>
        <w:tc>
          <w:tcPr>
            <w:tcW w:type="dxa" w:w="1984"/>
            <w:vAlign w:val="center"/>
          </w:tcPr>
          <w:p>
            <w:r/>
            <w:r>
              <w:rPr>
                <w:sz w:val="20"/>
              </w:rPr>
              <w:t>CR</w:t>
            </w:r>
          </w:p>
        </w:tc>
        <w:tc>
          <w:tcPr>
            <w:tcW w:type="dxa" w:w="1984"/>
            <w:vAlign w:val="center"/>
          </w:tcPr>
          <w:p>
            <w:r/>
            <w:r>
              <w:rPr>
                <w:sz w:val="20"/>
              </w:rPr>
              <w:t>0.089</w:t>
            </w:r>
          </w:p>
        </w:tc>
        <w:tc>
          <w:tcPr>
            <w:tcW w:type="dxa" w:w="4819"/>
            <w:vAlign w:val="center"/>
          </w:tcPr>
          <w:p>
            <w:r/>
            <w:r>
              <w:rPr>
                <w:sz w:val="20"/>
              </w:rPr>
              <w:t>&lt; 0.10 ⇒ Kabul</w:t>
            </w:r>
          </w:p>
        </w:tc>
      </w:tr>
    </w:tbl>
    <w:p>
      <w:pPr>
        <w:spacing w:after="120"/>
      </w:pPr>
      <w:r>
        <w:rPr>
          <w:rFonts w:ascii="Calibri" w:hAnsi="Calibri"/>
          <w:b w:val="0"/>
          <w:i w:val="0"/>
          <w:sz w:val="22"/>
        </w:rPr>
        <w:t>CR = 0.089 &lt; 0.10 olduğu için profil tutarlıdır. Yapılan deneyde profil ağırlıkları başarı ≈ 0.41, trend ≈ 0.20, popülerlik ≈ 0.19 ve anket ≈ 0.19 olarak elde edilmiştir. Bu değerler, “Önce öğrenci başarısı” hipotezini sayısal olarak doğrulamaktadır.</w:t>
      </w:r>
    </w:p>
    <w:p>
      <w:pPr>
        <w:pStyle w:val="Heading1"/>
      </w:pPr>
      <w:r>
        <w:rPr>
          <w:rFonts w:ascii="Calibri" w:hAnsi="Calibri"/>
          <w:color w:val="1F4E79"/>
          <w:sz w:val="40"/>
        </w:rPr>
        <w:t>4.3 TOPSIS Skor Dağılımı</w:t>
      </w:r>
    </w:p>
    <w:p>
      <w:pPr>
        <w:spacing w:after="120"/>
      </w:pPr>
      <w:r>
        <w:rPr>
          <w:rFonts w:ascii="Calibri" w:hAnsi="Calibri"/>
          <w:b w:val="0"/>
          <w:i w:val="0"/>
          <w:sz w:val="22"/>
        </w:rPr>
        <w:t>Yapılan deneyde 125 ders üzerinde TOPSIS kesinleşme puanı elde edilmiş ve düşme eşiği (40) karşılaştırması yapılmıştır.</w:t>
      </w:r>
    </w:p>
    <w:p>
      <w:pPr>
        <w:jc w:val="center"/>
      </w:pPr>
      <w:r>
        <w:drawing>
          <wp:inline xmlns:a="http://schemas.openxmlformats.org/drawingml/2006/main" xmlns:pic="http://schemas.openxmlformats.org/drawingml/2006/picture">
            <wp:extent cx="5580000" cy="3090462"/>
            <wp:docPr id="10" name="Picture 10"/>
            <wp:cNvGraphicFramePr>
              <a:graphicFrameLocks noChangeAspect="1"/>
            </wp:cNvGraphicFramePr>
            <a:graphic>
              <a:graphicData uri="http://schemas.openxmlformats.org/drawingml/2006/picture">
                <pic:pic>
                  <pic:nvPicPr>
                    <pic:cNvPr id="0" name="topsis_distribution.png"/>
                    <pic:cNvPicPr/>
                  </pic:nvPicPr>
                  <pic:blipFill>
                    <a:blip r:embed="rId18"/>
                    <a:stretch>
                      <a:fillRect/>
                    </a:stretch>
                  </pic:blipFill>
                  <pic:spPr>
                    <a:xfrm>
                      <a:off x="0" y="0"/>
                      <a:ext cx="5580000" cy="3090462"/>
                    </a:xfrm>
                    <a:prstGeom prst="rect"/>
                  </pic:spPr>
                </pic:pic>
              </a:graphicData>
            </a:graphic>
          </wp:inline>
        </w:drawing>
      </w:r>
    </w:p>
    <w:p>
      <w:pPr>
        <w:jc w:val="center"/>
      </w:pPr>
      <w:r>
        <w:rPr>
          <w:i/>
          <w:color w:val="666666"/>
          <w:sz w:val="20"/>
        </w:rPr>
        <w:t>Şekil 4.1 — Kesinleşme puanı dağılımı ve düşme eşiği (kırmızı kesik çizgi).</w:t>
      </w:r>
    </w:p>
    <w:p>
      <w:pPr>
        <w:spacing w:after="120"/>
      </w:pPr>
      <w:r>
        <w:rPr>
          <w:rFonts w:ascii="Calibri" w:hAnsi="Calibri"/>
          <w:b w:val="0"/>
          <w:i w:val="0"/>
          <w:sz w:val="22"/>
        </w:rPr>
        <w:t>Dağılım üç tepeli bir görünüm sergiler. İlk küme yüksek performans gösteren ve müfredatta kalan dersleri, ikinci küme eşik etrafında yer alan ve karar açısından kritik dersleri, üçüncü küme ise düşme eşiğinin altında kalan ve havuza/dinlenmeye geçen dersleri temsil eder. Sistemin ürettiği bu üç tepeli yapı, yönetim açısından dersleri net kategorilere ayırması bakımından faydalıdır.</w:t>
      </w:r>
    </w:p>
    <w:p>
      <w:pPr>
        <w:pStyle w:val="Heading1"/>
      </w:pPr>
      <w:r>
        <w:rPr>
          <w:rFonts w:ascii="Calibri" w:hAnsi="Calibri"/>
          <w:color w:val="1F4E79"/>
          <w:sz w:val="40"/>
        </w:rPr>
        <w:t>4.4 Statü Dağılımı</w:t>
      </w:r>
    </w:p>
    <w:p>
      <w:pPr>
        <w:jc w:val="center"/>
      </w:pPr>
      <w:r>
        <w:drawing>
          <wp:inline xmlns:a="http://schemas.openxmlformats.org/drawingml/2006/main" xmlns:pic="http://schemas.openxmlformats.org/drawingml/2006/picture">
            <wp:extent cx="4500000" cy="3272727"/>
            <wp:docPr id="11" name="Picture 11"/>
            <wp:cNvGraphicFramePr>
              <a:graphicFrameLocks noChangeAspect="1"/>
            </wp:cNvGraphicFramePr>
            <a:graphic>
              <a:graphicData uri="http://schemas.openxmlformats.org/drawingml/2006/picture">
                <pic:pic>
                  <pic:nvPicPr>
                    <pic:cNvPr id="0" name="status_pie.png"/>
                    <pic:cNvPicPr/>
                  </pic:nvPicPr>
                  <pic:blipFill>
                    <a:blip r:embed="rId19"/>
                    <a:stretch>
                      <a:fillRect/>
                    </a:stretch>
                  </pic:blipFill>
                  <pic:spPr>
                    <a:xfrm>
                      <a:off x="0" y="0"/>
                      <a:ext cx="4500000" cy="3272727"/>
                    </a:xfrm>
                    <a:prstGeom prst="rect"/>
                  </pic:spPr>
                </pic:pic>
              </a:graphicData>
            </a:graphic>
          </wp:inline>
        </w:drawing>
      </w:r>
    </w:p>
    <w:p>
      <w:pPr>
        <w:jc w:val="center"/>
      </w:pPr>
      <w:r>
        <w:rPr>
          <w:i/>
          <w:color w:val="666666"/>
          <w:sz w:val="20"/>
        </w:rPr>
        <w:t>Şekil 4.2 — Havuz statü dağılımı (anlık veritabanı).</w:t>
      </w:r>
    </w:p>
    <w:p>
      <w:pPr>
        <w:spacing w:after="120"/>
      </w:pPr>
      <w:r>
        <w:rPr>
          <w:rFonts w:ascii="Calibri" w:hAnsi="Calibri"/>
          <w:b w:val="0"/>
          <w:i w:val="0"/>
          <w:sz w:val="22"/>
        </w:rPr>
        <w:t>Veritabanı 2329 havuz kaydından oluşur. Bunların büyük çoğunluğu (yaklaşık %97) havuz statüsündedir. Müfredata giren dersler %2.2 civarındadır. Bu sonuç, sistemin havuz kavramının önemini doğrular: müfredatta kalan derslerin rastgele değil, ölçülmüş kriter altında havuzdan seçildiğini gösterir.</w:t>
      </w:r>
    </w:p>
    <w:p>
      <w:pPr>
        <w:pStyle w:val="Heading1"/>
      </w:pPr>
      <w:r>
        <w:rPr>
          <w:rFonts w:ascii="Calibri" w:hAnsi="Calibri"/>
          <w:color w:val="1F4E79"/>
          <w:sz w:val="40"/>
        </w:rPr>
        <w:t>4.5 ML Sınıflandırıcı Karşılaştırma</w:t>
      </w:r>
    </w:p>
    <w:p>
      <w:pPr>
        <w:spacing w:after="120"/>
      </w:pPr>
      <w:r>
        <w:rPr>
          <w:rFonts w:ascii="Calibri" w:hAnsi="Calibri"/>
          <w:b w:val="0"/>
          <w:i w:val="0"/>
          <w:sz w:val="22"/>
        </w:rPr>
        <w:t>Benchmark platformunda aynı veri kümesi üzerinde 5 ML sınıflandırıcısı çalıştırılmış ve accuracy / F1-macro metrikleri ölçülmüştür.</w:t>
      </w:r>
    </w:p>
    <w:tbl>
      <w:tblPr>
        <w:tblStyle w:val="LightGrid-Accent1"/>
        <w:tblW w:type="auto" w:w="0"/>
        <w:jc w:val="center"/>
        <w:tblLook w:firstColumn="1" w:firstRow="1" w:lastColumn="0" w:lastRow="0" w:noHBand="0" w:noVBand="1" w:val="04A0"/>
      </w:tblPr>
      <w:tblGrid>
        <w:gridCol w:w="1915"/>
        <w:gridCol w:w="1915"/>
        <w:gridCol w:w="1915"/>
        <w:gridCol w:w="1915"/>
        <w:gridCol w:w="1915"/>
      </w:tblGrid>
      <w:tr>
        <w:tc>
          <w:tcPr>
            <w:tcW w:type="dxa" w:w="2381"/>
            <w:shd w:fill="1F4E79" w:val="clear"/>
            <w:vAlign w:val="center"/>
          </w:tcPr>
          <w:p>
            <w:r/>
            <w:r>
              <w:rPr>
                <w:b/>
                <w:color w:val="FFFFFF"/>
                <w:sz w:val="22"/>
              </w:rPr>
              <w:t>Algoritma</w:t>
            </w:r>
          </w:p>
        </w:tc>
        <w:tc>
          <w:tcPr>
            <w:tcW w:type="dxa" w:w="1417"/>
            <w:shd w:fill="1F4E79" w:val="clear"/>
            <w:vAlign w:val="center"/>
          </w:tcPr>
          <w:p>
            <w:r/>
            <w:r>
              <w:rPr>
                <w:b/>
                <w:color w:val="FFFFFF"/>
                <w:sz w:val="22"/>
              </w:rPr>
              <w:t>Accuracy</w:t>
            </w:r>
          </w:p>
        </w:tc>
        <w:tc>
          <w:tcPr>
            <w:tcW w:type="dxa" w:w="1417"/>
            <w:shd w:fill="1F4E79" w:val="clear"/>
            <w:vAlign w:val="center"/>
          </w:tcPr>
          <w:p>
            <w:r/>
            <w:r>
              <w:rPr>
                <w:b/>
                <w:color w:val="FFFFFF"/>
                <w:sz w:val="22"/>
              </w:rPr>
              <w:t>F1 (macro)</w:t>
            </w:r>
          </w:p>
        </w:tc>
        <w:tc>
          <w:tcPr>
            <w:tcW w:type="dxa" w:w="1701"/>
            <w:shd w:fill="1F4E79" w:val="clear"/>
            <w:vAlign w:val="center"/>
          </w:tcPr>
          <w:p>
            <w:r/>
            <w:r>
              <w:rPr>
                <w:b/>
                <w:color w:val="FFFFFF"/>
                <w:sz w:val="22"/>
              </w:rPr>
              <w:t>Eğitim süresi (ms)</w:t>
            </w:r>
          </w:p>
        </w:tc>
        <w:tc>
          <w:tcPr>
            <w:tcW w:type="dxa" w:w="1984"/>
            <w:shd w:fill="1F4E79" w:val="clear"/>
            <w:vAlign w:val="center"/>
          </w:tcPr>
          <w:p>
            <w:r/>
            <w:r>
              <w:rPr>
                <w:b/>
                <w:color w:val="FFFFFF"/>
                <w:sz w:val="22"/>
              </w:rPr>
              <w:t>Açıklanabilirlik</w:t>
            </w:r>
          </w:p>
        </w:tc>
      </w:tr>
      <w:tr>
        <w:tc>
          <w:tcPr>
            <w:tcW w:type="dxa" w:w="2381"/>
            <w:vAlign w:val="center"/>
          </w:tcPr>
          <w:p>
            <w:r/>
            <w:r>
              <w:rPr>
                <w:sz w:val="20"/>
              </w:rPr>
              <w:t>Linear Regression</w:t>
            </w:r>
          </w:p>
        </w:tc>
        <w:tc>
          <w:tcPr>
            <w:tcW w:type="dxa" w:w="1417"/>
            <w:vAlign w:val="center"/>
          </w:tcPr>
          <w:p>
            <w:r/>
            <w:r>
              <w:rPr>
                <w:sz w:val="20"/>
              </w:rPr>
              <w:t>0.71</w:t>
            </w:r>
          </w:p>
        </w:tc>
        <w:tc>
          <w:tcPr>
            <w:tcW w:type="dxa" w:w="1417"/>
            <w:vAlign w:val="center"/>
          </w:tcPr>
          <w:p>
            <w:r/>
            <w:r>
              <w:rPr>
                <w:sz w:val="20"/>
              </w:rPr>
              <w:t>0.68</w:t>
            </w:r>
          </w:p>
        </w:tc>
        <w:tc>
          <w:tcPr>
            <w:tcW w:type="dxa" w:w="1701"/>
            <w:vAlign w:val="center"/>
          </w:tcPr>
          <w:p>
            <w:r/>
            <w:r>
              <w:rPr>
                <w:sz w:val="20"/>
              </w:rPr>
              <w:t>12</w:t>
            </w:r>
          </w:p>
        </w:tc>
        <w:tc>
          <w:tcPr>
            <w:tcW w:type="dxa" w:w="1984"/>
            <w:vAlign w:val="center"/>
          </w:tcPr>
          <w:p>
            <w:r/>
            <w:r>
              <w:rPr>
                <w:sz w:val="20"/>
              </w:rPr>
              <w:t>Yüksek (katsayı)</w:t>
            </w:r>
          </w:p>
        </w:tc>
      </w:tr>
      <w:tr>
        <w:tc>
          <w:tcPr>
            <w:tcW w:type="dxa" w:w="2381"/>
            <w:vAlign w:val="center"/>
            <w:shd w:fill="F2F6FA" w:val="clear"/>
          </w:tcPr>
          <w:p>
            <w:r/>
            <w:r>
              <w:rPr>
                <w:sz w:val="20"/>
              </w:rPr>
              <w:t>Decision Tree</w:t>
            </w:r>
          </w:p>
        </w:tc>
        <w:tc>
          <w:tcPr>
            <w:tcW w:type="dxa" w:w="1417"/>
            <w:vAlign w:val="center"/>
            <w:shd w:fill="F2F6FA" w:val="clear"/>
          </w:tcPr>
          <w:p>
            <w:r/>
            <w:r>
              <w:rPr>
                <w:sz w:val="20"/>
              </w:rPr>
              <w:t>0.74</w:t>
            </w:r>
          </w:p>
        </w:tc>
        <w:tc>
          <w:tcPr>
            <w:tcW w:type="dxa" w:w="1417"/>
            <w:vAlign w:val="center"/>
            <w:shd w:fill="F2F6FA" w:val="clear"/>
          </w:tcPr>
          <w:p>
            <w:r/>
            <w:r>
              <w:rPr>
                <w:sz w:val="20"/>
              </w:rPr>
              <w:t>0.72</w:t>
            </w:r>
          </w:p>
        </w:tc>
        <w:tc>
          <w:tcPr>
            <w:tcW w:type="dxa" w:w="1701"/>
            <w:vAlign w:val="center"/>
            <w:shd w:fill="F2F6FA" w:val="clear"/>
          </w:tcPr>
          <w:p>
            <w:r/>
            <w:r>
              <w:rPr>
                <w:sz w:val="20"/>
              </w:rPr>
              <w:t>32</w:t>
            </w:r>
          </w:p>
        </w:tc>
        <w:tc>
          <w:tcPr>
            <w:tcW w:type="dxa" w:w="1984"/>
            <w:vAlign w:val="center"/>
            <w:shd w:fill="F2F6FA" w:val="clear"/>
          </w:tcPr>
          <w:p>
            <w:r/>
            <w:r>
              <w:rPr>
                <w:sz w:val="20"/>
              </w:rPr>
              <w:t>Çok yüksek (kural)</w:t>
            </w:r>
          </w:p>
        </w:tc>
      </w:tr>
      <w:tr>
        <w:tc>
          <w:tcPr>
            <w:tcW w:type="dxa" w:w="2381"/>
            <w:vAlign w:val="center"/>
          </w:tcPr>
          <w:p>
            <w:r/>
            <w:r>
              <w:rPr>
                <w:sz w:val="20"/>
              </w:rPr>
              <w:t>Random Forest</w:t>
            </w:r>
          </w:p>
        </w:tc>
        <w:tc>
          <w:tcPr>
            <w:tcW w:type="dxa" w:w="1417"/>
            <w:vAlign w:val="center"/>
          </w:tcPr>
          <w:p>
            <w:r/>
            <w:r>
              <w:rPr>
                <w:sz w:val="20"/>
              </w:rPr>
              <w:t>0.82</w:t>
            </w:r>
          </w:p>
        </w:tc>
        <w:tc>
          <w:tcPr>
            <w:tcW w:type="dxa" w:w="1417"/>
            <w:vAlign w:val="center"/>
          </w:tcPr>
          <w:p>
            <w:r/>
            <w:r>
              <w:rPr>
                <w:sz w:val="20"/>
              </w:rPr>
              <w:t>0.81</w:t>
            </w:r>
          </w:p>
        </w:tc>
        <w:tc>
          <w:tcPr>
            <w:tcW w:type="dxa" w:w="1701"/>
            <w:vAlign w:val="center"/>
          </w:tcPr>
          <w:p>
            <w:r/>
            <w:r>
              <w:rPr>
                <w:sz w:val="20"/>
              </w:rPr>
              <w:t>210</w:t>
            </w:r>
          </w:p>
        </w:tc>
        <w:tc>
          <w:tcPr>
            <w:tcW w:type="dxa" w:w="1984"/>
            <w:vAlign w:val="center"/>
          </w:tcPr>
          <w:p>
            <w:r/>
            <w:r>
              <w:rPr>
                <w:sz w:val="20"/>
              </w:rPr>
              <w:t>Orta (feature imp.)</w:t>
            </w:r>
          </w:p>
        </w:tc>
      </w:tr>
      <w:tr>
        <w:tc>
          <w:tcPr>
            <w:tcW w:type="dxa" w:w="2381"/>
            <w:vAlign w:val="center"/>
            <w:shd w:fill="F2F6FA" w:val="clear"/>
          </w:tcPr>
          <w:p>
            <w:r/>
            <w:r>
              <w:rPr>
                <w:sz w:val="20"/>
              </w:rPr>
              <w:t>Naive Bayes</w:t>
            </w:r>
          </w:p>
        </w:tc>
        <w:tc>
          <w:tcPr>
            <w:tcW w:type="dxa" w:w="1417"/>
            <w:vAlign w:val="center"/>
            <w:shd w:fill="F2F6FA" w:val="clear"/>
          </w:tcPr>
          <w:p>
            <w:r/>
            <w:r>
              <w:rPr>
                <w:sz w:val="20"/>
              </w:rPr>
              <w:t>0.69</w:t>
            </w:r>
          </w:p>
        </w:tc>
        <w:tc>
          <w:tcPr>
            <w:tcW w:type="dxa" w:w="1417"/>
            <w:vAlign w:val="center"/>
            <w:shd w:fill="F2F6FA" w:val="clear"/>
          </w:tcPr>
          <w:p>
            <w:r/>
            <w:r>
              <w:rPr>
                <w:sz w:val="20"/>
              </w:rPr>
              <w:t>0.65</w:t>
            </w:r>
          </w:p>
        </w:tc>
        <w:tc>
          <w:tcPr>
            <w:tcW w:type="dxa" w:w="1701"/>
            <w:vAlign w:val="center"/>
            <w:shd w:fill="F2F6FA" w:val="clear"/>
          </w:tcPr>
          <w:p>
            <w:r/>
            <w:r>
              <w:rPr>
                <w:sz w:val="20"/>
              </w:rPr>
              <w:t>5</w:t>
            </w:r>
          </w:p>
        </w:tc>
        <w:tc>
          <w:tcPr>
            <w:tcW w:type="dxa" w:w="1984"/>
            <w:vAlign w:val="center"/>
            <w:shd w:fill="F2F6FA" w:val="clear"/>
          </w:tcPr>
          <w:p>
            <w:r/>
            <w:r>
              <w:rPr>
                <w:sz w:val="20"/>
              </w:rPr>
              <w:t>Orta</w:t>
            </w:r>
          </w:p>
        </w:tc>
      </w:tr>
      <w:tr>
        <w:tc>
          <w:tcPr>
            <w:tcW w:type="dxa" w:w="2381"/>
            <w:vAlign w:val="center"/>
          </w:tcPr>
          <w:p>
            <w:r/>
            <w:r>
              <w:rPr>
                <w:sz w:val="20"/>
              </w:rPr>
              <w:t>XGB / GB</w:t>
            </w:r>
          </w:p>
        </w:tc>
        <w:tc>
          <w:tcPr>
            <w:tcW w:type="dxa" w:w="1417"/>
            <w:vAlign w:val="center"/>
          </w:tcPr>
          <w:p>
            <w:r/>
            <w:r>
              <w:rPr>
                <w:sz w:val="20"/>
              </w:rPr>
              <w:t>0.84</w:t>
            </w:r>
          </w:p>
        </w:tc>
        <w:tc>
          <w:tcPr>
            <w:tcW w:type="dxa" w:w="1417"/>
            <w:vAlign w:val="center"/>
          </w:tcPr>
          <w:p>
            <w:r/>
            <w:r>
              <w:rPr>
                <w:sz w:val="20"/>
              </w:rPr>
              <w:t>0.83</w:t>
            </w:r>
          </w:p>
        </w:tc>
        <w:tc>
          <w:tcPr>
            <w:tcW w:type="dxa" w:w="1701"/>
            <w:vAlign w:val="center"/>
          </w:tcPr>
          <w:p>
            <w:r/>
            <w:r>
              <w:rPr>
                <w:sz w:val="20"/>
              </w:rPr>
              <w:t>320</w:t>
            </w:r>
          </w:p>
        </w:tc>
        <w:tc>
          <w:tcPr>
            <w:tcW w:type="dxa" w:w="1984"/>
            <w:vAlign w:val="center"/>
          </w:tcPr>
          <w:p>
            <w:r/>
            <w:r>
              <w:rPr>
                <w:sz w:val="20"/>
              </w:rPr>
              <w:t>Orta-yüksek</w:t>
            </w:r>
          </w:p>
        </w:tc>
      </w:tr>
    </w:tbl>
    <w:p>
      <w:pPr>
        <w:jc w:val="center"/>
      </w:pPr>
      <w:r>
        <w:drawing>
          <wp:inline xmlns:a="http://schemas.openxmlformats.org/drawingml/2006/main" xmlns:pic="http://schemas.openxmlformats.org/drawingml/2006/picture">
            <wp:extent cx="5580000" cy="2869714"/>
            <wp:docPr id="12" name="Picture 12"/>
            <wp:cNvGraphicFramePr>
              <a:graphicFrameLocks noChangeAspect="1"/>
            </wp:cNvGraphicFramePr>
            <a:graphic>
              <a:graphicData uri="http://schemas.openxmlformats.org/drawingml/2006/picture">
                <pic:pic>
                  <pic:nvPicPr>
                    <pic:cNvPr id="0" name="metric_comparison.png"/>
                    <pic:cNvPicPr/>
                  </pic:nvPicPr>
                  <pic:blipFill>
                    <a:blip r:embed="rId16"/>
                    <a:stretch>
                      <a:fillRect/>
                    </a:stretch>
                  </pic:blipFill>
                  <pic:spPr>
                    <a:xfrm>
                      <a:off x="0" y="0"/>
                      <a:ext cx="5580000" cy="2869714"/>
                    </a:xfrm>
                    <a:prstGeom prst="rect"/>
                  </pic:spPr>
                </pic:pic>
              </a:graphicData>
            </a:graphic>
          </wp:inline>
        </w:drawing>
      </w:r>
    </w:p>
    <w:p>
      <w:pPr>
        <w:jc w:val="center"/>
      </w:pPr>
      <w:r>
        <w:rPr>
          <w:i/>
          <w:color w:val="666666"/>
          <w:sz w:val="20"/>
        </w:rPr>
        <w:t>Şekil 4.3 — Accuracy ve F1 metrikleri.</w:t>
      </w:r>
    </w:p>
    <w:p>
      <w:pPr>
        <w:spacing w:after="120"/>
      </w:pPr>
      <w:r>
        <w:rPr>
          <w:rFonts w:ascii="Calibri" w:hAnsi="Calibri"/>
          <w:b w:val="0"/>
          <w:i w:val="0"/>
          <w:sz w:val="22"/>
        </w:rPr>
        <w:t>XGBoost / Gradient Boosting en yüksek doğruluğa ulaşmıştır, ancak Decision Tree’nin yüksek açıklanabilirliği nedeniyle danışmanlık (advisory) tarafında tercih edilmesi mümkündür.</w:t>
      </w:r>
    </w:p>
    <w:p>
      <w:pPr>
        <w:pStyle w:val="Heading1"/>
      </w:pPr>
      <w:r>
        <w:rPr>
          <w:rFonts w:ascii="Calibri" w:hAnsi="Calibri"/>
          <w:color w:val="1F4E79"/>
          <w:sz w:val="40"/>
        </w:rPr>
        <w:t>4.6 Trend Senaryoları</w:t>
      </w:r>
    </w:p>
    <w:p>
      <w:pPr>
        <w:spacing w:after="120"/>
      </w:pPr>
      <w:r>
        <w:rPr>
          <w:rFonts w:ascii="Calibri" w:hAnsi="Calibri"/>
          <w:b w:val="0"/>
          <w:i w:val="0"/>
          <w:sz w:val="22"/>
        </w:rPr>
        <w:t>Trend hesabının veri eksikliği altında nasıl davrandığını test etmek için üç senaryo üzerinden deneme yapılmıştır:</w:t>
      </w:r>
    </w:p>
    <w:tbl>
      <w:tblPr>
        <w:tblStyle w:val="LightGrid-Accent1"/>
        <w:tblW w:type="auto" w:w="0"/>
        <w:jc w:val="center"/>
        <w:tblLook w:firstColumn="1" w:firstRow="1" w:lastColumn="0" w:lastRow="0" w:noHBand="0" w:noVBand="1" w:val="04A0"/>
      </w:tblPr>
      <w:tblGrid>
        <w:gridCol w:w="2394"/>
        <w:gridCol w:w="2394"/>
        <w:gridCol w:w="2394"/>
        <w:gridCol w:w="2394"/>
      </w:tblGrid>
      <w:tr>
        <w:tc>
          <w:tcPr>
            <w:tcW w:type="dxa" w:w="1984"/>
            <w:shd w:fill="1F4E79" w:val="clear"/>
            <w:vAlign w:val="center"/>
          </w:tcPr>
          <w:p>
            <w:r/>
            <w:r>
              <w:rPr>
                <w:b/>
                <w:color w:val="FFFFFF"/>
                <w:sz w:val="22"/>
              </w:rPr>
              <w:t>Senaryo</w:t>
            </w:r>
          </w:p>
        </w:tc>
        <w:tc>
          <w:tcPr>
            <w:tcW w:type="dxa" w:w="1984"/>
            <w:shd w:fill="1F4E79" w:val="clear"/>
            <w:vAlign w:val="center"/>
          </w:tcPr>
          <w:p>
            <w:r/>
            <w:r>
              <w:rPr>
                <w:b/>
                <w:color w:val="FFFFFF"/>
                <w:sz w:val="22"/>
              </w:rPr>
              <w:t>Mevcut Yıllar</w:t>
            </w:r>
          </w:p>
        </w:tc>
        <w:tc>
          <w:tcPr>
            <w:tcW w:type="dxa" w:w="2268"/>
            <w:shd w:fill="1F4E79" w:val="clear"/>
            <w:vAlign w:val="center"/>
          </w:tcPr>
          <w:p>
            <w:r/>
            <w:r>
              <w:rPr>
                <w:b/>
                <w:color w:val="FFFFFF"/>
                <w:sz w:val="22"/>
              </w:rPr>
              <w:t>Ağırlıklar</w:t>
            </w:r>
          </w:p>
        </w:tc>
        <w:tc>
          <w:tcPr>
            <w:tcW w:type="dxa" w:w="2268"/>
            <w:shd w:fill="1F4E79" w:val="clear"/>
            <w:vAlign w:val="center"/>
          </w:tcPr>
          <w:p>
            <w:r/>
            <w:r>
              <w:rPr>
                <w:b/>
                <w:color w:val="FFFFFF"/>
                <w:sz w:val="22"/>
              </w:rPr>
              <w:t>Trend Çıktısı</w:t>
            </w:r>
          </w:p>
        </w:tc>
      </w:tr>
      <w:tr>
        <w:tc>
          <w:tcPr>
            <w:tcW w:type="dxa" w:w="1984"/>
            <w:vAlign w:val="center"/>
          </w:tcPr>
          <w:p>
            <w:r/>
            <w:r>
              <w:rPr>
                <w:sz w:val="20"/>
              </w:rPr>
              <w:t>Tam veri</w:t>
            </w:r>
          </w:p>
        </w:tc>
        <w:tc>
          <w:tcPr>
            <w:tcW w:type="dxa" w:w="1984"/>
            <w:vAlign w:val="center"/>
          </w:tcPr>
          <w:p>
            <w:r/>
            <w:r>
              <w:rPr>
                <w:sz w:val="20"/>
              </w:rPr>
              <w:t>2020, 2021, 2022</w:t>
            </w:r>
          </w:p>
        </w:tc>
        <w:tc>
          <w:tcPr>
            <w:tcW w:type="dxa" w:w="2268"/>
            <w:vAlign w:val="center"/>
          </w:tcPr>
          <w:p>
            <w:r/>
            <w:r>
              <w:rPr>
                <w:sz w:val="20"/>
              </w:rPr>
              <w:t>0.20 / 0.30 / 0.50</w:t>
            </w:r>
          </w:p>
        </w:tc>
        <w:tc>
          <w:tcPr>
            <w:tcW w:type="dxa" w:w="2268"/>
            <w:vAlign w:val="center"/>
          </w:tcPr>
          <w:p>
            <w:r/>
            <w:r>
              <w:rPr>
                <w:sz w:val="20"/>
              </w:rPr>
              <w:t>0.762</w:t>
            </w:r>
          </w:p>
        </w:tc>
      </w:tr>
      <w:tr>
        <w:tc>
          <w:tcPr>
            <w:tcW w:type="dxa" w:w="1984"/>
            <w:vAlign w:val="center"/>
            <w:shd w:fill="F2F6FA" w:val="clear"/>
          </w:tcPr>
          <w:p>
            <w:r/>
            <w:r>
              <w:rPr>
                <w:sz w:val="20"/>
              </w:rPr>
              <w:t>Eksik 1 yıl</w:t>
            </w:r>
          </w:p>
        </w:tc>
        <w:tc>
          <w:tcPr>
            <w:tcW w:type="dxa" w:w="1984"/>
            <w:vAlign w:val="center"/>
            <w:shd w:fill="F2F6FA" w:val="clear"/>
          </w:tcPr>
          <w:p>
            <w:r/>
            <w:r>
              <w:rPr>
                <w:sz w:val="20"/>
              </w:rPr>
              <w:t>2021, 2022</w:t>
            </w:r>
          </w:p>
        </w:tc>
        <w:tc>
          <w:tcPr>
            <w:tcW w:type="dxa" w:w="2268"/>
            <w:vAlign w:val="center"/>
            <w:shd w:fill="F2F6FA" w:val="clear"/>
          </w:tcPr>
          <w:p>
            <w:r/>
            <w:r>
              <w:rPr>
                <w:sz w:val="20"/>
              </w:rPr>
              <w:t>0.30 → 0.375 / 0.50 → 0.625</w:t>
            </w:r>
          </w:p>
        </w:tc>
        <w:tc>
          <w:tcPr>
            <w:tcW w:type="dxa" w:w="2268"/>
            <w:vAlign w:val="center"/>
            <w:shd w:fill="F2F6FA" w:val="clear"/>
          </w:tcPr>
          <w:p>
            <w:r/>
            <w:r>
              <w:rPr>
                <w:sz w:val="20"/>
              </w:rPr>
              <w:t>0.790</w:t>
            </w:r>
          </w:p>
        </w:tc>
      </w:tr>
      <w:tr>
        <w:tc>
          <w:tcPr>
            <w:tcW w:type="dxa" w:w="1984"/>
            <w:vAlign w:val="center"/>
          </w:tcPr>
          <w:p>
            <w:r/>
            <w:r>
              <w:rPr>
                <w:sz w:val="20"/>
              </w:rPr>
              <w:t>Eksik 2 yıl</w:t>
            </w:r>
          </w:p>
        </w:tc>
        <w:tc>
          <w:tcPr>
            <w:tcW w:type="dxa" w:w="1984"/>
            <w:vAlign w:val="center"/>
          </w:tcPr>
          <w:p>
            <w:r/>
            <w:r>
              <w:rPr>
                <w:sz w:val="20"/>
              </w:rPr>
              <w:t>Yalnız 2022</w:t>
            </w:r>
          </w:p>
        </w:tc>
        <w:tc>
          <w:tcPr>
            <w:tcW w:type="dxa" w:w="2268"/>
            <w:vAlign w:val="center"/>
          </w:tcPr>
          <w:p>
            <w:r/>
            <w:r>
              <w:rPr>
                <w:sz w:val="20"/>
              </w:rPr>
              <w:t>1.00</w:t>
            </w:r>
          </w:p>
        </w:tc>
        <w:tc>
          <w:tcPr>
            <w:tcW w:type="dxa" w:w="2268"/>
            <w:vAlign w:val="center"/>
          </w:tcPr>
          <w:p>
            <w:r/>
            <w:r>
              <w:rPr>
                <w:sz w:val="20"/>
              </w:rPr>
              <w:t>0.840</w:t>
            </w:r>
          </w:p>
        </w:tc>
      </w:tr>
      <w:tr>
        <w:tc>
          <w:tcPr>
            <w:tcW w:type="dxa" w:w="1984"/>
            <w:vAlign w:val="center"/>
            <w:shd w:fill="F2F6FA" w:val="clear"/>
          </w:tcPr>
          <w:p>
            <w:r/>
            <w:r>
              <w:rPr>
                <w:sz w:val="20"/>
              </w:rPr>
              <w:t>Hiç veri yok</w:t>
            </w:r>
          </w:p>
        </w:tc>
        <w:tc>
          <w:tcPr>
            <w:tcW w:type="dxa" w:w="1984"/>
            <w:vAlign w:val="center"/>
            <w:shd w:fill="F2F6FA" w:val="clear"/>
          </w:tcPr>
          <w:p>
            <w:r/>
            <w:r>
              <w:rPr>
                <w:sz w:val="20"/>
              </w:rPr>
              <w:t>—</w:t>
            </w:r>
          </w:p>
        </w:tc>
        <w:tc>
          <w:tcPr>
            <w:tcW w:type="dxa" w:w="2268"/>
            <w:vAlign w:val="center"/>
            <w:shd w:fill="F2F6FA" w:val="clear"/>
          </w:tcPr>
          <w:p>
            <w:r/>
            <w:r>
              <w:rPr>
                <w:sz w:val="20"/>
              </w:rPr>
              <w:t>—</w:t>
            </w:r>
          </w:p>
        </w:tc>
        <w:tc>
          <w:tcPr>
            <w:tcW w:type="dxa" w:w="2268"/>
            <w:vAlign w:val="center"/>
            <w:shd w:fill="F2F6FA" w:val="clear"/>
          </w:tcPr>
          <w:p>
            <w:r/>
            <w:r>
              <w:rPr>
                <w:sz w:val="20"/>
              </w:rPr>
              <w:t>0.500 (nötr)</w:t>
            </w:r>
          </w:p>
        </w:tc>
      </w:tr>
    </w:tbl>
    <w:p>
      <w:pPr>
        <w:spacing w:after="120"/>
      </w:pPr>
      <w:r>
        <w:rPr>
          <w:rFonts w:ascii="Calibri" w:hAnsi="Calibri"/>
          <w:b w:val="0"/>
          <w:i w:val="0"/>
          <w:sz w:val="22"/>
        </w:rPr>
        <w:t>Sonuçlar göstermektedir ki yeniden ölçekleme stratejisi, trend sinyalinin tamamen kaybolmasına izin vermez; ancak geçmiş veri bulunmayan başlangıç yılında nötr (0.5) değer kullanarak yanlı bir karar üretilmesini engeller.</w:t>
      </w:r>
    </w:p>
    <w:p>
      <w:pPr>
        <w:pStyle w:val="Heading1"/>
      </w:pPr>
      <w:r>
        <w:rPr>
          <w:rFonts w:ascii="Calibri" w:hAnsi="Calibri"/>
          <w:color w:val="1F4E79"/>
          <w:sz w:val="40"/>
        </w:rPr>
        <w:t>4.7 Çift Dönem Üretim Sonuçları</w:t>
      </w:r>
    </w:p>
    <w:p>
      <w:pPr>
        <w:jc w:val="center"/>
      </w:pPr>
      <w:r>
        <w:drawing>
          <wp:inline xmlns:a="http://schemas.openxmlformats.org/drawingml/2006/main" xmlns:pic="http://schemas.openxmlformats.org/drawingml/2006/picture">
            <wp:extent cx="5400000" cy="2858824"/>
            <wp:docPr id="13" name="Picture 13"/>
            <wp:cNvGraphicFramePr>
              <a:graphicFrameLocks noChangeAspect="1"/>
            </wp:cNvGraphicFramePr>
            <a:graphic>
              <a:graphicData uri="http://schemas.openxmlformats.org/drawingml/2006/picture">
                <pic:pic>
                  <pic:nvPicPr>
                    <pic:cNvPr id="0" name="dual_semester.png"/>
                    <pic:cNvPicPr/>
                  </pic:nvPicPr>
                  <pic:blipFill>
                    <a:blip r:embed="rId15"/>
                    <a:stretch>
                      <a:fillRect/>
                    </a:stretch>
                  </pic:blipFill>
                  <pic:spPr>
                    <a:xfrm>
                      <a:off x="0" y="0"/>
                      <a:ext cx="5400000" cy="2858824"/>
                    </a:xfrm>
                    <a:prstGeom prst="rect"/>
                  </pic:spPr>
                </pic:pic>
              </a:graphicData>
            </a:graphic>
          </wp:inline>
        </w:drawing>
      </w:r>
    </w:p>
    <w:p>
      <w:pPr>
        <w:jc w:val="center"/>
      </w:pPr>
      <w:r>
        <w:rPr>
          <w:i/>
          <w:color w:val="666666"/>
          <w:sz w:val="20"/>
        </w:rPr>
        <w:t>Şekil 4.4 — 4+4 çift dönem üretim örneği.</w:t>
      </w:r>
    </w:p>
    <w:p>
      <w:pPr>
        <w:spacing w:after="120"/>
      </w:pPr>
      <w:r>
        <w:rPr>
          <w:rFonts w:ascii="Calibri" w:hAnsi="Calibri"/>
          <w:b w:val="0"/>
          <w:i w:val="0"/>
          <w:sz w:val="22"/>
        </w:rPr>
        <w:t>Algoritma, kesinleşme puanına göre sıraladığı dersleri güz ve bahar dönemlerine en yüksekten başlayarak yerleştirir. Aynı ders her iki dönemde de açılmaz; kontenjan/öğretim üyesi kısıtları sağlanır. Test senaryosunda 4 güz + 4 bahar = 8 ders başarıyla dağıtılmıştır.</w:t>
      </w:r>
    </w:p>
    <w:p>
      <w:pPr>
        <w:pStyle w:val="Heading1"/>
      </w:pPr>
      <w:r>
        <w:rPr>
          <w:rFonts w:ascii="Calibri" w:hAnsi="Calibri"/>
          <w:color w:val="1F4E79"/>
          <w:sz w:val="40"/>
        </w:rPr>
        <w:t>4.8 Açıklanabilirlik ve Sonuç Yorumu</w:t>
      </w:r>
    </w:p>
    <w:p>
      <w:pPr>
        <w:jc w:val="center"/>
      </w:pPr>
      <w:r>
        <w:drawing>
          <wp:inline xmlns:a="http://schemas.openxmlformats.org/drawingml/2006/main" xmlns:pic="http://schemas.openxmlformats.org/drawingml/2006/picture">
            <wp:extent cx="5400000" cy="3323077"/>
            <wp:docPr id="14" name="Picture 14"/>
            <wp:cNvGraphicFramePr>
              <a:graphicFrameLocks noChangeAspect="1"/>
            </wp:cNvGraphicFramePr>
            <a:graphic>
              <a:graphicData uri="http://schemas.openxmlformats.org/drawingml/2006/picture">
                <pic:pic>
                  <pic:nvPicPr>
                    <pic:cNvPr id="0" name="basari_vs_doluluk.png"/>
                    <pic:cNvPicPr/>
                  </pic:nvPicPr>
                  <pic:blipFill>
                    <a:blip r:embed="rId20"/>
                    <a:stretch>
                      <a:fillRect/>
                    </a:stretch>
                  </pic:blipFill>
                  <pic:spPr>
                    <a:xfrm>
                      <a:off x="0" y="0"/>
                      <a:ext cx="5400000" cy="3323077"/>
                    </a:xfrm>
                    <a:prstGeom prst="rect"/>
                  </pic:spPr>
                </pic:pic>
              </a:graphicData>
            </a:graphic>
          </wp:inline>
        </w:drawing>
      </w:r>
    </w:p>
    <w:p>
      <w:pPr>
        <w:jc w:val="center"/>
      </w:pPr>
      <w:r>
        <w:rPr>
          <w:i/>
          <w:color w:val="666666"/>
          <w:sz w:val="20"/>
        </w:rPr>
        <w:t>Şekil 4.5 — Başarı ve doluluk dağılımının kesinleşme puanına etkisi.</w:t>
      </w:r>
    </w:p>
    <w:p>
      <w:pPr>
        <w:spacing w:after="120"/>
      </w:pPr>
      <w:r>
        <w:rPr>
          <w:rFonts w:ascii="Calibri" w:hAnsi="Calibri"/>
          <w:b w:val="0"/>
          <w:i w:val="0"/>
          <w:sz w:val="22"/>
        </w:rPr>
        <w:t>Bu scatter grafikte her noktanın renk tonu kesinleşme puanını gösterir. Başarı arttıkça kesinleşme puanı belirgin şekilde yükselmektedir; bu da sistemin başarı kriterine verdiği ağırlığın sonuca yansıdığının görsel kanıtıdır. Aynı zamanda yüksek dolulukla yüksek başarının birleştiği dersler, sistemin “güçlü aday” olarak işaretlediği derslerdir.</w:t>
      </w:r>
    </w:p>
    <w:p>
      <w:pPr>
        <w:pStyle w:val="Heading1"/>
      </w:pPr>
      <w:r>
        <w:rPr>
          <w:rFonts w:ascii="Calibri" w:hAnsi="Calibri"/>
          <w:color w:val="1F4E79"/>
          <w:sz w:val="40"/>
        </w:rPr>
        <w:t>4.9 Allocation Adalet Metrikleri Karşılaştırma</w:t>
      </w:r>
    </w:p>
    <w:p>
      <w:pPr>
        <w:spacing w:after="120"/>
      </w:pPr>
      <w:r>
        <w:rPr>
          <w:rFonts w:ascii="Calibri" w:hAnsi="Calibri"/>
          <w:b w:val="0"/>
          <w:i w:val="0"/>
          <w:sz w:val="22"/>
        </w:rPr>
        <w:t>Aynı öğrenci-ders tercih kümesi üzerinde beş atama algoritması çalıştırılmış; ortalama tercih rank’i, top-3 tatmin oranı, envy skoru ve koltuk doluluk oranları karşılaştırılmıştır.</w:t>
      </w:r>
    </w:p>
    <w:tbl>
      <w:tblPr>
        <w:tblStyle w:val="LightGrid-Accent1"/>
        <w:tblW w:type="auto" w:w="0"/>
        <w:jc w:val="center"/>
        <w:tblLook w:firstColumn="1" w:firstRow="1" w:lastColumn="0" w:lastRow="0" w:noHBand="0" w:noVBand="1" w:val="04A0"/>
      </w:tblPr>
      <w:tblGrid>
        <w:gridCol w:w="1915"/>
        <w:gridCol w:w="1915"/>
        <w:gridCol w:w="1915"/>
        <w:gridCol w:w="1915"/>
        <w:gridCol w:w="1915"/>
      </w:tblGrid>
      <w:tr>
        <w:tc>
          <w:tcPr>
            <w:tcW w:type="dxa" w:w="2268"/>
            <w:shd w:fill="1F4E79" w:val="clear"/>
            <w:vAlign w:val="center"/>
          </w:tcPr>
          <w:p>
            <w:r/>
            <w:r>
              <w:rPr>
                <w:b/>
                <w:color w:val="FFFFFF"/>
                <w:sz w:val="22"/>
              </w:rPr>
              <w:t>Algoritma</w:t>
            </w:r>
          </w:p>
        </w:tc>
        <w:tc>
          <w:tcPr>
            <w:tcW w:type="dxa" w:w="1531"/>
            <w:shd w:fill="1F4E79" w:val="clear"/>
            <w:vAlign w:val="center"/>
          </w:tcPr>
          <w:p>
            <w:r/>
            <w:r>
              <w:rPr>
                <w:b/>
                <w:color w:val="FFFFFF"/>
                <w:sz w:val="22"/>
              </w:rPr>
              <w:t>Ort. Rank ↓</w:t>
            </w:r>
          </w:p>
        </w:tc>
        <w:tc>
          <w:tcPr>
            <w:tcW w:type="dxa" w:w="1531"/>
            <w:shd w:fill="1F4E79" w:val="clear"/>
            <w:vAlign w:val="center"/>
          </w:tcPr>
          <w:p>
            <w:r/>
            <w:r>
              <w:rPr>
                <w:b/>
                <w:color w:val="FFFFFF"/>
                <w:sz w:val="22"/>
              </w:rPr>
              <w:t>Top-3 % ↑</w:t>
            </w:r>
          </w:p>
        </w:tc>
        <w:tc>
          <w:tcPr>
            <w:tcW w:type="dxa" w:w="1417"/>
            <w:shd w:fill="1F4E79" w:val="clear"/>
            <w:vAlign w:val="center"/>
          </w:tcPr>
          <w:p>
            <w:r/>
            <w:r>
              <w:rPr>
                <w:b/>
                <w:color w:val="FFFFFF"/>
                <w:sz w:val="22"/>
              </w:rPr>
              <w:t>Envy ↓</w:t>
            </w:r>
          </w:p>
        </w:tc>
        <w:tc>
          <w:tcPr>
            <w:tcW w:type="dxa" w:w="1417"/>
            <w:shd w:fill="1F4E79" w:val="clear"/>
            <w:vAlign w:val="center"/>
          </w:tcPr>
          <w:p>
            <w:r/>
            <w:r>
              <w:rPr>
                <w:b/>
                <w:color w:val="FFFFFF"/>
                <w:sz w:val="22"/>
              </w:rPr>
              <w:t>Koltuk %</w:t>
            </w:r>
          </w:p>
        </w:tc>
      </w:tr>
      <w:tr>
        <w:tc>
          <w:tcPr>
            <w:tcW w:type="dxa" w:w="2268"/>
            <w:vAlign w:val="center"/>
          </w:tcPr>
          <w:p>
            <w:r/>
            <w:r>
              <w:rPr>
                <w:sz w:val="20"/>
              </w:rPr>
              <w:t>Random</w:t>
            </w:r>
          </w:p>
        </w:tc>
        <w:tc>
          <w:tcPr>
            <w:tcW w:type="dxa" w:w="1531"/>
            <w:vAlign w:val="center"/>
          </w:tcPr>
          <w:p>
            <w:r/>
            <w:r>
              <w:rPr>
                <w:sz w:val="20"/>
              </w:rPr>
              <w:t>3.8</w:t>
            </w:r>
          </w:p>
        </w:tc>
        <w:tc>
          <w:tcPr>
            <w:tcW w:type="dxa" w:w="1531"/>
            <w:vAlign w:val="center"/>
          </w:tcPr>
          <w:p>
            <w:r/>
            <w:r>
              <w:rPr>
                <w:sz w:val="20"/>
              </w:rPr>
              <w:t>42</w:t>
            </w:r>
          </w:p>
        </w:tc>
        <w:tc>
          <w:tcPr>
            <w:tcW w:type="dxa" w:w="1417"/>
            <w:vAlign w:val="center"/>
          </w:tcPr>
          <w:p>
            <w:r/>
            <w:r>
              <w:rPr>
                <w:sz w:val="20"/>
              </w:rPr>
              <w:t>0.41</w:t>
            </w:r>
          </w:p>
        </w:tc>
        <w:tc>
          <w:tcPr>
            <w:tcW w:type="dxa" w:w="1417"/>
            <w:vAlign w:val="center"/>
          </w:tcPr>
          <w:p>
            <w:r/>
            <w:r>
              <w:rPr>
                <w:sz w:val="20"/>
              </w:rPr>
              <w:t>78</w:t>
            </w:r>
          </w:p>
        </w:tc>
      </w:tr>
      <w:tr>
        <w:tc>
          <w:tcPr>
            <w:tcW w:type="dxa" w:w="2268"/>
            <w:vAlign w:val="center"/>
            <w:shd w:fill="F2F6FA" w:val="clear"/>
          </w:tcPr>
          <w:p>
            <w:r/>
            <w:r>
              <w:rPr>
                <w:sz w:val="20"/>
              </w:rPr>
              <w:t>FCFS</w:t>
            </w:r>
          </w:p>
        </w:tc>
        <w:tc>
          <w:tcPr>
            <w:tcW w:type="dxa" w:w="1531"/>
            <w:vAlign w:val="center"/>
            <w:shd w:fill="F2F6FA" w:val="clear"/>
          </w:tcPr>
          <w:p>
            <w:r/>
            <w:r>
              <w:rPr>
                <w:sz w:val="20"/>
              </w:rPr>
              <w:t>2.9</w:t>
            </w:r>
          </w:p>
        </w:tc>
        <w:tc>
          <w:tcPr>
            <w:tcW w:type="dxa" w:w="1531"/>
            <w:vAlign w:val="center"/>
            <w:shd w:fill="F2F6FA" w:val="clear"/>
          </w:tcPr>
          <w:p>
            <w:r/>
            <w:r>
              <w:rPr>
                <w:sz w:val="20"/>
              </w:rPr>
              <w:t>57</w:t>
            </w:r>
          </w:p>
        </w:tc>
        <w:tc>
          <w:tcPr>
            <w:tcW w:type="dxa" w:w="1417"/>
            <w:vAlign w:val="center"/>
            <w:shd w:fill="F2F6FA" w:val="clear"/>
          </w:tcPr>
          <w:p>
            <w:r/>
            <w:r>
              <w:rPr>
                <w:sz w:val="20"/>
              </w:rPr>
              <w:t>0.33</w:t>
            </w:r>
          </w:p>
        </w:tc>
        <w:tc>
          <w:tcPr>
            <w:tcW w:type="dxa" w:w="1417"/>
            <w:vAlign w:val="center"/>
            <w:shd w:fill="F2F6FA" w:val="clear"/>
          </w:tcPr>
          <w:p>
            <w:r/>
            <w:r>
              <w:rPr>
                <w:sz w:val="20"/>
              </w:rPr>
              <w:t>84</w:t>
            </w:r>
          </w:p>
        </w:tc>
      </w:tr>
      <w:tr>
        <w:tc>
          <w:tcPr>
            <w:tcW w:type="dxa" w:w="2268"/>
            <w:vAlign w:val="center"/>
          </w:tcPr>
          <w:p>
            <w:r/>
            <w:r>
              <w:rPr>
                <w:sz w:val="20"/>
              </w:rPr>
              <w:t>Greedy</w:t>
            </w:r>
          </w:p>
        </w:tc>
        <w:tc>
          <w:tcPr>
            <w:tcW w:type="dxa" w:w="1531"/>
            <w:vAlign w:val="center"/>
          </w:tcPr>
          <w:p>
            <w:r/>
            <w:r>
              <w:rPr>
                <w:sz w:val="20"/>
              </w:rPr>
              <w:t>2.4</w:t>
            </w:r>
          </w:p>
        </w:tc>
        <w:tc>
          <w:tcPr>
            <w:tcW w:type="dxa" w:w="1531"/>
            <w:vAlign w:val="center"/>
          </w:tcPr>
          <w:p>
            <w:r/>
            <w:r>
              <w:rPr>
                <w:sz w:val="20"/>
              </w:rPr>
              <w:t>64</w:t>
            </w:r>
          </w:p>
        </w:tc>
        <w:tc>
          <w:tcPr>
            <w:tcW w:type="dxa" w:w="1417"/>
            <w:vAlign w:val="center"/>
          </w:tcPr>
          <w:p>
            <w:r/>
            <w:r>
              <w:rPr>
                <w:sz w:val="20"/>
              </w:rPr>
              <w:t>0.28</w:t>
            </w:r>
          </w:p>
        </w:tc>
        <w:tc>
          <w:tcPr>
            <w:tcW w:type="dxa" w:w="1417"/>
            <w:vAlign w:val="center"/>
          </w:tcPr>
          <w:p>
            <w:r/>
            <w:r>
              <w:rPr>
                <w:sz w:val="20"/>
              </w:rPr>
              <w:t>87</w:t>
            </w:r>
          </w:p>
        </w:tc>
      </w:tr>
      <w:tr>
        <w:tc>
          <w:tcPr>
            <w:tcW w:type="dxa" w:w="2268"/>
            <w:vAlign w:val="center"/>
            <w:shd w:fill="F2F6FA" w:val="clear"/>
          </w:tcPr>
          <w:p>
            <w:r/>
            <w:r>
              <w:rPr>
                <w:sz w:val="20"/>
              </w:rPr>
              <w:t>Minimum Regret</w:t>
            </w:r>
          </w:p>
        </w:tc>
        <w:tc>
          <w:tcPr>
            <w:tcW w:type="dxa" w:w="1531"/>
            <w:vAlign w:val="center"/>
            <w:shd w:fill="F2F6FA" w:val="clear"/>
          </w:tcPr>
          <w:p>
            <w:r/>
            <w:r>
              <w:rPr>
                <w:sz w:val="20"/>
              </w:rPr>
              <w:t>2.0</w:t>
            </w:r>
          </w:p>
        </w:tc>
        <w:tc>
          <w:tcPr>
            <w:tcW w:type="dxa" w:w="1531"/>
            <w:vAlign w:val="center"/>
            <w:shd w:fill="F2F6FA" w:val="clear"/>
          </w:tcPr>
          <w:p>
            <w:r/>
            <w:r>
              <w:rPr>
                <w:sz w:val="20"/>
              </w:rPr>
              <w:t>71</w:t>
            </w:r>
          </w:p>
        </w:tc>
        <w:tc>
          <w:tcPr>
            <w:tcW w:type="dxa" w:w="1417"/>
            <w:vAlign w:val="center"/>
            <w:shd w:fill="F2F6FA" w:val="clear"/>
          </w:tcPr>
          <w:p>
            <w:r/>
            <w:r>
              <w:rPr>
                <w:sz w:val="20"/>
              </w:rPr>
              <w:t>0.21</w:t>
            </w:r>
          </w:p>
        </w:tc>
        <w:tc>
          <w:tcPr>
            <w:tcW w:type="dxa" w:w="1417"/>
            <w:vAlign w:val="center"/>
            <w:shd w:fill="F2F6FA" w:val="clear"/>
          </w:tcPr>
          <w:p>
            <w:r/>
            <w:r>
              <w:rPr>
                <w:sz w:val="20"/>
              </w:rPr>
              <w:t>90</w:t>
            </w:r>
          </w:p>
        </w:tc>
      </w:tr>
      <w:tr>
        <w:tc>
          <w:tcPr>
            <w:tcW w:type="dxa" w:w="2268"/>
            <w:vAlign w:val="center"/>
          </w:tcPr>
          <w:p>
            <w:r/>
            <w:r>
              <w:rPr>
                <w:sz w:val="20"/>
              </w:rPr>
              <w:t>Gale-Shapley</w:t>
            </w:r>
          </w:p>
        </w:tc>
        <w:tc>
          <w:tcPr>
            <w:tcW w:type="dxa" w:w="1531"/>
            <w:vAlign w:val="center"/>
          </w:tcPr>
          <w:p>
            <w:r/>
            <w:r>
              <w:rPr>
                <w:sz w:val="20"/>
              </w:rPr>
              <w:t>1.8</w:t>
            </w:r>
          </w:p>
        </w:tc>
        <w:tc>
          <w:tcPr>
            <w:tcW w:type="dxa" w:w="1531"/>
            <w:vAlign w:val="center"/>
          </w:tcPr>
          <w:p>
            <w:r/>
            <w:r>
              <w:rPr>
                <w:sz w:val="20"/>
              </w:rPr>
              <w:t>78</w:t>
            </w:r>
          </w:p>
        </w:tc>
        <w:tc>
          <w:tcPr>
            <w:tcW w:type="dxa" w:w="1417"/>
            <w:vAlign w:val="center"/>
          </w:tcPr>
          <w:p>
            <w:r/>
            <w:r>
              <w:rPr>
                <w:sz w:val="20"/>
              </w:rPr>
              <w:t>0.15</w:t>
            </w:r>
          </w:p>
        </w:tc>
        <w:tc>
          <w:tcPr>
            <w:tcW w:type="dxa" w:w="1417"/>
            <w:vAlign w:val="center"/>
          </w:tcPr>
          <w:p>
            <w:r/>
            <w:r>
              <w:rPr>
                <w:sz w:val="20"/>
              </w:rPr>
              <w:t>92</w:t>
            </w:r>
          </w:p>
        </w:tc>
      </w:tr>
    </w:tbl>
    <w:p>
      <w:pPr>
        <w:spacing w:after="120"/>
      </w:pPr>
      <w:r>
        <w:rPr>
          <w:rFonts w:ascii="Calibri" w:hAnsi="Calibri"/>
          <w:b w:val="0"/>
          <w:i w:val="0"/>
          <w:sz w:val="22"/>
        </w:rPr>
        <w:t>Gale-Shapley, neredeyse her metrikte en stabil sonuçları üretmiştir. Bu sonuç, sistemin “öğrenciye adil ders atama” tavsiyesi olarak Gale-Shapley’yi varsayılan seçenek olarak önermesini destekler.</w:t>
      </w:r>
    </w:p>
    <w:p>
      <w:pPr>
        <w:pStyle w:val="Heading1"/>
      </w:pPr>
      <w:r>
        <w:rPr>
          <w:rFonts w:ascii="Calibri" w:hAnsi="Calibri"/>
          <w:color w:val="1F4E79"/>
          <w:sz w:val="40"/>
        </w:rPr>
        <w:t>4.10 Determinizm ve Tekrar Edilebilirlik</w:t>
      </w:r>
    </w:p>
    <w:p>
      <w:pPr>
        <w:spacing w:after="120"/>
      </w:pPr>
      <w:r>
        <w:rPr>
          <w:rFonts w:ascii="Calibri" w:hAnsi="Calibri"/>
          <w:b w:val="0"/>
          <w:i w:val="0"/>
          <w:sz w:val="22"/>
        </w:rPr>
        <w:t>Sistem aynı girdi için aynı çıktıyı üretmek zorundadır. Bu, golden dataset üzerinden ölçülür. Aynı veriyi 10 farklı çalıştırmada test ettik; sonuç:</w:t>
      </w:r>
    </w:p>
    <w:tbl>
      <w:tblPr>
        <w:tblStyle w:val="LightGrid-Accent1"/>
        <w:tblW w:type="auto" w:w="0"/>
        <w:jc w:val="center"/>
        <w:tblLook w:firstColumn="1" w:firstRow="1" w:lastColumn="0" w:lastRow="0" w:noHBand="0" w:noVBand="1" w:val="04A0"/>
      </w:tblPr>
      <w:tblGrid>
        <w:gridCol w:w="3192"/>
        <w:gridCol w:w="3192"/>
        <w:gridCol w:w="3192"/>
      </w:tblGrid>
      <w:tr>
        <w:tc>
          <w:tcPr>
            <w:tcW w:type="dxa" w:w="3402"/>
            <w:shd w:fill="1F4E79" w:val="clear"/>
            <w:vAlign w:val="center"/>
          </w:tcPr>
          <w:p>
            <w:r/>
            <w:r>
              <w:rPr>
                <w:b/>
                <w:color w:val="FFFFFF"/>
                <w:sz w:val="22"/>
              </w:rPr>
              <w:t>Bileşen</w:t>
            </w:r>
          </w:p>
        </w:tc>
        <w:tc>
          <w:tcPr>
            <w:tcW w:type="dxa" w:w="2835"/>
            <w:shd w:fill="1F4E79" w:val="clear"/>
            <w:vAlign w:val="center"/>
          </w:tcPr>
          <w:p>
            <w:r/>
            <w:r>
              <w:rPr>
                <w:b/>
                <w:color w:val="FFFFFF"/>
                <w:sz w:val="22"/>
              </w:rPr>
              <w:t>10 koşumda standart sapma</w:t>
            </w:r>
          </w:p>
        </w:tc>
        <w:tc>
          <w:tcPr>
            <w:tcW w:type="dxa" w:w="2268"/>
            <w:shd w:fill="1F4E79" w:val="clear"/>
            <w:vAlign w:val="center"/>
          </w:tcPr>
          <w:p>
            <w:r/>
            <w:r>
              <w:rPr>
                <w:b/>
                <w:color w:val="FFFFFF"/>
                <w:sz w:val="22"/>
              </w:rPr>
              <w:t>Determinizm</w:t>
            </w:r>
          </w:p>
        </w:tc>
      </w:tr>
      <w:tr>
        <w:tc>
          <w:tcPr>
            <w:tcW w:type="dxa" w:w="3402"/>
            <w:vAlign w:val="center"/>
          </w:tcPr>
          <w:p>
            <w:r/>
            <w:r>
              <w:rPr>
                <w:sz w:val="20"/>
              </w:rPr>
              <w:t>AHP ağırlık vektörü</w:t>
            </w:r>
          </w:p>
        </w:tc>
        <w:tc>
          <w:tcPr>
            <w:tcW w:type="dxa" w:w="2835"/>
            <w:vAlign w:val="center"/>
          </w:tcPr>
          <w:p>
            <w:r/>
            <w:r>
              <w:rPr>
                <w:sz w:val="20"/>
              </w:rPr>
              <w:t>0.0000</w:t>
            </w:r>
          </w:p>
        </w:tc>
        <w:tc>
          <w:tcPr>
            <w:tcW w:type="dxa" w:w="2268"/>
            <w:vAlign w:val="center"/>
          </w:tcPr>
          <w:p>
            <w:r/>
            <w:r>
              <w:rPr>
                <w:sz w:val="20"/>
              </w:rPr>
              <w:t>Tam deterministik</w:t>
            </w:r>
          </w:p>
        </w:tc>
      </w:tr>
      <w:tr>
        <w:tc>
          <w:tcPr>
            <w:tcW w:type="dxa" w:w="3402"/>
            <w:vAlign w:val="center"/>
            <w:shd w:fill="F2F6FA" w:val="clear"/>
          </w:tcPr>
          <w:p>
            <w:r/>
            <w:r>
              <w:rPr>
                <w:sz w:val="20"/>
              </w:rPr>
              <w:t>TOPSIS kesinleşme puanı</w:t>
            </w:r>
          </w:p>
        </w:tc>
        <w:tc>
          <w:tcPr>
            <w:tcW w:type="dxa" w:w="2835"/>
            <w:vAlign w:val="center"/>
            <w:shd w:fill="F2F6FA" w:val="clear"/>
          </w:tcPr>
          <w:p>
            <w:r/>
            <w:r>
              <w:rPr>
                <w:sz w:val="20"/>
              </w:rPr>
              <w:t>0.0000</w:t>
            </w:r>
          </w:p>
        </w:tc>
        <w:tc>
          <w:tcPr>
            <w:tcW w:type="dxa" w:w="2268"/>
            <w:vAlign w:val="center"/>
            <w:shd w:fill="F2F6FA" w:val="clear"/>
          </w:tcPr>
          <w:p>
            <w:r/>
            <w:r>
              <w:rPr>
                <w:sz w:val="20"/>
              </w:rPr>
              <w:t>Tam deterministik</w:t>
            </w:r>
          </w:p>
        </w:tc>
      </w:tr>
      <w:tr>
        <w:tc>
          <w:tcPr>
            <w:tcW w:type="dxa" w:w="3402"/>
            <w:vAlign w:val="center"/>
          </w:tcPr>
          <w:p>
            <w:r/>
            <w:r>
              <w:rPr>
                <w:sz w:val="20"/>
              </w:rPr>
              <w:t>Trend yıllık ağırlıklı</w:t>
            </w:r>
          </w:p>
        </w:tc>
        <w:tc>
          <w:tcPr>
            <w:tcW w:type="dxa" w:w="2835"/>
            <w:vAlign w:val="center"/>
          </w:tcPr>
          <w:p>
            <w:r/>
            <w:r>
              <w:rPr>
                <w:sz w:val="20"/>
              </w:rPr>
              <w:t>0.0000</w:t>
            </w:r>
          </w:p>
        </w:tc>
        <w:tc>
          <w:tcPr>
            <w:tcW w:type="dxa" w:w="2268"/>
            <w:vAlign w:val="center"/>
          </w:tcPr>
          <w:p>
            <w:r/>
            <w:r>
              <w:rPr>
                <w:sz w:val="20"/>
              </w:rPr>
              <w:t>Tam deterministik</w:t>
            </w:r>
          </w:p>
        </w:tc>
      </w:tr>
      <w:tr>
        <w:tc>
          <w:tcPr>
            <w:tcW w:type="dxa" w:w="3402"/>
            <w:vAlign w:val="center"/>
            <w:shd w:fill="F2F6FA" w:val="clear"/>
          </w:tcPr>
          <w:p>
            <w:r/>
            <w:r>
              <w:rPr>
                <w:sz w:val="20"/>
              </w:rPr>
              <w:t>State machine geçişi</w:t>
            </w:r>
          </w:p>
        </w:tc>
        <w:tc>
          <w:tcPr>
            <w:tcW w:type="dxa" w:w="2835"/>
            <w:vAlign w:val="center"/>
            <w:shd w:fill="F2F6FA" w:val="clear"/>
          </w:tcPr>
          <w:p>
            <w:r/>
            <w:r>
              <w:rPr>
                <w:sz w:val="20"/>
              </w:rPr>
              <w:t>0.0000</w:t>
            </w:r>
          </w:p>
        </w:tc>
        <w:tc>
          <w:tcPr>
            <w:tcW w:type="dxa" w:w="2268"/>
            <w:vAlign w:val="center"/>
            <w:shd w:fill="F2F6FA" w:val="clear"/>
          </w:tcPr>
          <w:p>
            <w:r/>
            <w:r>
              <w:rPr>
                <w:sz w:val="20"/>
              </w:rPr>
              <w:t>Tam deterministik</w:t>
            </w:r>
          </w:p>
        </w:tc>
      </w:tr>
      <w:tr>
        <w:tc>
          <w:tcPr>
            <w:tcW w:type="dxa" w:w="3402"/>
            <w:vAlign w:val="center"/>
          </w:tcPr>
          <w:p>
            <w:r/>
            <w:r>
              <w:rPr>
                <w:sz w:val="20"/>
              </w:rPr>
              <w:t>Random Forest tahmini (seed=42)</w:t>
            </w:r>
          </w:p>
        </w:tc>
        <w:tc>
          <w:tcPr>
            <w:tcW w:type="dxa" w:w="2835"/>
            <w:vAlign w:val="center"/>
          </w:tcPr>
          <w:p>
            <w:r/>
            <w:r>
              <w:rPr>
                <w:sz w:val="20"/>
              </w:rPr>
              <w:t>0.0000</w:t>
            </w:r>
          </w:p>
        </w:tc>
        <w:tc>
          <w:tcPr>
            <w:tcW w:type="dxa" w:w="2268"/>
            <w:vAlign w:val="center"/>
          </w:tcPr>
          <w:p>
            <w:r/>
            <w:r>
              <w:rPr>
                <w:sz w:val="20"/>
              </w:rPr>
              <w:t>Seed ile deterministik</w:t>
            </w:r>
          </w:p>
        </w:tc>
      </w:tr>
      <w:tr>
        <w:tc>
          <w:tcPr>
            <w:tcW w:type="dxa" w:w="3402"/>
            <w:vAlign w:val="center"/>
            <w:shd w:fill="F2F6FA" w:val="clear"/>
          </w:tcPr>
          <w:p>
            <w:r/>
            <w:r>
              <w:rPr>
                <w:sz w:val="20"/>
              </w:rPr>
              <w:t>KMeans (n_init=10)</w:t>
            </w:r>
          </w:p>
        </w:tc>
        <w:tc>
          <w:tcPr>
            <w:tcW w:type="dxa" w:w="2835"/>
            <w:vAlign w:val="center"/>
            <w:shd w:fill="F2F6FA" w:val="clear"/>
          </w:tcPr>
          <w:p>
            <w:r/>
            <w:r>
              <w:rPr>
                <w:sz w:val="20"/>
              </w:rPr>
              <w:t>0.0000</w:t>
            </w:r>
          </w:p>
        </w:tc>
        <w:tc>
          <w:tcPr>
            <w:tcW w:type="dxa" w:w="2268"/>
            <w:vAlign w:val="center"/>
            <w:shd w:fill="F2F6FA" w:val="clear"/>
          </w:tcPr>
          <w:p>
            <w:r/>
            <w:r>
              <w:rPr>
                <w:sz w:val="20"/>
              </w:rPr>
              <w:t>Seed ile deterministik</w:t>
            </w:r>
          </w:p>
        </w:tc>
      </w:tr>
    </w:tbl>
    <w:p>
      <w:pPr>
        <w:spacing w:after="120"/>
      </w:pPr>
      <w:r>
        <w:rPr>
          <w:rFonts w:ascii="Calibri" w:hAnsi="Calibri"/>
          <w:b w:val="0"/>
          <w:i w:val="0"/>
          <w:sz w:val="22"/>
        </w:rPr>
        <w:t>Sonuçlar, üretim hattının tam deterministik, ML/Clustering bileşenlerinin ise seed kontrolü altında deterministik olduğunu doğrular. Bu, sistemin hukuken sorgulanabilir ve yeniden üretilebilir olmasını sağlar.</w:t>
      </w:r>
    </w:p>
    <w:p>
      <w:pPr>
        <w:pStyle w:val="Heading1"/>
      </w:pPr>
      <w:r>
        <w:rPr>
          <w:rFonts w:ascii="Calibri" w:hAnsi="Calibri"/>
          <w:color w:val="1F4E79"/>
          <w:sz w:val="40"/>
        </w:rPr>
        <w:t>4.11 Senaryo Bazlı Performans</w:t>
      </w:r>
    </w:p>
    <w:p>
      <w:pPr>
        <w:spacing w:after="120"/>
      </w:pPr>
      <w:r>
        <w:rPr>
          <w:rFonts w:ascii="Calibri" w:hAnsi="Calibri"/>
          <w:b w:val="0"/>
          <w:i w:val="0"/>
          <w:sz w:val="22"/>
        </w:rPr>
        <w:t>Sentetik veri jenerasyonu ile 5K, 10K, 50K ve 100K öğrenci ölçeklerinde sistem performansı ölçülmüştür.</w:t>
      </w:r>
    </w:p>
    <w:tbl>
      <w:tblPr>
        <w:tblStyle w:val="LightGrid-Accent1"/>
        <w:tblW w:type="auto" w:w="0"/>
        <w:jc w:val="center"/>
        <w:tblLook w:firstColumn="1" w:firstRow="1" w:lastColumn="0" w:lastRow="0" w:noHBand="0" w:noVBand="1" w:val="04A0"/>
      </w:tblPr>
      <w:tblGrid>
        <w:gridCol w:w="1915"/>
        <w:gridCol w:w="1915"/>
        <w:gridCol w:w="1915"/>
        <w:gridCol w:w="1915"/>
        <w:gridCol w:w="1915"/>
      </w:tblGrid>
      <w:tr>
        <w:tc>
          <w:tcPr>
            <w:tcW w:type="dxa" w:w="1417"/>
            <w:shd w:fill="1F4E79" w:val="clear"/>
            <w:vAlign w:val="center"/>
          </w:tcPr>
          <w:p>
            <w:r/>
            <w:r>
              <w:rPr>
                <w:b/>
                <w:color w:val="FFFFFF"/>
                <w:sz w:val="22"/>
              </w:rPr>
              <w:t>Ölçek</w:t>
            </w:r>
          </w:p>
        </w:tc>
        <w:tc>
          <w:tcPr>
            <w:tcW w:type="dxa" w:w="1701"/>
            <w:shd w:fill="1F4E79" w:val="clear"/>
            <w:vAlign w:val="center"/>
          </w:tcPr>
          <w:p>
            <w:r/>
            <w:r>
              <w:rPr>
                <w:b/>
                <w:color w:val="FFFFFF"/>
                <w:sz w:val="22"/>
              </w:rPr>
              <w:t>AHP+TOPSIS (ms)</w:t>
            </w:r>
          </w:p>
        </w:tc>
        <w:tc>
          <w:tcPr>
            <w:tcW w:type="dxa" w:w="1701"/>
            <w:shd w:fill="1F4E79" w:val="clear"/>
            <w:vAlign w:val="center"/>
          </w:tcPr>
          <w:p>
            <w:r/>
            <w:r>
              <w:rPr>
                <w:b/>
                <w:color w:val="FFFFFF"/>
                <w:sz w:val="22"/>
              </w:rPr>
              <w:t>RF eğitim (ms)</w:t>
            </w:r>
          </w:p>
        </w:tc>
        <w:tc>
          <w:tcPr>
            <w:tcW w:type="dxa" w:w="1984"/>
            <w:shd w:fill="1F4E79" w:val="clear"/>
            <w:vAlign w:val="center"/>
          </w:tcPr>
          <w:p>
            <w:r/>
            <w:r>
              <w:rPr>
                <w:b/>
                <w:color w:val="FFFFFF"/>
                <w:sz w:val="22"/>
              </w:rPr>
              <w:t>Gale-Shapley (ms)</w:t>
            </w:r>
          </w:p>
        </w:tc>
        <w:tc>
          <w:tcPr>
            <w:tcW w:type="dxa" w:w="1701"/>
            <w:shd w:fill="1F4E79" w:val="clear"/>
            <w:vAlign w:val="center"/>
          </w:tcPr>
          <w:p>
            <w:r/>
            <w:r>
              <w:rPr>
                <w:b/>
                <w:color w:val="FFFFFF"/>
                <w:sz w:val="22"/>
              </w:rPr>
              <w:t>Toplam (ms)</w:t>
            </w:r>
          </w:p>
        </w:tc>
      </w:tr>
      <w:tr>
        <w:tc>
          <w:tcPr>
            <w:tcW w:type="dxa" w:w="1417"/>
            <w:vAlign w:val="center"/>
          </w:tcPr>
          <w:p>
            <w:r/>
            <w:r>
              <w:rPr>
                <w:sz w:val="20"/>
              </w:rPr>
              <w:t>5K</w:t>
            </w:r>
          </w:p>
        </w:tc>
        <w:tc>
          <w:tcPr>
            <w:tcW w:type="dxa" w:w="1701"/>
            <w:vAlign w:val="center"/>
          </w:tcPr>
          <w:p>
            <w:r/>
            <w:r>
              <w:rPr>
                <w:sz w:val="20"/>
              </w:rPr>
              <w:t>120</w:t>
            </w:r>
          </w:p>
        </w:tc>
        <w:tc>
          <w:tcPr>
            <w:tcW w:type="dxa" w:w="1701"/>
            <w:vAlign w:val="center"/>
          </w:tcPr>
          <w:p>
            <w:r/>
            <w:r>
              <w:rPr>
                <w:sz w:val="20"/>
              </w:rPr>
              <w:t>240</w:t>
            </w:r>
          </w:p>
        </w:tc>
        <w:tc>
          <w:tcPr>
            <w:tcW w:type="dxa" w:w="1984"/>
            <w:vAlign w:val="center"/>
          </w:tcPr>
          <w:p>
            <w:r/>
            <w:r>
              <w:rPr>
                <w:sz w:val="20"/>
              </w:rPr>
              <w:t>85</w:t>
            </w:r>
          </w:p>
        </w:tc>
        <w:tc>
          <w:tcPr>
            <w:tcW w:type="dxa" w:w="1701"/>
            <w:vAlign w:val="center"/>
          </w:tcPr>
          <w:p>
            <w:r/>
            <w:r>
              <w:rPr>
                <w:sz w:val="20"/>
              </w:rPr>
              <w:t>445</w:t>
            </w:r>
          </w:p>
        </w:tc>
      </w:tr>
      <w:tr>
        <w:tc>
          <w:tcPr>
            <w:tcW w:type="dxa" w:w="1417"/>
            <w:vAlign w:val="center"/>
            <w:shd w:fill="F2F6FA" w:val="clear"/>
          </w:tcPr>
          <w:p>
            <w:r/>
            <w:r>
              <w:rPr>
                <w:sz w:val="20"/>
              </w:rPr>
              <w:t>10K</w:t>
            </w:r>
          </w:p>
        </w:tc>
        <w:tc>
          <w:tcPr>
            <w:tcW w:type="dxa" w:w="1701"/>
            <w:vAlign w:val="center"/>
            <w:shd w:fill="F2F6FA" w:val="clear"/>
          </w:tcPr>
          <w:p>
            <w:r/>
            <w:r>
              <w:rPr>
                <w:sz w:val="20"/>
              </w:rPr>
              <w:t>180</w:t>
            </w:r>
          </w:p>
        </w:tc>
        <w:tc>
          <w:tcPr>
            <w:tcW w:type="dxa" w:w="1701"/>
            <w:vAlign w:val="center"/>
            <w:shd w:fill="F2F6FA" w:val="clear"/>
          </w:tcPr>
          <w:p>
            <w:r/>
            <w:r>
              <w:rPr>
                <w:sz w:val="20"/>
              </w:rPr>
              <w:t>510</w:t>
            </w:r>
          </w:p>
        </w:tc>
        <w:tc>
          <w:tcPr>
            <w:tcW w:type="dxa" w:w="1984"/>
            <w:vAlign w:val="center"/>
            <w:shd w:fill="F2F6FA" w:val="clear"/>
          </w:tcPr>
          <w:p>
            <w:r/>
            <w:r>
              <w:rPr>
                <w:sz w:val="20"/>
              </w:rPr>
              <w:t>190</w:t>
            </w:r>
          </w:p>
        </w:tc>
        <w:tc>
          <w:tcPr>
            <w:tcW w:type="dxa" w:w="1701"/>
            <w:vAlign w:val="center"/>
            <w:shd w:fill="F2F6FA" w:val="clear"/>
          </w:tcPr>
          <w:p>
            <w:r/>
            <w:r>
              <w:rPr>
                <w:sz w:val="20"/>
              </w:rPr>
              <w:t>880</w:t>
            </w:r>
          </w:p>
        </w:tc>
      </w:tr>
      <w:tr>
        <w:tc>
          <w:tcPr>
            <w:tcW w:type="dxa" w:w="1417"/>
            <w:vAlign w:val="center"/>
          </w:tcPr>
          <w:p>
            <w:r/>
            <w:r>
              <w:rPr>
                <w:sz w:val="20"/>
              </w:rPr>
              <w:t>50K</w:t>
            </w:r>
          </w:p>
        </w:tc>
        <w:tc>
          <w:tcPr>
            <w:tcW w:type="dxa" w:w="1701"/>
            <w:vAlign w:val="center"/>
          </w:tcPr>
          <w:p>
            <w:r/>
            <w:r>
              <w:rPr>
                <w:sz w:val="20"/>
              </w:rPr>
              <w:t>450</w:t>
            </w:r>
          </w:p>
        </w:tc>
        <w:tc>
          <w:tcPr>
            <w:tcW w:type="dxa" w:w="1701"/>
            <w:vAlign w:val="center"/>
          </w:tcPr>
          <w:p>
            <w:r/>
            <w:r>
              <w:rPr>
                <w:sz w:val="20"/>
              </w:rPr>
              <w:t>2400</w:t>
            </w:r>
          </w:p>
        </w:tc>
        <w:tc>
          <w:tcPr>
            <w:tcW w:type="dxa" w:w="1984"/>
            <w:vAlign w:val="center"/>
          </w:tcPr>
          <w:p>
            <w:r/>
            <w:r>
              <w:rPr>
                <w:sz w:val="20"/>
              </w:rPr>
              <w:t>1100</w:t>
            </w:r>
          </w:p>
        </w:tc>
        <w:tc>
          <w:tcPr>
            <w:tcW w:type="dxa" w:w="1701"/>
            <w:vAlign w:val="center"/>
          </w:tcPr>
          <w:p>
            <w:r/>
            <w:r>
              <w:rPr>
                <w:sz w:val="20"/>
              </w:rPr>
              <w:t>3950</w:t>
            </w:r>
          </w:p>
        </w:tc>
      </w:tr>
      <w:tr>
        <w:tc>
          <w:tcPr>
            <w:tcW w:type="dxa" w:w="1417"/>
            <w:vAlign w:val="center"/>
            <w:shd w:fill="F2F6FA" w:val="clear"/>
          </w:tcPr>
          <w:p>
            <w:r/>
            <w:r>
              <w:rPr>
                <w:sz w:val="20"/>
              </w:rPr>
              <w:t>100K</w:t>
            </w:r>
          </w:p>
        </w:tc>
        <w:tc>
          <w:tcPr>
            <w:tcW w:type="dxa" w:w="1701"/>
            <w:vAlign w:val="center"/>
            <w:shd w:fill="F2F6FA" w:val="clear"/>
          </w:tcPr>
          <w:p>
            <w:r/>
            <w:r>
              <w:rPr>
                <w:sz w:val="20"/>
              </w:rPr>
              <w:t>820</w:t>
            </w:r>
          </w:p>
        </w:tc>
        <w:tc>
          <w:tcPr>
            <w:tcW w:type="dxa" w:w="1701"/>
            <w:vAlign w:val="center"/>
            <w:shd w:fill="F2F6FA" w:val="clear"/>
          </w:tcPr>
          <w:p>
            <w:r/>
            <w:r>
              <w:rPr>
                <w:sz w:val="20"/>
              </w:rPr>
              <w:t>5100</w:t>
            </w:r>
          </w:p>
        </w:tc>
        <w:tc>
          <w:tcPr>
            <w:tcW w:type="dxa" w:w="1984"/>
            <w:vAlign w:val="center"/>
            <w:shd w:fill="F2F6FA" w:val="clear"/>
          </w:tcPr>
          <w:p>
            <w:r/>
            <w:r>
              <w:rPr>
                <w:sz w:val="20"/>
              </w:rPr>
              <w:t>2500</w:t>
            </w:r>
          </w:p>
        </w:tc>
        <w:tc>
          <w:tcPr>
            <w:tcW w:type="dxa" w:w="1701"/>
            <w:vAlign w:val="center"/>
            <w:shd w:fill="F2F6FA" w:val="clear"/>
          </w:tcPr>
          <w:p>
            <w:r/>
            <w:r>
              <w:rPr>
                <w:sz w:val="20"/>
              </w:rPr>
              <w:t>8420</w:t>
            </w:r>
          </w:p>
        </w:tc>
      </w:tr>
    </w:tbl>
    <w:p>
      <w:pPr>
        <w:spacing w:after="120"/>
      </w:pPr>
      <w:r>
        <w:rPr>
          <w:rFonts w:ascii="Calibri" w:hAnsi="Calibri"/>
          <w:b w:val="0"/>
          <w:i w:val="0"/>
          <w:sz w:val="22"/>
        </w:rPr>
        <w:t>Sonuçlar, sistemin masaüstü ölçeğinde (≤10K) sub-saniye tepki süresiyle çalıştığını; 100K ölçeğinde bile 10 saniyenin altında bir karar pipeline’ı sunduğunu göstermektedir.</w:t>
      </w:r>
    </w:p>
    <w:p>
      <w:r>
        <w:br w:type="page"/>
      </w:r>
    </w:p>
    <w:p>
      <w:pPr>
        <w:pStyle w:val="Title"/>
      </w:pPr>
      <w:r>
        <w:rPr>
          <w:rFonts w:ascii="Calibri" w:hAnsi="Calibri"/>
          <w:color w:val="1F4E79"/>
          <w:sz w:val="56"/>
        </w:rPr>
        <w:t>5. UYGULAMANIN ADIM ADIM EKRAN GÖRÜNTÜLERİ</w:t>
      </w:r>
    </w:p>
    <w:p>
      <w:pPr>
        <w:pStyle w:val="Heading1"/>
      </w:pPr>
      <w:r>
        <w:rPr>
          <w:rFonts w:ascii="Calibri" w:hAnsi="Calibri"/>
          <w:color w:val="1F4E79"/>
          <w:sz w:val="40"/>
        </w:rPr>
        <w:t>5.1 Üst Sekme Yapısı</w:t>
      </w:r>
    </w:p>
    <w:p>
      <w:pPr>
        <w:spacing w:after="120"/>
      </w:pPr>
      <w:r>
        <w:rPr>
          <w:rFonts w:ascii="Calibri" w:hAnsi="Calibri"/>
          <w:b w:val="0"/>
          <w:i w:val="0"/>
          <w:sz w:val="22"/>
        </w:rPr>
        <w:t>Masaüstü uygulaması açıldığında, kullanıcının doğrudan dört ana sekme üzerinden yönlendirildiği bir Tkinter penceresi görülür:</w:t>
      </w:r>
    </w:p>
    <w:p>
      <w:pPr>
        <w:pStyle w:val="ListBullet"/>
      </w:pPr>
      <w:r>
        <w:rPr>
          <w:rFonts w:ascii="Calibri" w:hAnsi="Calibri"/>
          <w:sz w:val="22"/>
        </w:rPr>
        <w:t>Tablo Görüntüle — Veritabanı tablolarını inceleme, filtreleme ve sorgu çalıştırma sekmesi.</w:t>
      </w:r>
    </w:p>
    <w:p>
      <w:pPr>
        <w:pStyle w:val="ListBullet"/>
      </w:pPr>
      <w:r>
        <w:rPr>
          <w:rFonts w:ascii="Calibri" w:hAnsi="Calibri"/>
          <w:sz w:val="22"/>
        </w:rPr>
        <w:t>Analiz &amp; Grafik — Skorların grafiklerle ve özet kartlarla incelendiği analiz sekmesi.</w:t>
      </w:r>
    </w:p>
    <w:p>
      <w:pPr>
        <w:pStyle w:val="ListBullet"/>
      </w:pPr>
      <w:r>
        <w:rPr>
          <w:rFonts w:ascii="Calibri" w:hAnsi="Calibri"/>
          <w:sz w:val="22"/>
        </w:rPr>
        <w:t>Rapor &amp; Yükleme — Veri yükleme (müfredat, kriter, anket), raporlama ve dışa aktarım sekmesi.</w:t>
      </w:r>
    </w:p>
    <w:p>
      <w:pPr>
        <w:pStyle w:val="ListBullet"/>
      </w:pPr>
      <w:r>
        <w:rPr>
          <w:rFonts w:ascii="Calibri" w:hAnsi="Calibri"/>
          <w:sz w:val="22"/>
        </w:rPr>
        <w:t>Hesaplama &amp; Test — AHP/TOPSIS hesaplamalarının manuel çalıştırıldığı, ders bazlı analiz ve test sekmesi.</w:t>
      </w:r>
    </w:p>
    <w:p>
      <w:pPr>
        <w:spacing w:after="120"/>
      </w:pPr>
      <w:r>
        <w:rPr>
          <w:rFonts w:ascii="Calibri" w:hAnsi="Calibri"/>
          <w:b w:val="0"/>
          <w:i w:val="0"/>
          <w:sz w:val="22"/>
        </w:rPr>
        <w:t>Bu sekmelere ek olarak sistemde Kriter Yönetimi, Karar Merkezi, Veri Kalitesi, Dönem Planlama, Sistem Sağlığı ve Trend Görselleştirme gibi gelişmiş alt sayfalar bulunur. Tüm sekmeler aynı servis katmanını kullanır.</w:t>
      </w:r>
    </w:p>
    <w:p>
      <w:pPr>
        <w:pStyle w:val="Heading1"/>
      </w:pPr>
      <w:r>
        <w:rPr>
          <w:rFonts w:ascii="Calibri" w:hAnsi="Calibri"/>
          <w:color w:val="1F4E79"/>
          <w:sz w:val="40"/>
        </w:rPr>
        <w:t>5.2 Rapor &amp; Yükleme Sekmesi</w:t>
      </w:r>
    </w:p>
    <w:p>
      <w:pPr>
        <w:spacing w:after="120"/>
      </w:pPr>
      <w:r>
        <w:rPr>
          <w:rFonts w:ascii="Calibri" w:hAnsi="Calibri"/>
          <w:b w:val="0"/>
          <w:i w:val="0"/>
          <w:sz w:val="22"/>
        </w:rPr>
        <w:t>Aşağıdaki ekran görüntüsü, “Rapor &amp; Yükleme” sekmesinin Güzel Sanatlar Fakültesi / 2023 / Güz kapsamına uygulanmış halini göstermektedir.</w:t>
      </w:r>
    </w:p>
    <w:p>
      <w:pPr>
        <w:jc w:val="center"/>
      </w:pPr>
      <w:r>
        <w:drawing>
          <wp:inline xmlns:a="http://schemas.openxmlformats.org/drawingml/2006/main" xmlns:pic="http://schemas.openxmlformats.org/drawingml/2006/picture">
            <wp:extent cx="5760000" cy="3217676"/>
            <wp:docPr id="15" name="Picture 15"/>
            <wp:cNvGraphicFramePr>
              <a:graphicFrameLocks noChangeAspect="1"/>
            </wp:cNvGraphicFramePr>
            <a:graphic>
              <a:graphicData uri="http://schemas.openxmlformats.org/drawingml/2006/picture">
                <pic:pic>
                  <pic:nvPicPr>
                    <pic:cNvPr id="0" name="Import.png"/>
                    <pic:cNvPicPr/>
                  </pic:nvPicPr>
                  <pic:blipFill>
                    <a:blip r:embed="rId21"/>
                    <a:stretch>
                      <a:fillRect/>
                    </a:stretch>
                  </pic:blipFill>
                  <pic:spPr>
                    <a:xfrm>
                      <a:off x="0" y="0"/>
                      <a:ext cx="5760000" cy="3217676"/>
                    </a:xfrm>
                    <a:prstGeom prst="rect"/>
                  </pic:spPr>
                </pic:pic>
              </a:graphicData>
            </a:graphic>
          </wp:inline>
        </w:drawing>
      </w:r>
    </w:p>
    <w:p>
      <w:pPr>
        <w:jc w:val="center"/>
      </w:pPr>
      <w:r>
        <w:rPr>
          <w:i/>
          <w:color w:val="666666"/>
          <w:sz w:val="20"/>
        </w:rPr>
        <w:t>Şekil 5.1 — Rapor &amp; Yükleme sekmesi; sol panelde havuz, sağ panelde müfredat ve altta dışa aktarım/log.</w:t>
      </w:r>
    </w:p>
    <w:p>
      <w:pPr>
        <w:spacing w:after="120"/>
      </w:pPr>
      <w:r>
        <w:rPr>
          <w:rFonts w:ascii="Calibri" w:hAnsi="Calibri"/>
          <w:b/>
          <w:i w:val="0"/>
          <w:sz w:val="22"/>
        </w:rPr>
        <w:t>Sekmedeki bölümlerin açıklaması:</w:t>
      </w:r>
    </w:p>
    <w:p>
      <w:pPr>
        <w:pStyle w:val="ListNumber"/>
      </w:pPr>
      <w:r>
        <w:rPr>
          <w:rFonts w:ascii="Calibri" w:hAnsi="Calibri"/>
          <w:sz w:val="22"/>
        </w:rPr>
        <w:t>Filtreler — Fakülte, bölüm, yıl ve dönem filtrelenir; “Statü/Yıl Eşitle” ile veritabanı yıl alanları senkronize edilir; “DB Yedekle” ile veri dosyası yedeklenir.</w:t>
      </w:r>
    </w:p>
    <w:p>
      <w:pPr>
        <w:pStyle w:val="ListNumber"/>
      </w:pPr>
      <w:r>
        <w:rPr>
          <w:rFonts w:ascii="Calibri" w:hAnsi="Calibri"/>
          <w:sz w:val="22"/>
        </w:rPr>
        <w:t>A) Veri Yükleme — “Müfredat Excel Yükle”, “Kriter Şablonu İndir”, “Kriter Dosyası Yükle”, “Anket Şablonu İndir”, “Anket Sonuçları Yükle” butonları bulunur. Yükleme aktif kapsamı (Fakülte Geneli / 2023) ekranda gösterilir.</w:t>
      </w:r>
    </w:p>
    <w:p>
      <w:pPr>
        <w:pStyle w:val="ListNumber"/>
      </w:pPr>
      <w:r>
        <w:rPr>
          <w:rFonts w:ascii="Calibri" w:hAnsi="Calibri"/>
          <w:sz w:val="22"/>
        </w:rPr>
        <w:t>B) Raporlama — Üstte özet kartlar (Havuz Toplam, Ortalama Skor, Dinlenmede, Müfredatta, Kalıcı İptal, Kriter Dosyası). Altta sol tabloda havuz dersleri, sağ tabloda müfredat dersleri listelenir.</w:t>
      </w:r>
    </w:p>
    <w:p>
      <w:pPr>
        <w:pStyle w:val="ListNumber"/>
      </w:pPr>
      <w:r>
        <w:rPr>
          <w:rFonts w:ascii="Calibri" w:hAnsi="Calibri"/>
          <w:sz w:val="22"/>
        </w:rPr>
        <w:t>C) Dışa Aktarım / Log — “Havuz CSV”, “Havuz Excel”, “Müfredat CSV”, “Müfredat Excel” butonları ve ekranın altında raporun kapsamını ve algoritma uyarılarını yazdıran log alanı bulunur.</w:t>
      </w:r>
    </w:p>
    <w:p>
      <w:pPr>
        <w:spacing w:after="120"/>
      </w:pPr>
      <w:r>
        <w:rPr>
          <w:rFonts w:ascii="Calibri" w:hAnsi="Calibri"/>
          <w:b w:val="0"/>
          <w:i w:val="0"/>
          <w:sz w:val="22"/>
        </w:rPr>
        <w:t>Ekran görüntüsünde dersler arasında üç farklı “Skor Kaynağı” etiketi görülmektedir: TOPSIS (müfredattaki ders), Anket (50±10 havuz baz skoru) ve Dinlenmede etiketi. Bu, sistemin her dersi nasıl puanladığını anında açıklayan görsel bir izdir. Log panelinde de kriter dosyasının olup olmadığı, eşiklerin değeri ve algoritma uyarısı görülebilir.</w:t>
      </w:r>
    </w:p>
    <w:p>
      <w:pPr>
        <w:pStyle w:val="Heading1"/>
      </w:pPr>
      <w:r>
        <w:rPr>
          <w:rFonts w:ascii="Calibri" w:hAnsi="Calibri"/>
          <w:color w:val="1F4E79"/>
          <w:sz w:val="40"/>
        </w:rPr>
        <w:t>5.3 Tablo Görüntüle Sekmesi</w:t>
      </w:r>
    </w:p>
    <w:p>
      <w:pPr>
        <w:spacing w:after="120"/>
      </w:pPr>
      <w:r>
        <w:rPr>
          <w:rFonts w:ascii="Calibri" w:hAnsi="Calibri"/>
          <w:b w:val="0"/>
          <w:i w:val="0"/>
          <w:sz w:val="22"/>
        </w:rPr>
        <w:t>Tablo Görüntüle sekmesi, veritabanındaki tüm tabloları (okul, fakülte, bölüm, ders, müfredat, havuz, performans, popülerlik, skor, ders_kriterleri, vs.) gözlemlenebilir ve filtrelenebilir hale getirir. Sayfa içinde:</w:t>
      </w:r>
    </w:p>
    <w:p>
      <w:pPr>
        <w:pStyle w:val="ListBullet"/>
      </w:pPr>
      <w:r>
        <w:rPr>
          <w:rFonts w:ascii="Calibri" w:hAnsi="Calibri"/>
          <w:sz w:val="22"/>
        </w:rPr>
        <w:t>Tablo seçici (sol üst dropdown)</w:t>
      </w:r>
    </w:p>
    <w:p>
      <w:pPr>
        <w:pStyle w:val="ListBullet"/>
      </w:pPr>
      <w:r>
        <w:rPr>
          <w:rFonts w:ascii="Calibri" w:hAnsi="Calibri"/>
          <w:sz w:val="22"/>
        </w:rPr>
        <w:t>Hızlı filtre kutusu (üst orta)</w:t>
      </w:r>
    </w:p>
    <w:p>
      <w:pPr>
        <w:pStyle w:val="ListBullet"/>
      </w:pPr>
      <w:r>
        <w:rPr>
          <w:rFonts w:ascii="Calibri" w:hAnsi="Calibri"/>
          <w:sz w:val="22"/>
        </w:rPr>
        <w:t>Kayıt tablosu (orta)</w:t>
      </w:r>
    </w:p>
    <w:p>
      <w:pPr>
        <w:pStyle w:val="ListBullet"/>
      </w:pPr>
      <w:r>
        <w:rPr>
          <w:rFonts w:ascii="Calibri" w:hAnsi="Calibri"/>
          <w:sz w:val="22"/>
        </w:rPr>
        <w:t>Sorgu çalıştırma kutusu — yalnızca SELECT sorgularına izin veren güvenli SQL panel</w:t>
      </w:r>
    </w:p>
    <w:p>
      <w:pPr>
        <w:pStyle w:val="ListBullet"/>
      </w:pPr>
      <w:r>
        <w:rPr>
          <w:rFonts w:ascii="Calibri" w:hAnsi="Calibri"/>
          <w:sz w:val="22"/>
        </w:rPr>
        <w:t>İhracat butonları (CSV/Excel)</w:t>
      </w:r>
    </w:p>
    <w:p>
      <w:pPr>
        <w:spacing w:after="120"/>
      </w:pPr>
      <w:r>
        <w:rPr>
          <w:rFonts w:ascii="Calibri" w:hAnsi="Calibri"/>
          <w:b w:val="0"/>
          <w:i w:val="0"/>
          <w:sz w:val="22"/>
        </w:rPr>
        <w:t>Bu sekme demo, eğitim ve denetim amaçlı çok değerlidir; kullanıcı veritabanını terminale çıkmadan inceleyebilir.</w:t>
      </w:r>
    </w:p>
    <w:p>
      <w:pPr>
        <w:pStyle w:val="Heading1"/>
      </w:pPr>
      <w:r>
        <w:rPr>
          <w:rFonts w:ascii="Calibri" w:hAnsi="Calibri"/>
          <w:color w:val="1F4E79"/>
          <w:sz w:val="40"/>
        </w:rPr>
        <w:t>5.4 Analiz &amp; Grafik Sekmesi</w:t>
      </w:r>
    </w:p>
    <w:p>
      <w:pPr>
        <w:spacing w:after="120"/>
      </w:pPr>
      <w:r>
        <w:rPr>
          <w:rFonts w:ascii="Calibri" w:hAnsi="Calibri"/>
          <w:b w:val="0"/>
          <w:i w:val="0"/>
          <w:sz w:val="22"/>
        </w:rPr>
        <w:t>Analiz &amp; Grafik sekmesi, üretilen skor ve statü verilerini kullanıcı dostu grafiklere dönüştürür. Bu sekmede:</w:t>
      </w:r>
    </w:p>
    <w:p>
      <w:pPr>
        <w:pStyle w:val="ListBullet"/>
      </w:pPr>
      <w:r>
        <w:rPr>
          <w:rFonts w:ascii="Calibri" w:hAnsi="Calibri"/>
          <w:sz w:val="22"/>
        </w:rPr>
        <w:t>Kesinleşme puanı dağılım grafiği (histogram)</w:t>
      </w:r>
    </w:p>
    <w:p>
      <w:pPr>
        <w:pStyle w:val="ListBullet"/>
      </w:pPr>
      <w:r>
        <w:rPr>
          <w:rFonts w:ascii="Calibri" w:hAnsi="Calibri"/>
          <w:sz w:val="22"/>
        </w:rPr>
        <w:t>Statü dağılımı pasta grafiği</w:t>
      </w:r>
    </w:p>
    <w:p>
      <w:pPr>
        <w:pStyle w:val="ListBullet"/>
      </w:pPr>
      <w:r>
        <w:rPr>
          <w:rFonts w:ascii="Calibri" w:hAnsi="Calibri"/>
          <w:sz w:val="22"/>
        </w:rPr>
        <w:t>Yıllık trend çizgisi</w:t>
      </w:r>
    </w:p>
    <w:p>
      <w:pPr>
        <w:pStyle w:val="ListBullet"/>
      </w:pPr>
      <w:r>
        <w:rPr>
          <w:rFonts w:ascii="Calibri" w:hAnsi="Calibri"/>
          <w:sz w:val="22"/>
        </w:rPr>
        <w:t>AHP ağırlık bar grafiği</w:t>
      </w:r>
    </w:p>
    <w:p>
      <w:pPr>
        <w:pStyle w:val="ListBullet"/>
      </w:pPr>
      <w:r>
        <w:rPr>
          <w:rFonts w:ascii="Calibri" w:hAnsi="Calibri"/>
          <w:sz w:val="22"/>
        </w:rPr>
        <w:t>Açıklanabilirlik kartı: en yüksek skorlu ders, en düşük skorlu ders, en kritik (eşik etrafı) ders</w:t>
      </w:r>
    </w:p>
    <w:p>
      <w:pPr>
        <w:spacing w:after="120"/>
      </w:pPr>
      <w:r>
        <w:rPr>
          <w:rFonts w:ascii="Calibri" w:hAnsi="Calibri"/>
          <w:b w:val="0"/>
          <w:i w:val="0"/>
          <w:sz w:val="22"/>
        </w:rPr>
        <w:t>Her grafik tek tıkla PNG/SVG olarak dışa aktarılabilir; bu, yönetim sunumlarında doğrudan kullanılabilir hale getirir.</w:t>
      </w:r>
    </w:p>
    <w:p>
      <w:pPr>
        <w:pStyle w:val="Heading1"/>
      </w:pPr>
      <w:r>
        <w:rPr>
          <w:rFonts w:ascii="Calibri" w:hAnsi="Calibri"/>
          <w:color w:val="1F4E79"/>
          <w:sz w:val="40"/>
        </w:rPr>
        <w:t>5.5 Hesaplama &amp; Test Sekmesi</w:t>
      </w:r>
    </w:p>
    <w:p>
      <w:pPr>
        <w:spacing w:after="120"/>
      </w:pPr>
      <w:r>
        <w:rPr>
          <w:rFonts w:ascii="Calibri" w:hAnsi="Calibri"/>
          <w:b w:val="0"/>
          <w:i w:val="0"/>
          <w:sz w:val="22"/>
        </w:rPr>
        <w:t>Bu sekme, kullanıcının seçtiği bir fakülte/yıl kapsamında AHP+TOPSIS+state machine adımlarını manuel olarak çalıştırmasını sağlar. Sekme şunları sağlar:</w:t>
      </w:r>
    </w:p>
    <w:p>
      <w:pPr>
        <w:pStyle w:val="ListBullet"/>
      </w:pPr>
      <w:r>
        <w:rPr>
          <w:rFonts w:ascii="Calibri" w:hAnsi="Calibri"/>
          <w:sz w:val="22"/>
        </w:rPr>
        <w:t>Aktif AHP profilini gösterir; profil değiştirilebilir.</w:t>
      </w:r>
    </w:p>
    <w:p>
      <w:pPr>
        <w:pStyle w:val="ListBullet"/>
      </w:pPr>
      <w:r>
        <w:rPr>
          <w:rFonts w:ascii="Calibri" w:hAnsi="Calibri"/>
          <w:sz w:val="22"/>
        </w:rPr>
        <w:t>Hesaplamayı yalnızca müfredattaki dersler veya tüm havuz için çalıştırma seçeneği.</w:t>
      </w:r>
    </w:p>
    <w:p>
      <w:pPr>
        <w:pStyle w:val="ListBullet"/>
      </w:pPr>
      <w:r>
        <w:rPr>
          <w:rFonts w:ascii="Calibri" w:hAnsi="Calibri"/>
          <w:sz w:val="22"/>
        </w:rPr>
        <w:t>Adım adım çıktı: normalize matris, ağırlıklı matris, S+/S-, C ve kesinleşme puanı görüntülenir.</w:t>
      </w:r>
    </w:p>
    <w:p>
      <w:pPr>
        <w:pStyle w:val="ListBullet"/>
      </w:pPr>
      <w:r>
        <w:rPr>
          <w:rFonts w:ascii="Calibri" w:hAnsi="Calibri"/>
          <w:sz w:val="22"/>
        </w:rPr>
        <w:t>Sayaç ve state geçişlerinin önizlemesi.</w:t>
      </w:r>
    </w:p>
    <w:p>
      <w:pPr>
        <w:pStyle w:val="ListBullet"/>
      </w:pPr>
      <w:r>
        <w:rPr>
          <w:rFonts w:ascii="Calibri" w:hAnsi="Calibri"/>
          <w:sz w:val="22"/>
        </w:rPr>
        <w:t>“Karar Açıklaması” paneli — neden bu sınıfa düştüğünü kısa doğal dilde anlatır.</w:t>
      </w:r>
    </w:p>
    <w:p>
      <w:pPr>
        <w:spacing w:after="120"/>
      </w:pPr>
      <w:r>
        <w:rPr>
          <w:rFonts w:ascii="Calibri" w:hAnsi="Calibri"/>
          <w:b w:val="0"/>
          <w:i w:val="0"/>
          <w:sz w:val="22"/>
        </w:rPr>
        <w:t>Sekme aynı zamanda “Tek Ders Analiz Laboratuvarı” adında ayrı bir alt panele sahiptir; burada bir ders için tüm algoritmalar (AHP, TOPSIS, trend, LR, RF, DT, state) tek ekranda görüntülenir.</w:t>
      </w:r>
    </w:p>
    <w:p>
      <w:pPr>
        <w:pStyle w:val="Heading1"/>
      </w:pPr>
      <w:r>
        <w:rPr>
          <w:rFonts w:ascii="Calibri" w:hAnsi="Calibri"/>
          <w:color w:val="1F4E79"/>
          <w:sz w:val="40"/>
        </w:rPr>
        <w:t>5.6 Yıllık İş Akışı Senaryosu</w:t>
      </w:r>
    </w:p>
    <w:p>
      <w:pPr>
        <w:spacing w:after="120"/>
      </w:pPr>
      <w:r>
        <w:rPr>
          <w:rFonts w:ascii="Calibri" w:hAnsi="Calibri"/>
          <w:b w:val="0"/>
          <w:i w:val="0"/>
          <w:sz w:val="22"/>
        </w:rPr>
        <w:t>Bir akademik dönem boyunca tipik kullanım senaryosu şudur:</w:t>
      </w:r>
    </w:p>
    <w:p>
      <w:pPr>
        <w:pStyle w:val="ListNumber"/>
      </w:pPr>
      <w:r>
        <w:rPr>
          <w:rFonts w:ascii="Calibri" w:hAnsi="Calibri"/>
          <w:sz w:val="22"/>
        </w:rPr>
        <w:t>Eğitim yılı başında müfredat Excel dosyası yüklenir; sistem ders kataloğu ile eşleştirme yapar.</w:t>
      </w:r>
    </w:p>
    <w:p>
      <w:pPr>
        <w:pStyle w:val="ListNumber"/>
      </w:pPr>
      <w:r>
        <w:rPr>
          <w:rFonts w:ascii="Calibri" w:hAnsi="Calibri"/>
          <w:sz w:val="22"/>
        </w:rPr>
        <w:t>Yıl sonunda performans bilgisi (başarı, ortalama not, kontenjan, kayıtlı) Excel olarak yüklenir veya manuel girilir.</w:t>
      </w:r>
    </w:p>
    <w:p>
      <w:pPr>
        <w:pStyle w:val="ListNumber"/>
      </w:pPr>
      <w:r>
        <w:rPr>
          <w:rFonts w:ascii="Calibri" w:hAnsi="Calibri"/>
          <w:sz w:val="22"/>
        </w:rPr>
        <w:t>Anket sistemleri tarafından üretilen anket sonuçları yüklenir.</w:t>
      </w:r>
    </w:p>
    <w:p>
      <w:pPr>
        <w:pStyle w:val="ListNumber"/>
      </w:pPr>
      <w:r>
        <w:rPr>
          <w:rFonts w:ascii="Calibri" w:hAnsi="Calibri"/>
          <w:sz w:val="22"/>
        </w:rPr>
        <w:t>Sistem fakülte/bölüm bazında kriter tamlığını otomatik kontrol eder; eksik kayıt bulunan birimlere uyarı verir.</w:t>
      </w:r>
    </w:p>
    <w:p>
      <w:pPr>
        <w:pStyle w:val="ListNumber"/>
      </w:pPr>
      <w:r>
        <w:rPr>
          <w:rFonts w:ascii="Calibri" w:hAnsi="Calibri"/>
          <w:sz w:val="22"/>
        </w:rPr>
        <w:t>Tamlık sağlandığında yönetici “Sonraki Yıl Müfredatı Üret” butonu ile yıllık üretim çalıştırır.</w:t>
      </w:r>
    </w:p>
    <w:p>
      <w:pPr>
        <w:pStyle w:val="ListNumber"/>
      </w:pPr>
      <w:r>
        <w:rPr>
          <w:rFonts w:ascii="Calibri" w:hAnsi="Calibri"/>
          <w:sz w:val="22"/>
        </w:rPr>
        <w:t>Sistem AHP, TOPSIS, eşik ve state machine adımlarını çalıştırarak müfredat ve havuz çıktısı oluşturur.</w:t>
      </w:r>
    </w:p>
    <w:p>
      <w:pPr>
        <w:pStyle w:val="ListNumber"/>
      </w:pPr>
      <w:r>
        <w:rPr>
          <w:rFonts w:ascii="Calibri" w:hAnsi="Calibri"/>
          <w:sz w:val="22"/>
        </w:rPr>
        <w:t>Yönetici çıktıyı raporlar; CSV/Excel olarak öğrenci işleri veya OBS sistemine iletir.</w:t>
      </w:r>
    </w:p>
    <w:p>
      <w:pPr>
        <w:pStyle w:val="ListNumber"/>
      </w:pPr>
      <w:r>
        <w:rPr>
          <w:rFonts w:ascii="Calibri" w:hAnsi="Calibri"/>
          <w:sz w:val="22"/>
        </w:rPr>
        <w:t>Denetim tablosu (curriculum_generation_audit) bu üretimin kullanılan profil, ağırlık snapshot’ı, tutarlılık oranı ve zaman damgasını saklar.</w:t>
      </w:r>
    </w:p>
    <w:p>
      <w:pPr>
        <w:spacing w:after="120"/>
      </w:pPr>
      <w:r>
        <w:rPr>
          <w:rFonts w:ascii="Calibri" w:hAnsi="Calibri"/>
          <w:b w:val="0"/>
          <w:i w:val="0"/>
          <w:sz w:val="22"/>
        </w:rPr>
        <w:t>Tüm bu adımlar gerektiğinde REST API üzerinden de tetiklenebilir; bu sayede sistem büyük bir kurumsal ortamla otomasyon entegrasyonu kurabilir.</w:t>
      </w:r>
    </w:p>
    <w:p>
      <w:r>
        <w:br w:type="page"/>
      </w:r>
    </w:p>
    <w:p>
      <w:pPr>
        <w:pStyle w:val="Title"/>
      </w:pPr>
      <w:r>
        <w:rPr>
          <w:rFonts w:ascii="Calibri" w:hAnsi="Calibri"/>
          <w:color w:val="1F4E79"/>
          <w:sz w:val="56"/>
        </w:rPr>
        <w:t>6. SONUÇ VE DEĞERLENDİRME</w:t>
      </w:r>
    </w:p>
    <w:p>
      <w:pPr>
        <w:pStyle w:val="Heading1"/>
      </w:pPr>
      <w:r>
        <w:rPr>
          <w:rFonts w:ascii="Calibri" w:hAnsi="Calibri"/>
          <w:color w:val="1F4E79"/>
          <w:sz w:val="40"/>
        </w:rPr>
        <w:t>6.1 Elde Edilen Sonuçlar</w:t>
      </w:r>
    </w:p>
    <w:p>
      <w:pPr>
        <w:spacing w:after="120"/>
      </w:pPr>
      <w:r>
        <w:rPr>
          <w:rFonts w:ascii="Calibri" w:hAnsi="Calibri"/>
          <w:b w:val="0"/>
          <w:i w:val="0"/>
          <w:sz w:val="22"/>
        </w:rPr>
        <w:t>Geliştirilen sistem, seçmeli ders planlamasını klasik yöntemlere göre çok daha şeffaf, doğrulanabilir ve açıklanabilir hale getirmiştir. Yapılan deneylerde:</w:t>
      </w:r>
    </w:p>
    <w:p>
      <w:pPr>
        <w:pStyle w:val="ListBullet"/>
      </w:pPr>
      <w:r>
        <w:rPr>
          <w:rFonts w:ascii="Calibri" w:hAnsi="Calibri"/>
          <w:sz w:val="22"/>
        </w:rPr>
        <w:t>AHP tutarlılık oranı CR = 0.089 &lt; 0.10 ile kabul sınırının altında kalmıştır; aktif profil id=11 üretim hattında düzgün şekilde devreye alınmaktadır.</w:t>
      </w:r>
    </w:p>
    <w:p>
      <w:pPr>
        <w:pStyle w:val="ListBullet"/>
      </w:pPr>
      <w:r>
        <w:rPr>
          <w:rFonts w:ascii="Calibri" w:hAnsi="Calibri"/>
          <w:sz w:val="22"/>
        </w:rPr>
        <w:t>TOPSIS kesinleşme puanları üç tepeli bir dağılım sergilemiş ve eşik temelli karar üretimi için net kümelenme sağlamıştır.</w:t>
      </w:r>
    </w:p>
    <w:p>
      <w:pPr>
        <w:pStyle w:val="ListBullet"/>
      </w:pPr>
      <w:r>
        <w:rPr>
          <w:rFonts w:ascii="Calibri" w:hAnsi="Calibri"/>
          <w:sz w:val="22"/>
        </w:rPr>
        <w:t>Trend yeniden ölçekleme stratejisi, eksik yıl verisinde bile trend sinyalinin korunmasını sağlamıştır.</w:t>
      </w:r>
    </w:p>
    <w:p>
      <w:pPr>
        <w:pStyle w:val="ListBullet"/>
      </w:pPr>
      <w:r>
        <w:rPr>
          <w:rFonts w:ascii="Calibri" w:hAnsi="Calibri"/>
          <w:sz w:val="22"/>
        </w:rPr>
        <w:t>Çift dönem (güz/bahar) dengeleme, 4+4 hedefini sağlayarak ders çakışmasını engellemiş ve dönem geçişi yapan dersleri skor sırasına göre yerleştirmiştir.</w:t>
      </w:r>
    </w:p>
    <w:p>
      <w:pPr>
        <w:pStyle w:val="ListBullet"/>
      </w:pPr>
      <w:r>
        <w:rPr>
          <w:rFonts w:ascii="Calibri" w:hAnsi="Calibri"/>
          <w:sz w:val="22"/>
        </w:rPr>
        <w:t>State machine 1 → 0 → -1 → -2 geçişleri sayaç ile birlikte doğru çalışmış ve denetim tablosuna işlenmiştir.</w:t>
      </w:r>
    </w:p>
    <w:p>
      <w:pPr>
        <w:pStyle w:val="ListBullet"/>
      </w:pPr>
      <w:r>
        <w:rPr>
          <w:rFonts w:ascii="Calibri" w:hAnsi="Calibri"/>
          <w:sz w:val="22"/>
        </w:rPr>
        <w:t>ML benchmark’ında XGBoost (0.84) ve Random Forest (0.82) yüksek doğruluk göstermiş; Decision Tree açıklanabilirlik için tercih edilebilir olmuştur.</w:t>
      </w:r>
    </w:p>
    <w:p>
      <w:pPr>
        <w:pStyle w:val="ListBullet"/>
      </w:pPr>
      <w:r>
        <w:rPr>
          <w:rFonts w:ascii="Calibri" w:hAnsi="Calibri"/>
          <w:sz w:val="22"/>
        </w:rPr>
        <w:t>Allocation algoritmaları arasından Gale-Shapley adalet metriklerinde en stabil sonuçları üretmiştir.</w:t>
      </w:r>
    </w:p>
    <w:p>
      <w:pPr>
        <w:pStyle w:val="Heading1"/>
      </w:pPr>
      <w:r>
        <w:rPr>
          <w:rFonts w:ascii="Calibri" w:hAnsi="Calibri"/>
          <w:color w:val="1F4E79"/>
          <w:sz w:val="40"/>
        </w:rPr>
        <w:t>6.2 Sistemin Güçlü Yönleri</w:t>
      </w:r>
    </w:p>
    <w:p>
      <w:pPr>
        <w:pStyle w:val="ListBullet"/>
      </w:pPr>
      <w:r>
        <w:rPr>
          <w:rFonts w:ascii="Calibri" w:hAnsi="Calibri"/>
          <w:sz w:val="22"/>
        </w:rPr>
        <w:t>Açıklanabilir karar hattı: AHP ağırlıkları, TOPSIS adımı, eşik ve state geçişi her ders için izlenebilir.</w:t>
      </w:r>
    </w:p>
    <w:p>
      <w:pPr>
        <w:pStyle w:val="ListBullet"/>
      </w:pPr>
      <w:r>
        <w:rPr>
          <w:rFonts w:ascii="Calibri" w:hAnsi="Calibri"/>
          <w:sz w:val="22"/>
        </w:rPr>
        <w:t>Kurumsal hafıza: curriculum_generation_audit ve import tabloları her kararın kaynağını saklar.</w:t>
      </w:r>
    </w:p>
    <w:p>
      <w:pPr>
        <w:pStyle w:val="ListBullet"/>
      </w:pPr>
      <w:r>
        <w:rPr>
          <w:rFonts w:ascii="Calibri" w:hAnsi="Calibri"/>
          <w:sz w:val="22"/>
        </w:rPr>
        <w:t>Eksik veri dayanıklılığı: kriter tamlığı kontrolü, trend yeniden ölçekleme, ML fallback ve XGBoost yokken GB fallback gibi mekanizmalar.</w:t>
      </w:r>
    </w:p>
    <w:p>
      <w:pPr>
        <w:pStyle w:val="ListBullet"/>
      </w:pPr>
      <w:r>
        <w:rPr>
          <w:rFonts w:ascii="Calibri" w:hAnsi="Calibri"/>
          <w:sz w:val="22"/>
        </w:rPr>
        <w:t>Tek karar motoru, çok arayüz: aynı servisler hem masaüstü hem REST API tarafından kullanılır.</w:t>
      </w:r>
    </w:p>
    <w:p>
      <w:pPr>
        <w:pStyle w:val="ListBullet"/>
      </w:pPr>
      <w:r>
        <w:rPr>
          <w:rFonts w:ascii="Calibri" w:hAnsi="Calibri"/>
          <w:sz w:val="22"/>
        </w:rPr>
        <w:t>Genişletilebilirlik: yeni algoritma eklemek IAlgorithm kontratını uygulamakla sınırlıdır.</w:t>
      </w:r>
    </w:p>
    <w:p>
      <w:pPr>
        <w:pStyle w:val="ListBullet"/>
      </w:pPr>
      <w:r>
        <w:rPr>
          <w:rFonts w:ascii="Calibri" w:hAnsi="Calibri"/>
          <w:sz w:val="22"/>
        </w:rPr>
        <w:t>Türkçe terminoloji ve yerel anlamlar: ders adı, kapsamı, anket alanları yerel akademik kültüre uyumludur.</w:t>
      </w:r>
    </w:p>
    <w:p>
      <w:pPr>
        <w:pStyle w:val="Heading1"/>
      </w:pPr>
      <w:r>
        <w:rPr>
          <w:rFonts w:ascii="Calibri" w:hAnsi="Calibri"/>
          <w:color w:val="1F4E79"/>
          <w:sz w:val="40"/>
        </w:rPr>
        <w:t>6.3 Sınırlılıklar</w:t>
      </w:r>
    </w:p>
    <w:p>
      <w:pPr>
        <w:pStyle w:val="ListBullet"/>
      </w:pPr>
      <w:r>
        <w:rPr>
          <w:rFonts w:ascii="Calibri" w:hAnsi="Calibri"/>
          <w:sz w:val="22"/>
        </w:rPr>
        <w:t>SQLite tek kullanıcılı çalışma için uygundur; gerçek üniversite ölçeğinde PostgreSQL gibi çok kullanıcılı veritabanı tercih edilmelidir (sistemde PostgreSQL geçiş runbook’u hazırdır).</w:t>
      </w:r>
    </w:p>
    <w:p>
      <w:pPr>
        <w:pStyle w:val="ListBullet"/>
      </w:pPr>
      <w:r>
        <w:rPr>
          <w:rFonts w:ascii="Calibri" w:hAnsi="Calibri"/>
          <w:sz w:val="22"/>
        </w:rPr>
        <w:t>Üretim seviyesi rol bazlı kimlik doğrulama (RBAC) henüz tamamlanmamıştır; mevcut API anahtar bazlı temel doğrulamayla çalışır.</w:t>
      </w:r>
    </w:p>
    <w:p>
      <w:pPr>
        <w:pStyle w:val="ListBullet"/>
      </w:pPr>
      <w:r>
        <w:rPr>
          <w:rFonts w:ascii="Calibri" w:hAnsi="Calibri"/>
          <w:sz w:val="22"/>
        </w:rPr>
        <w:t>ML modülünün gerçek anlamda güvenilir öneri sunması için veritabanının daha fazla yıllık veriyle beslenmesi gerekir.</w:t>
      </w:r>
    </w:p>
    <w:p>
      <w:pPr>
        <w:pStyle w:val="ListBullet"/>
      </w:pPr>
      <w:r>
        <w:rPr>
          <w:rFonts w:ascii="Calibri" w:hAnsi="Calibri"/>
          <w:sz w:val="22"/>
        </w:rPr>
        <w:t>Anket verisinde gözlemlenen dejenere girdiler (sıfır varyans) sistemin bu kriterin sinyal taşımamasına yol açabilir; veri kalitesi sayfası bunu uyarı olarak göstermektedir.</w:t>
      </w:r>
    </w:p>
    <w:p>
      <w:pPr>
        <w:pStyle w:val="Heading1"/>
      </w:pPr>
      <w:r>
        <w:rPr>
          <w:rFonts w:ascii="Calibri" w:hAnsi="Calibri"/>
          <w:color w:val="1F4E79"/>
          <w:sz w:val="40"/>
        </w:rPr>
        <w:t>6.3.1 Karşılaşılan Zorluklar ve Çözümleri</w:t>
      </w:r>
    </w:p>
    <w:p>
      <w:pPr>
        <w:spacing w:after="120"/>
      </w:pPr>
      <w:r>
        <w:rPr>
          <w:rFonts w:ascii="Calibri" w:hAnsi="Calibri"/>
          <w:b w:val="0"/>
          <w:i w:val="0"/>
          <w:sz w:val="22"/>
        </w:rPr>
        <w:t>Geliştirme süreci boyunca aşağıdaki zorluklarla karşılaşıldı ve çözümler üretildi:</w:t>
      </w:r>
    </w:p>
    <w:tbl>
      <w:tblPr>
        <w:tblStyle w:val="LightGrid-Accent1"/>
        <w:tblW w:type="auto" w:w="0"/>
        <w:jc w:val="center"/>
        <w:tblLook w:firstColumn="1" w:firstRow="1" w:lastColumn="0" w:lastRow="0" w:noHBand="0" w:noVBand="1" w:val="04A0"/>
      </w:tblPr>
      <w:tblGrid>
        <w:gridCol w:w="3192"/>
        <w:gridCol w:w="3192"/>
        <w:gridCol w:w="3192"/>
      </w:tblGrid>
      <w:tr>
        <w:tc>
          <w:tcPr>
            <w:tcW w:type="dxa" w:w="2835"/>
            <w:shd w:fill="1F4E79" w:val="clear"/>
            <w:vAlign w:val="center"/>
          </w:tcPr>
          <w:p>
            <w:r/>
            <w:r>
              <w:rPr>
                <w:b/>
                <w:color w:val="FFFFFF"/>
                <w:sz w:val="22"/>
              </w:rPr>
              <w:t>Sorun</w:t>
            </w:r>
          </w:p>
        </w:tc>
        <w:tc>
          <w:tcPr>
            <w:tcW w:type="dxa" w:w="2551"/>
            <w:shd w:fill="1F4E79" w:val="clear"/>
            <w:vAlign w:val="center"/>
          </w:tcPr>
          <w:p>
            <w:r/>
            <w:r>
              <w:rPr>
                <w:b/>
                <w:color w:val="FFFFFF"/>
                <w:sz w:val="22"/>
              </w:rPr>
              <w:t>Etkisi</w:t>
            </w:r>
          </w:p>
        </w:tc>
        <w:tc>
          <w:tcPr>
            <w:tcW w:type="dxa" w:w="3118"/>
            <w:shd w:fill="1F4E79" w:val="clear"/>
            <w:vAlign w:val="center"/>
          </w:tcPr>
          <w:p>
            <w:r/>
            <w:r>
              <w:rPr>
                <w:b/>
                <w:color w:val="FFFFFF"/>
                <w:sz w:val="22"/>
              </w:rPr>
              <w:t>Uygulanan Çözüm</w:t>
            </w:r>
          </w:p>
        </w:tc>
      </w:tr>
      <w:tr>
        <w:tc>
          <w:tcPr>
            <w:tcW w:type="dxa" w:w="2835"/>
            <w:vAlign w:val="center"/>
          </w:tcPr>
          <w:p>
            <w:r/>
            <w:r>
              <w:rPr>
                <w:sz w:val="20"/>
              </w:rPr>
              <w:t>AHP ağırlıklarının kodda sabit olması</w:t>
            </w:r>
          </w:p>
        </w:tc>
        <w:tc>
          <w:tcPr>
            <w:tcW w:type="dxa" w:w="2551"/>
            <w:vAlign w:val="center"/>
          </w:tcPr>
          <w:p>
            <w:r/>
            <w:r>
              <w:rPr>
                <w:sz w:val="20"/>
              </w:rPr>
              <w:t>Yıl/birim bazlı esneklik yok</w:t>
            </w:r>
          </w:p>
        </w:tc>
        <w:tc>
          <w:tcPr>
            <w:tcW w:type="dxa" w:w="3118"/>
            <w:vAlign w:val="center"/>
          </w:tcPr>
          <w:p>
            <w:r/>
            <w:r>
              <w:rPr>
                <w:sz w:val="20"/>
              </w:rPr>
              <w:t>AHP profil sistemi ve hiyerarşik fallback</w:t>
            </w:r>
          </w:p>
        </w:tc>
      </w:tr>
      <w:tr>
        <w:tc>
          <w:tcPr>
            <w:tcW w:type="dxa" w:w="2835"/>
            <w:vAlign w:val="center"/>
            <w:shd w:fill="F2F6FA" w:val="clear"/>
          </w:tcPr>
          <w:p>
            <w:r/>
            <w:r>
              <w:rPr>
                <w:sz w:val="20"/>
              </w:rPr>
              <w:t>TOPSIS girdilerinde sıfır varyans</w:t>
            </w:r>
          </w:p>
        </w:tc>
        <w:tc>
          <w:tcPr>
            <w:tcW w:type="dxa" w:w="2551"/>
            <w:vAlign w:val="center"/>
            <w:shd w:fill="F2F6FA" w:val="clear"/>
          </w:tcPr>
          <w:p>
            <w:r/>
            <w:r>
              <w:rPr>
                <w:sz w:val="20"/>
              </w:rPr>
              <w:t>Tüm dersler aynı skoru alıyor</w:t>
            </w:r>
          </w:p>
        </w:tc>
        <w:tc>
          <w:tcPr>
            <w:tcW w:type="dxa" w:w="3118"/>
            <w:vAlign w:val="center"/>
            <w:shd w:fill="F2F6FA" w:val="clear"/>
          </w:tcPr>
          <w:p>
            <w:r/>
            <w:r>
              <w:rPr>
                <w:sz w:val="20"/>
              </w:rPr>
              <w:t>Veri kalitesi sayfası ve uyarı sistemi</w:t>
            </w:r>
          </w:p>
        </w:tc>
      </w:tr>
      <w:tr>
        <w:tc>
          <w:tcPr>
            <w:tcW w:type="dxa" w:w="2835"/>
            <w:vAlign w:val="center"/>
          </w:tcPr>
          <w:p>
            <w:r/>
            <w:r>
              <w:rPr>
                <w:sz w:val="20"/>
              </w:rPr>
              <w:t>Trend verisi olmayan başlangıç yılı</w:t>
            </w:r>
          </w:p>
        </w:tc>
        <w:tc>
          <w:tcPr>
            <w:tcW w:type="dxa" w:w="2551"/>
            <w:vAlign w:val="center"/>
          </w:tcPr>
          <w:p>
            <w:r/>
            <w:r>
              <w:rPr>
                <w:sz w:val="20"/>
              </w:rPr>
              <w:t>Bias’li hesap</w:t>
            </w:r>
          </w:p>
        </w:tc>
        <w:tc>
          <w:tcPr>
            <w:tcW w:type="dxa" w:w="3118"/>
            <w:vAlign w:val="center"/>
          </w:tcPr>
          <w:p>
            <w:r/>
            <w:r>
              <w:rPr>
                <w:sz w:val="20"/>
              </w:rPr>
              <w:t>Nötr 0.5 değeri ve yeniden ölçekleme</w:t>
            </w:r>
          </w:p>
        </w:tc>
      </w:tr>
      <w:tr>
        <w:tc>
          <w:tcPr>
            <w:tcW w:type="dxa" w:w="2835"/>
            <w:vAlign w:val="center"/>
            <w:shd w:fill="F2F6FA" w:val="clear"/>
          </w:tcPr>
          <w:p>
            <w:r/>
            <w:r>
              <w:rPr>
                <w:sz w:val="20"/>
              </w:rPr>
              <w:t>Ders eşleştirme Excel/DB farklılığı</w:t>
            </w:r>
          </w:p>
        </w:tc>
        <w:tc>
          <w:tcPr>
            <w:tcW w:type="dxa" w:w="2551"/>
            <w:vAlign w:val="center"/>
            <w:shd w:fill="F2F6FA" w:val="clear"/>
          </w:tcPr>
          <w:p>
            <w:r/>
            <w:r>
              <w:rPr>
                <w:sz w:val="20"/>
              </w:rPr>
              <w:t>Import’ta düşen satırlar</w:t>
            </w:r>
          </w:p>
        </w:tc>
        <w:tc>
          <w:tcPr>
            <w:tcW w:type="dxa" w:w="3118"/>
            <w:vAlign w:val="center"/>
            <w:shd w:fill="F2F6FA" w:val="clear"/>
          </w:tcPr>
          <w:p>
            <w:r/>
            <w:r>
              <w:rPr>
                <w:sz w:val="20"/>
              </w:rPr>
              <w:t>Çoklu eşleme stratejisi (kod, normalize ad)</w:t>
            </w:r>
          </w:p>
        </w:tc>
      </w:tr>
      <w:tr>
        <w:tc>
          <w:tcPr>
            <w:tcW w:type="dxa" w:w="2835"/>
            <w:vAlign w:val="center"/>
          </w:tcPr>
          <w:p>
            <w:r/>
            <w:r>
              <w:rPr>
                <w:sz w:val="20"/>
              </w:rPr>
              <w:t>XGBoost’un her ortamda yüklü olmaması</w:t>
            </w:r>
          </w:p>
        </w:tc>
        <w:tc>
          <w:tcPr>
            <w:tcW w:type="dxa" w:w="2551"/>
            <w:vAlign w:val="center"/>
          </w:tcPr>
          <w:p>
            <w:r/>
            <w:r>
              <w:rPr>
                <w:sz w:val="20"/>
              </w:rPr>
              <w:t>Modülün düşmesi</w:t>
            </w:r>
          </w:p>
        </w:tc>
        <w:tc>
          <w:tcPr>
            <w:tcW w:type="dxa" w:w="3118"/>
            <w:vAlign w:val="center"/>
          </w:tcPr>
          <w:p>
            <w:r/>
            <w:r>
              <w:rPr>
                <w:sz w:val="20"/>
              </w:rPr>
              <w:t>GradientBoosting fallback</w:t>
            </w:r>
          </w:p>
        </w:tc>
      </w:tr>
      <w:tr>
        <w:tc>
          <w:tcPr>
            <w:tcW w:type="dxa" w:w="2835"/>
            <w:vAlign w:val="center"/>
            <w:shd w:fill="F2F6FA" w:val="clear"/>
          </w:tcPr>
          <w:p>
            <w:r/>
            <w:r>
              <w:rPr>
                <w:sz w:val="20"/>
              </w:rPr>
              <w:t>UI ve API kod tekrarı riski</w:t>
            </w:r>
          </w:p>
        </w:tc>
        <w:tc>
          <w:tcPr>
            <w:tcW w:type="dxa" w:w="2551"/>
            <w:vAlign w:val="center"/>
            <w:shd w:fill="F2F6FA" w:val="clear"/>
          </w:tcPr>
          <w:p>
            <w:r/>
            <w:r>
              <w:rPr>
                <w:sz w:val="20"/>
              </w:rPr>
              <w:t>İki kanalın ayrışma ihtimali</w:t>
            </w:r>
          </w:p>
        </w:tc>
        <w:tc>
          <w:tcPr>
            <w:tcW w:type="dxa" w:w="3118"/>
            <w:vAlign w:val="center"/>
            <w:shd w:fill="F2F6FA" w:val="clear"/>
          </w:tcPr>
          <w:p>
            <w:r/>
            <w:r>
              <w:rPr>
                <w:sz w:val="20"/>
              </w:rPr>
              <w:t>Ortak servis katmanı</w:t>
            </w:r>
          </w:p>
        </w:tc>
      </w:tr>
      <w:tr>
        <w:tc>
          <w:tcPr>
            <w:tcW w:type="dxa" w:w="2835"/>
            <w:vAlign w:val="center"/>
          </w:tcPr>
          <w:p>
            <w:r/>
            <w:r>
              <w:rPr>
                <w:sz w:val="20"/>
              </w:rPr>
              <w:t>SQLite write lock</w:t>
            </w:r>
          </w:p>
        </w:tc>
        <w:tc>
          <w:tcPr>
            <w:tcW w:type="dxa" w:w="2551"/>
            <w:vAlign w:val="center"/>
          </w:tcPr>
          <w:p>
            <w:r/>
            <w:r>
              <w:rPr>
                <w:sz w:val="20"/>
              </w:rPr>
              <w:t>Çoklu erişimde kilitlenme</w:t>
            </w:r>
          </w:p>
        </w:tc>
        <w:tc>
          <w:tcPr>
            <w:tcW w:type="dxa" w:w="3118"/>
            <w:vAlign w:val="center"/>
          </w:tcPr>
          <w:p>
            <w:r/>
            <w:r>
              <w:rPr>
                <w:sz w:val="20"/>
              </w:rPr>
              <w:t>WAL pragma ve queue mekanizması</w:t>
            </w:r>
          </w:p>
        </w:tc>
      </w:tr>
      <w:tr>
        <w:tc>
          <w:tcPr>
            <w:tcW w:type="dxa" w:w="2835"/>
            <w:vAlign w:val="center"/>
            <w:shd w:fill="F2F6FA" w:val="clear"/>
          </w:tcPr>
          <w:p>
            <w:r/>
            <w:r>
              <w:rPr>
                <w:sz w:val="20"/>
              </w:rPr>
              <w:t>Eski DB şemalarıyla uyum</w:t>
            </w:r>
          </w:p>
        </w:tc>
        <w:tc>
          <w:tcPr>
            <w:tcW w:type="dxa" w:w="2551"/>
            <w:vAlign w:val="center"/>
            <w:shd w:fill="F2F6FA" w:val="clear"/>
          </w:tcPr>
          <w:p>
            <w:r/>
            <w:r>
              <w:rPr>
                <w:sz w:val="20"/>
              </w:rPr>
              <w:t>Yeni sütun beklentisi</w:t>
            </w:r>
          </w:p>
        </w:tc>
        <w:tc>
          <w:tcPr>
            <w:tcW w:type="dxa" w:w="3118"/>
            <w:vAlign w:val="center"/>
            <w:shd w:fill="F2F6FA" w:val="clear"/>
          </w:tcPr>
          <w:p>
            <w:r/>
            <w:r>
              <w:rPr>
                <w:sz w:val="20"/>
              </w:rPr>
              <w:t>Runtime schema_compat guard</w:t>
            </w:r>
          </w:p>
        </w:tc>
      </w:tr>
      <w:tr>
        <w:tc>
          <w:tcPr>
            <w:tcW w:type="dxa" w:w="2835"/>
            <w:vAlign w:val="center"/>
          </w:tcPr>
          <w:p>
            <w:r/>
            <w:r>
              <w:rPr>
                <w:sz w:val="20"/>
              </w:rPr>
              <w:t>Yıllık üretim deterministikliği</w:t>
            </w:r>
          </w:p>
        </w:tc>
        <w:tc>
          <w:tcPr>
            <w:tcW w:type="dxa" w:w="2551"/>
            <w:vAlign w:val="center"/>
          </w:tcPr>
          <w:p>
            <w:r/>
            <w:r>
              <w:rPr>
                <w:sz w:val="20"/>
              </w:rPr>
              <w:t>Aynı verinin farklı sonuç vermesi</w:t>
            </w:r>
          </w:p>
        </w:tc>
        <w:tc>
          <w:tcPr>
            <w:tcW w:type="dxa" w:w="3118"/>
            <w:vAlign w:val="center"/>
          </w:tcPr>
          <w:p>
            <w:r/>
            <w:r>
              <w:rPr>
                <w:sz w:val="20"/>
              </w:rPr>
              <w:t>Golden dataset ve seed kontrolü</w:t>
            </w:r>
          </w:p>
        </w:tc>
      </w:tr>
      <w:tr>
        <w:tc>
          <w:tcPr>
            <w:tcW w:type="dxa" w:w="2835"/>
            <w:vAlign w:val="center"/>
            <w:shd w:fill="F2F6FA" w:val="clear"/>
          </w:tcPr>
          <w:p>
            <w:r/>
            <w:r>
              <w:rPr>
                <w:sz w:val="20"/>
              </w:rPr>
              <w:t>Anket Excel’indeki başlık çeşitliliği</w:t>
            </w:r>
          </w:p>
        </w:tc>
        <w:tc>
          <w:tcPr>
            <w:tcW w:type="dxa" w:w="2551"/>
            <w:vAlign w:val="center"/>
            <w:shd w:fill="F2F6FA" w:val="clear"/>
          </w:tcPr>
          <w:p>
            <w:r/>
            <w:r>
              <w:rPr>
                <w:sz w:val="20"/>
              </w:rPr>
              <w:t>Kolon bulamama</w:t>
            </w:r>
          </w:p>
        </w:tc>
        <w:tc>
          <w:tcPr>
            <w:tcW w:type="dxa" w:w="3118"/>
            <w:vAlign w:val="center"/>
            <w:shd w:fill="F2F6FA" w:val="clear"/>
          </w:tcPr>
          <w:p>
            <w:r/>
            <w:r>
              <w:rPr>
                <w:sz w:val="20"/>
              </w:rPr>
              <w:t>Çoklu alias eşlemesi</w:t>
            </w:r>
          </w:p>
        </w:tc>
      </w:tr>
    </w:tbl>
    <w:p>
      <w:pPr>
        <w:pStyle w:val="Heading1"/>
      </w:pPr>
      <w:r>
        <w:rPr>
          <w:rFonts w:ascii="Calibri" w:hAnsi="Calibri"/>
          <w:color w:val="1F4E79"/>
          <w:sz w:val="40"/>
        </w:rPr>
        <w:t>6.4 Gelecek Çalışmalar</w:t>
      </w:r>
    </w:p>
    <w:p>
      <w:pPr>
        <w:pStyle w:val="ListBullet"/>
      </w:pPr>
      <w:r>
        <w:rPr>
          <w:rFonts w:ascii="Calibri" w:hAnsi="Calibri"/>
          <w:sz w:val="22"/>
        </w:rPr>
        <w:t>PostgreSQL’e geçiş ve çok kullanıcı senaryosunda yük testleri.</w:t>
      </w:r>
    </w:p>
    <w:p>
      <w:pPr>
        <w:pStyle w:val="ListBullet"/>
      </w:pPr>
      <w:r>
        <w:rPr>
          <w:rFonts w:ascii="Calibri" w:hAnsi="Calibri"/>
          <w:sz w:val="22"/>
        </w:rPr>
        <w:t>RBAC tabanlı tam kapsamlı kimlik doğrulama ve audit zinciri.</w:t>
      </w:r>
    </w:p>
    <w:p>
      <w:pPr>
        <w:pStyle w:val="ListBullet"/>
      </w:pPr>
      <w:r>
        <w:rPr>
          <w:rFonts w:ascii="Calibri" w:hAnsi="Calibri"/>
          <w:sz w:val="22"/>
        </w:rPr>
        <w:t>Web tabanlı dashboard ve mobil görüntüleyici.</w:t>
      </w:r>
    </w:p>
    <w:p>
      <w:pPr>
        <w:pStyle w:val="ListBullet"/>
      </w:pPr>
      <w:r>
        <w:rPr>
          <w:rFonts w:ascii="Calibri" w:hAnsi="Calibri"/>
          <w:sz w:val="22"/>
        </w:rPr>
        <w:t>Üniversite OBS sistemleriyle SSO ve OAuth entegrasyonu.</w:t>
      </w:r>
    </w:p>
    <w:p>
      <w:pPr>
        <w:pStyle w:val="ListBullet"/>
      </w:pPr>
      <w:r>
        <w:rPr>
          <w:rFonts w:ascii="Calibri" w:hAnsi="Calibri"/>
          <w:sz w:val="22"/>
        </w:rPr>
        <w:t>Yeni karar destek algoritmalarının (örn. MOORA, COPRAS, MULTIMOORA) benchmark’a eklenmesi.</w:t>
      </w:r>
    </w:p>
    <w:p>
      <w:pPr>
        <w:pStyle w:val="ListBullet"/>
      </w:pPr>
      <w:r>
        <w:rPr>
          <w:rFonts w:ascii="Calibri" w:hAnsi="Calibri"/>
          <w:sz w:val="22"/>
        </w:rPr>
        <w:t>Açıklanabilirlik için SHAP / LIME tabanlı yorumlama desteği.</w:t>
      </w:r>
    </w:p>
    <w:p>
      <w:pPr>
        <w:pStyle w:val="ListBullet"/>
      </w:pPr>
      <w:r>
        <w:rPr>
          <w:rFonts w:ascii="Calibri" w:hAnsi="Calibri"/>
          <w:sz w:val="22"/>
        </w:rPr>
        <w:t>Anket verisinde otomatik anomali tespiti ve kalite skoru.</w:t>
      </w:r>
    </w:p>
    <w:p>
      <w:pPr>
        <w:pStyle w:val="ListBullet"/>
      </w:pPr>
      <w:r>
        <w:rPr>
          <w:rFonts w:ascii="Calibri" w:hAnsi="Calibri"/>
          <w:sz w:val="22"/>
        </w:rPr>
        <w:t>Optimizasyon: çok kriterli model üzerinde Pareto optimal müfredat seti üretimi.</w:t>
      </w:r>
    </w:p>
    <w:p>
      <w:r>
        <w:br w:type="page"/>
      </w:r>
    </w:p>
    <w:p>
      <w:pPr>
        <w:pStyle w:val="Title"/>
      </w:pPr>
      <w:r>
        <w:rPr>
          <w:rFonts w:ascii="Calibri" w:hAnsi="Calibri"/>
          <w:color w:val="1F4E79"/>
          <w:sz w:val="56"/>
        </w:rPr>
        <w:t>KAYNAKLAR</w:t>
      </w:r>
    </w:p>
    <w:p>
      <w:pPr>
        <w:pStyle w:val="ListNumber"/>
      </w:pPr>
      <w:r>
        <w:rPr>
          <w:sz w:val="22"/>
        </w:rPr>
        <w:t>Saaty, T. L. (1980). The Analytic Hierarchy Process. New York: McGraw-Hill.</w:t>
      </w:r>
    </w:p>
    <w:p>
      <w:pPr>
        <w:pStyle w:val="ListNumber"/>
      </w:pPr>
      <w:r>
        <w:rPr>
          <w:sz w:val="22"/>
        </w:rPr>
        <w:t>Hwang, C. L., &amp; Yoon, K. (1981). Multiple Attribute Decision Making: Methods and Applications. Springer-Verlag.</w:t>
      </w:r>
    </w:p>
    <w:p>
      <w:pPr>
        <w:pStyle w:val="ListNumber"/>
      </w:pPr>
      <w:r>
        <w:rPr>
          <w:sz w:val="22"/>
        </w:rPr>
        <w:t>Opricovic, S. (1998). Multicriteria Optimization of Civil Engineering Systems. Faculty of Civil Engineering, Belgrade.</w:t>
      </w:r>
    </w:p>
    <w:p>
      <w:pPr>
        <w:pStyle w:val="ListNumber"/>
      </w:pPr>
      <w:r>
        <w:rPr>
          <w:sz w:val="22"/>
        </w:rPr>
        <w:t>Brans, J. P., &amp; Vincke, P. (1985). A Preference Ranking Organization Method (PROMETHEE). Management Science, 31(6).</w:t>
      </w:r>
    </w:p>
    <w:p>
      <w:pPr>
        <w:pStyle w:val="ListNumber"/>
      </w:pPr>
      <w:r>
        <w:rPr>
          <w:sz w:val="22"/>
        </w:rPr>
        <w:t>Breiman, L. (2001). Random Forests. Machine Learning, 45(1), 5-32.</w:t>
      </w:r>
    </w:p>
    <w:p>
      <w:pPr>
        <w:pStyle w:val="ListNumber"/>
      </w:pPr>
      <w:r>
        <w:rPr>
          <w:sz w:val="22"/>
        </w:rPr>
        <w:t>Chen, T., &amp; Guestrin, C. (2016). XGBoost: A Scalable Tree Boosting System. KDD.</w:t>
      </w:r>
    </w:p>
    <w:p>
      <w:pPr>
        <w:pStyle w:val="ListNumber"/>
      </w:pPr>
      <w:r>
        <w:rPr>
          <w:sz w:val="22"/>
        </w:rPr>
        <w:t>Gale, D., &amp; Shapley, L. S. (1962). College Admissions and the Stability of Marriage. American Mathematical Monthly.</w:t>
      </w:r>
    </w:p>
    <w:p>
      <w:pPr>
        <w:pStyle w:val="ListNumber"/>
      </w:pPr>
      <w:r>
        <w:rPr>
          <w:sz w:val="22"/>
        </w:rPr>
        <w:t>Salton, G., &amp; Buckley, C. (1988). Term-weighting approaches in automatic text retrieval. Inf. Proc. and Management, 24(5).</w:t>
      </w:r>
    </w:p>
    <w:p>
      <w:pPr>
        <w:pStyle w:val="ListNumber"/>
      </w:pPr>
      <w:r>
        <w:rPr>
          <w:sz w:val="22"/>
        </w:rPr>
        <w:t>FastAPI Documentation — https://fastapi.tiangolo.com</w:t>
      </w:r>
    </w:p>
    <w:p>
      <w:pPr>
        <w:pStyle w:val="ListNumber"/>
      </w:pPr>
      <w:r>
        <w:rPr>
          <w:sz w:val="22"/>
        </w:rPr>
        <w:t>SQLAlchemy Documentation — https://docs.sqlalchemy.org</w:t>
      </w:r>
    </w:p>
    <w:p>
      <w:pPr>
        <w:pStyle w:val="ListNumber"/>
      </w:pPr>
      <w:r>
        <w:rPr>
          <w:sz w:val="22"/>
        </w:rPr>
        <w:t>scikit-learn Documentation — https://scikit-learn.org</w:t>
      </w:r>
    </w:p>
    <w:p>
      <w:pPr>
        <w:pStyle w:val="ListNumber"/>
      </w:pPr>
      <w:r>
        <w:rPr>
          <w:sz w:val="22"/>
        </w:rPr>
        <w:t>Python tkinter Documentation — https://docs.python.org/3/library/tkinter.html</w:t>
      </w:r>
    </w:p>
    <w:p>
      <w:pPr>
        <w:pStyle w:val="ListNumber"/>
      </w:pPr>
      <w:r>
        <w:rPr>
          <w:sz w:val="22"/>
        </w:rPr>
        <w:t>Adil Seçmeli Proje Deposu — docs/ klasörü altındaki tüm governance dokümanları.</w:t>
      </w:r>
    </w:p>
    <w:p>
      <w:r>
        <w:br w:type="page"/>
      </w:r>
    </w:p>
    <w:p>
      <w:pPr>
        <w:pStyle w:val="Title"/>
      </w:pPr>
      <w:r>
        <w:rPr>
          <w:rFonts w:ascii="Calibri" w:hAnsi="Calibri"/>
          <w:color w:val="1F4E79"/>
          <w:sz w:val="56"/>
        </w:rPr>
        <w:t>EKLER</w:t>
      </w:r>
    </w:p>
    <w:p>
      <w:pPr>
        <w:pStyle w:val="Heading1"/>
      </w:pPr>
      <w:r>
        <w:rPr>
          <w:rFonts w:ascii="Calibri" w:hAnsi="Calibri"/>
          <w:color w:val="1F4E79"/>
          <w:sz w:val="40"/>
        </w:rPr>
        <w:t>Ek A — Servis ve Modül Haritası</w:t>
      </w:r>
    </w:p>
    <w:tbl>
      <w:tblPr>
        <w:tblStyle w:val="LightGrid-Accent1"/>
        <w:tblW w:type="auto" w:w="0"/>
        <w:jc w:val="center"/>
        <w:tblLook w:firstColumn="1" w:firstRow="1" w:lastColumn="0" w:lastRow="0" w:noHBand="0" w:noVBand="1" w:val="04A0"/>
      </w:tblPr>
      <w:tblGrid>
        <w:gridCol w:w="4788"/>
        <w:gridCol w:w="4788"/>
      </w:tblGrid>
      <w:tr>
        <w:tc>
          <w:tcPr>
            <w:tcW w:type="dxa" w:w="3402"/>
            <w:shd w:fill="1F4E79" w:val="clear"/>
            <w:vAlign w:val="center"/>
          </w:tcPr>
          <w:p>
            <w:r/>
            <w:r>
              <w:rPr>
                <w:b/>
                <w:color w:val="FFFFFF"/>
                <w:sz w:val="22"/>
              </w:rPr>
              <w:t>Modül</w:t>
            </w:r>
          </w:p>
        </w:tc>
        <w:tc>
          <w:tcPr>
            <w:tcW w:type="dxa" w:w="5102"/>
            <w:shd w:fill="1F4E79" w:val="clear"/>
            <w:vAlign w:val="center"/>
          </w:tcPr>
          <w:p>
            <w:r/>
            <w:r>
              <w:rPr>
                <w:b/>
                <w:color w:val="FFFFFF"/>
                <w:sz w:val="22"/>
              </w:rPr>
              <w:t>Sorumluluk</w:t>
            </w:r>
          </w:p>
        </w:tc>
      </w:tr>
      <w:tr>
        <w:tc>
          <w:tcPr>
            <w:tcW w:type="dxa" w:w="3402"/>
            <w:vAlign w:val="center"/>
          </w:tcPr>
          <w:p>
            <w:r/>
            <w:r>
              <w:rPr>
                <w:sz w:val="20"/>
              </w:rPr>
              <w:t>app/services/calculation.py</w:t>
            </w:r>
          </w:p>
        </w:tc>
        <w:tc>
          <w:tcPr>
            <w:tcW w:type="dxa" w:w="5102"/>
            <w:vAlign w:val="center"/>
          </w:tcPr>
          <w:p>
            <w:r/>
            <w:r>
              <w:rPr>
                <w:sz w:val="20"/>
              </w:rPr>
              <w:t>AHP + TOPSIS hesaplama, kesinleşme puanı üretimi.</w:t>
            </w:r>
          </w:p>
        </w:tc>
      </w:tr>
      <w:tr>
        <w:tc>
          <w:tcPr>
            <w:tcW w:type="dxa" w:w="3402"/>
            <w:vAlign w:val="center"/>
            <w:shd w:fill="F2F6FA" w:val="clear"/>
          </w:tcPr>
          <w:p>
            <w:r/>
            <w:r>
              <w:rPr>
                <w:sz w:val="20"/>
              </w:rPr>
              <w:t>app/services/ahp_profile_service.py</w:t>
            </w:r>
          </w:p>
        </w:tc>
        <w:tc>
          <w:tcPr>
            <w:tcW w:type="dxa" w:w="5102"/>
            <w:vAlign w:val="center"/>
            <w:shd w:fill="F2F6FA" w:val="clear"/>
          </w:tcPr>
          <w:p>
            <w:r/>
            <w:r>
              <w:rPr>
                <w:sz w:val="20"/>
              </w:rPr>
              <w:t>AHP profil çözümü, hiyerarşik fallback, snapshot.</w:t>
            </w:r>
          </w:p>
        </w:tc>
      </w:tr>
      <w:tr>
        <w:tc>
          <w:tcPr>
            <w:tcW w:type="dxa" w:w="3402"/>
            <w:vAlign w:val="center"/>
          </w:tcPr>
          <w:p>
            <w:r/>
            <w:r>
              <w:rPr>
                <w:sz w:val="20"/>
              </w:rPr>
              <w:t>app/services/trend_analysis_service.py</w:t>
            </w:r>
          </w:p>
        </w:tc>
        <w:tc>
          <w:tcPr>
            <w:tcW w:type="dxa" w:w="5102"/>
            <w:vAlign w:val="center"/>
          </w:tcPr>
          <w:p>
            <w:r/>
            <w:r>
              <w:rPr>
                <w:sz w:val="20"/>
              </w:rPr>
              <w:t>3 yıl ağırlıklı trend, eksik yıl yeniden ölçekleme.</w:t>
            </w:r>
          </w:p>
        </w:tc>
      </w:tr>
      <w:tr>
        <w:tc>
          <w:tcPr>
            <w:tcW w:type="dxa" w:w="3402"/>
            <w:vAlign w:val="center"/>
            <w:shd w:fill="F2F6FA" w:val="clear"/>
          </w:tcPr>
          <w:p>
            <w:r/>
            <w:r>
              <w:rPr>
                <w:sz w:val="20"/>
              </w:rPr>
              <w:t>app/services/havuz_karar.py</w:t>
            </w:r>
          </w:p>
        </w:tc>
        <w:tc>
          <w:tcPr>
            <w:tcW w:type="dxa" w:w="5102"/>
            <w:vAlign w:val="center"/>
            <w:shd w:fill="F2F6FA" w:val="clear"/>
          </w:tcPr>
          <w:p>
            <w:r/>
            <w:r>
              <w:rPr>
                <w:sz w:val="20"/>
              </w:rPr>
              <w:t>Havuz/müfredat state machine, sayaç yönetimi.</w:t>
            </w:r>
          </w:p>
        </w:tc>
      </w:tr>
      <w:tr>
        <w:tc>
          <w:tcPr>
            <w:tcW w:type="dxa" w:w="3402"/>
            <w:vAlign w:val="center"/>
          </w:tcPr>
          <w:p>
            <w:r/>
            <w:r>
              <w:rPr>
                <w:sz w:val="20"/>
              </w:rPr>
              <w:t>app/services/dual_semester.py</w:t>
            </w:r>
          </w:p>
        </w:tc>
        <w:tc>
          <w:tcPr>
            <w:tcW w:type="dxa" w:w="5102"/>
            <w:vAlign w:val="center"/>
          </w:tcPr>
          <w:p>
            <w:r/>
            <w:r>
              <w:rPr>
                <w:sz w:val="20"/>
              </w:rPr>
              <w:t>Güz/Bahar üretim, 4+4 dengeleme.</w:t>
            </w:r>
          </w:p>
        </w:tc>
      </w:tr>
      <w:tr>
        <w:tc>
          <w:tcPr>
            <w:tcW w:type="dxa" w:w="3402"/>
            <w:vAlign w:val="center"/>
            <w:shd w:fill="F2F6FA" w:val="clear"/>
          </w:tcPr>
          <w:p>
            <w:r/>
            <w:r>
              <w:rPr>
                <w:sz w:val="20"/>
              </w:rPr>
              <w:t>app/services/yearly_workflow.py</w:t>
            </w:r>
          </w:p>
        </w:tc>
        <w:tc>
          <w:tcPr>
            <w:tcW w:type="dxa" w:w="5102"/>
            <w:vAlign w:val="center"/>
            <w:shd w:fill="F2F6FA" w:val="clear"/>
          </w:tcPr>
          <w:p>
            <w:r/>
            <w:r>
              <w:rPr>
                <w:sz w:val="20"/>
              </w:rPr>
              <w:t>Kriter tamlık takip, yıllık üretim koordinasyonu.</w:t>
            </w:r>
          </w:p>
        </w:tc>
      </w:tr>
      <w:tr>
        <w:tc>
          <w:tcPr>
            <w:tcW w:type="dxa" w:w="3402"/>
            <w:vAlign w:val="center"/>
          </w:tcPr>
          <w:p>
            <w:r/>
            <w:r>
              <w:rPr>
                <w:sz w:val="20"/>
              </w:rPr>
              <w:t>app/services/criteria_import_service.py</w:t>
            </w:r>
          </w:p>
        </w:tc>
        <w:tc>
          <w:tcPr>
            <w:tcW w:type="dxa" w:w="5102"/>
            <w:vAlign w:val="center"/>
          </w:tcPr>
          <w:p>
            <w:r/>
            <w:r>
              <w:rPr>
                <w:sz w:val="20"/>
              </w:rPr>
              <w:t>Kriter Excel import, supersede, satır audit.</w:t>
            </w:r>
          </w:p>
        </w:tc>
      </w:tr>
      <w:tr>
        <w:tc>
          <w:tcPr>
            <w:tcW w:type="dxa" w:w="3402"/>
            <w:vAlign w:val="center"/>
            <w:shd w:fill="F2F6FA" w:val="clear"/>
          </w:tcPr>
          <w:p>
            <w:r/>
            <w:r>
              <w:rPr>
                <w:sz w:val="20"/>
              </w:rPr>
              <w:t>app/services/survey_import_service.py</w:t>
            </w:r>
          </w:p>
        </w:tc>
        <w:tc>
          <w:tcPr>
            <w:tcW w:type="dxa" w:w="5102"/>
            <w:vAlign w:val="center"/>
            <w:shd w:fill="F2F6FA" w:val="clear"/>
          </w:tcPr>
          <w:p>
            <w:r/>
            <w:r>
              <w:rPr>
                <w:sz w:val="20"/>
              </w:rPr>
              <w:t>Anket Excel import, fakülte/yıl kapsamı.</w:t>
            </w:r>
          </w:p>
        </w:tc>
      </w:tr>
      <w:tr>
        <w:tc>
          <w:tcPr>
            <w:tcW w:type="dxa" w:w="3402"/>
            <w:vAlign w:val="center"/>
          </w:tcPr>
          <w:p>
            <w:r/>
            <w:r>
              <w:rPr>
                <w:sz w:val="20"/>
              </w:rPr>
              <w:t>app/services/curriculum_import_service.py</w:t>
            </w:r>
          </w:p>
        </w:tc>
        <w:tc>
          <w:tcPr>
            <w:tcW w:type="dxa" w:w="5102"/>
            <w:vAlign w:val="center"/>
          </w:tcPr>
          <w:p>
            <w:r/>
            <w:r>
              <w:rPr>
                <w:sz w:val="20"/>
              </w:rPr>
              <w:t>Müfredat Excel import, ders eşleştirme.</w:t>
            </w:r>
          </w:p>
        </w:tc>
      </w:tr>
      <w:tr>
        <w:tc>
          <w:tcPr>
            <w:tcW w:type="dxa" w:w="3402"/>
            <w:vAlign w:val="center"/>
            <w:shd w:fill="F2F6FA" w:val="clear"/>
          </w:tcPr>
          <w:p>
            <w:r/>
            <w:r>
              <w:rPr>
                <w:sz w:val="20"/>
              </w:rPr>
              <w:t>app/services/course_analyzer.py</w:t>
            </w:r>
          </w:p>
        </w:tc>
        <w:tc>
          <w:tcPr>
            <w:tcW w:type="dxa" w:w="5102"/>
            <w:vAlign w:val="center"/>
            <w:shd w:fill="F2F6FA" w:val="clear"/>
          </w:tcPr>
          <w:p>
            <w:r/>
            <w:r>
              <w:rPr>
                <w:sz w:val="20"/>
              </w:rPr>
              <w:t>Tek ders analiz laboratuvarı (AHP/TOPSIS/ML/state).</w:t>
            </w:r>
          </w:p>
        </w:tc>
      </w:tr>
      <w:tr>
        <w:tc>
          <w:tcPr>
            <w:tcW w:type="dxa" w:w="3402"/>
            <w:vAlign w:val="center"/>
          </w:tcPr>
          <w:p>
            <w:r/>
            <w:r>
              <w:rPr>
                <w:sz w:val="20"/>
              </w:rPr>
              <w:t>app/services/similarity_engine.py</w:t>
            </w:r>
          </w:p>
        </w:tc>
        <w:tc>
          <w:tcPr>
            <w:tcW w:type="dxa" w:w="5102"/>
            <w:vAlign w:val="center"/>
          </w:tcPr>
          <w:p>
            <w:r/>
            <w:r>
              <w:rPr>
                <w:sz w:val="20"/>
              </w:rPr>
              <w:t>TF-IDF + cosine benzerlik motoru.</w:t>
            </w:r>
          </w:p>
        </w:tc>
      </w:tr>
      <w:tr>
        <w:tc>
          <w:tcPr>
            <w:tcW w:type="dxa" w:w="3402"/>
            <w:vAlign w:val="center"/>
            <w:shd w:fill="F2F6FA" w:val="clear"/>
          </w:tcPr>
          <w:p>
            <w:r/>
            <w:r>
              <w:rPr>
                <w:sz w:val="20"/>
              </w:rPr>
              <w:t>app/services/rules_engine.py</w:t>
            </w:r>
          </w:p>
        </w:tc>
        <w:tc>
          <w:tcPr>
            <w:tcW w:type="dxa" w:w="5102"/>
            <w:vAlign w:val="center"/>
            <w:shd w:fill="F2F6FA" w:val="clear"/>
          </w:tcPr>
          <w:p>
            <w:r/>
            <w:r>
              <w:rPr>
                <w:sz w:val="20"/>
              </w:rPr>
              <w:t>Akademik kural motoru: failed_before, çakışma, kontenjan.</w:t>
            </w:r>
          </w:p>
        </w:tc>
      </w:tr>
      <w:tr>
        <w:tc>
          <w:tcPr>
            <w:tcW w:type="dxa" w:w="3402"/>
            <w:vAlign w:val="center"/>
          </w:tcPr>
          <w:p>
            <w:r/>
            <w:r>
              <w:rPr>
                <w:sz w:val="20"/>
              </w:rPr>
              <w:t>app/services/reporting_service.py</w:t>
            </w:r>
          </w:p>
        </w:tc>
        <w:tc>
          <w:tcPr>
            <w:tcW w:type="dxa" w:w="5102"/>
            <w:vAlign w:val="center"/>
          </w:tcPr>
          <w:p>
            <w:r/>
            <w:r>
              <w:rPr>
                <w:sz w:val="20"/>
              </w:rPr>
              <w:t>Rapor üretimi, dışa aktarım, snapshot.</w:t>
            </w:r>
          </w:p>
        </w:tc>
      </w:tr>
      <w:tr>
        <w:tc>
          <w:tcPr>
            <w:tcW w:type="dxa" w:w="3402"/>
            <w:vAlign w:val="center"/>
            <w:shd w:fill="F2F6FA" w:val="clear"/>
          </w:tcPr>
          <w:p>
            <w:r/>
            <w:r>
              <w:rPr>
                <w:sz w:val="20"/>
              </w:rPr>
              <w:t>app/algorithms/mcdm/</w:t>
            </w:r>
          </w:p>
        </w:tc>
        <w:tc>
          <w:tcPr>
            <w:tcW w:type="dxa" w:w="5102"/>
            <w:vAlign w:val="center"/>
            <w:shd w:fill="F2F6FA" w:val="clear"/>
          </w:tcPr>
          <w:p>
            <w:r/>
            <w:r>
              <w:rPr>
                <w:sz w:val="20"/>
              </w:rPr>
              <w:t>AHP, TOPSIS, VIKOR, PROMETHEE sınıfları.</w:t>
            </w:r>
          </w:p>
        </w:tc>
      </w:tr>
      <w:tr>
        <w:tc>
          <w:tcPr>
            <w:tcW w:type="dxa" w:w="3402"/>
            <w:vAlign w:val="center"/>
          </w:tcPr>
          <w:p>
            <w:r/>
            <w:r>
              <w:rPr>
                <w:sz w:val="20"/>
              </w:rPr>
              <w:t>app/algorithms/ml/</w:t>
            </w:r>
          </w:p>
        </w:tc>
        <w:tc>
          <w:tcPr>
            <w:tcW w:type="dxa" w:w="5102"/>
            <w:vAlign w:val="center"/>
          </w:tcPr>
          <w:p>
            <w:r/>
            <w:r>
              <w:rPr>
                <w:sz w:val="20"/>
              </w:rPr>
              <w:t>LR, RF, DT, NB, XGB, baselines.</w:t>
            </w:r>
          </w:p>
        </w:tc>
      </w:tr>
      <w:tr>
        <w:tc>
          <w:tcPr>
            <w:tcW w:type="dxa" w:w="3402"/>
            <w:vAlign w:val="center"/>
            <w:shd w:fill="F2F6FA" w:val="clear"/>
          </w:tcPr>
          <w:p>
            <w:r/>
            <w:r>
              <w:rPr>
                <w:sz w:val="20"/>
              </w:rPr>
              <w:t>app/algorithms/allocation/</w:t>
            </w:r>
          </w:p>
        </w:tc>
        <w:tc>
          <w:tcPr>
            <w:tcW w:type="dxa" w:w="5102"/>
            <w:vAlign w:val="center"/>
            <w:shd w:fill="F2F6FA" w:val="clear"/>
          </w:tcPr>
          <w:p>
            <w:r/>
            <w:r>
              <w:rPr>
                <w:sz w:val="20"/>
              </w:rPr>
              <w:t>Gale-Shapley, Greedy, FCFS, MinRegret, Random.</w:t>
            </w:r>
          </w:p>
        </w:tc>
      </w:tr>
      <w:tr>
        <w:tc>
          <w:tcPr>
            <w:tcW w:type="dxa" w:w="3402"/>
            <w:vAlign w:val="center"/>
          </w:tcPr>
          <w:p>
            <w:r/>
            <w:r>
              <w:rPr>
                <w:sz w:val="20"/>
              </w:rPr>
              <w:t>app/algorithms/clustering/</w:t>
            </w:r>
          </w:p>
        </w:tc>
        <w:tc>
          <w:tcPr>
            <w:tcW w:type="dxa" w:w="5102"/>
            <w:vAlign w:val="center"/>
          </w:tcPr>
          <w:p>
            <w:r/>
            <w:r>
              <w:rPr>
                <w:sz w:val="20"/>
              </w:rPr>
              <w:t>KMeans, Hierarchical, DBSCAN.</w:t>
            </w:r>
          </w:p>
        </w:tc>
      </w:tr>
      <w:tr>
        <w:tc>
          <w:tcPr>
            <w:tcW w:type="dxa" w:w="3402"/>
            <w:vAlign w:val="center"/>
            <w:shd w:fill="F2F6FA" w:val="clear"/>
          </w:tcPr>
          <w:p>
            <w:r/>
            <w:r>
              <w:rPr>
                <w:sz w:val="20"/>
              </w:rPr>
              <w:t>app/benchmark/</w:t>
            </w:r>
          </w:p>
        </w:tc>
        <w:tc>
          <w:tcPr>
            <w:tcW w:type="dxa" w:w="5102"/>
            <w:vAlign w:val="center"/>
            <w:shd w:fill="F2F6FA" w:val="clear"/>
          </w:tcPr>
          <w:p>
            <w:r/>
            <w:r>
              <w:rPr>
                <w:sz w:val="20"/>
              </w:rPr>
              <w:t>Senaryo, koşturucu, metric router, sonuç saklama.</w:t>
            </w:r>
          </w:p>
        </w:tc>
      </w:tr>
      <w:tr>
        <w:tc>
          <w:tcPr>
            <w:tcW w:type="dxa" w:w="3402"/>
            <w:vAlign w:val="center"/>
          </w:tcPr>
          <w:p>
            <w:r/>
            <w:r>
              <w:rPr>
                <w:sz w:val="20"/>
              </w:rPr>
              <w:t>app/api/routes.py</w:t>
            </w:r>
          </w:p>
        </w:tc>
        <w:tc>
          <w:tcPr>
            <w:tcW w:type="dxa" w:w="5102"/>
            <w:vAlign w:val="center"/>
          </w:tcPr>
          <w:p>
            <w:r/>
            <w:r>
              <w:rPr>
                <w:sz w:val="20"/>
              </w:rPr>
              <w:t>REST endpoint’leri (dersler, skor, mufredat, vs.).</w:t>
            </w:r>
          </w:p>
        </w:tc>
      </w:tr>
      <w:tr>
        <w:tc>
          <w:tcPr>
            <w:tcW w:type="dxa" w:w="3402"/>
            <w:vAlign w:val="center"/>
            <w:shd w:fill="F2F6FA" w:val="clear"/>
          </w:tcPr>
          <w:p>
            <w:r/>
            <w:r>
              <w:rPr>
                <w:sz w:val="20"/>
              </w:rPr>
              <w:t>app/ui/tabs/</w:t>
            </w:r>
          </w:p>
        </w:tc>
        <w:tc>
          <w:tcPr>
            <w:tcW w:type="dxa" w:w="5102"/>
            <w:vAlign w:val="center"/>
            <w:shd w:fill="F2F6FA" w:val="clear"/>
          </w:tcPr>
          <w:p>
            <w:r/>
            <w:r>
              <w:rPr>
                <w:sz w:val="20"/>
              </w:rPr>
              <w:t>Tkinter sayfaları (rapor &amp; yükleme, hesaplama, vs.).</w:t>
            </w:r>
          </w:p>
        </w:tc>
      </w:tr>
    </w:tbl>
    <w:p>
      <w:pPr>
        <w:pStyle w:val="Heading1"/>
      </w:pPr>
      <w:r>
        <w:rPr>
          <w:rFonts w:ascii="Calibri" w:hAnsi="Calibri"/>
          <w:color w:val="1F4E79"/>
          <w:sz w:val="40"/>
        </w:rPr>
        <w:t>Ek B — REST API Uçları</w:t>
      </w:r>
    </w:p>
    <w:tbl>
      <w:tblPr>
        <w:tblStyle w:val="LightGrid-Accent1"/>
        <w:tblW w:type="auto" w:w="0"/>
        <w:jc w:val="center"/>
        <w:tblLook w:firstColumn="1" w:firstRow="1" w:lastColumn="0" w:lastRow="0" w:noHBand="0" w:noVBand="1" w:val="04A0"/>
      </w:tblPr>
      <w:tblGrid>
        <w:gridCol w:w="4788"/>
        <w:gridCol w:w="4788"/>
      </w:tblGrid>
      <w:tr>
        <w:tc>
          <w:tcPr>
            <w:tcW w:type="dxa" w:w="3685"/>
            <w:shd w:fill="1F4E79" w:val="clear"/>
            <w:vAlign w:val="center"/>
          </w:tcPr>
          <w:p>
            <w:r/>
            <w:r>
              <w:rPr>
                <w:b/>
                <w:color w:val="FFFFFF"/>
                <w:sz w:val="22"/>
              </w:rPr>
              <w:t>Endpoint</w:t>
            </w:r>
          </w:p>
        </w:tc>
        <w:tc>
          <w:tcPr>
            <w:tcW w:type="dxa" w:w="4819"/>
            <w:shd w:fill="1F4E79" w:val="clear"/>
            <w:vAlign w:val="center"/>
          </w:tcPr>
          <w:p>
            <w:r/>
            <w:r>
              <w:rPr>
                <w:b/>
                <w:color w:val="FFFFFF"/>
                <w:sz w:val="22"/>
              </w:rPr>
              <w:t>Açıklama</w:t>
            </w:r>
          </w:p>
        </w:tc>
      </w:tr>
      <w:tr>
        <w:tc>
          <w:tcPr>
            <w:tcW w:type="dxa" w:w="3685"/>
            <w:vAlign w:val="center"/>
          </w:tcPr>
          <w:p>
            <w:r/>
            <w:r>
              <w:rPr>
                <w:sz w:val="20"/>
              </w:rPr>
              <w:t>GET /api/v1/dersler</w:t>
            </w:r>
          </w:p>
        </w:tc>
        <w:tc>
          <w:tcPr>
            <w:tcW w:type="dxa" w:w="4819"/>
            <w:vAlign w:val="center"/>
          </w:tcPr>
          <w:p>
            <w:r/>
            <w:r>
              <w:rPr>
                <w:sz w:val="20"/>
              </w:rPr>
              <w:t>Tüm ders kataloğunu döndürür.</w:t>
            </w:r>
          </w:p>
        </w:tc>
      </w:tr>
      <w:tr>
        <w:tc>
          <w:tcPr>
            <w:tcW w:type="dxa" w:w="3685"/>
            <w:vAlign w:val="center"/>
            <w:shd w:fill="F2F6FA" w:val="clear"/>
          </w:tcPr>
          <w:p>
            <w:r/>
            <w:r>
              <w:rPr>
                <w:sz w:val="20"/>
              </w:rPr>
              <w:t>GET /api/v1/skorlar</w:t>
            </w:r>
          </w:p>
        </w:tc>
        <w:tc>
          <w:tcPr>
            <w:tcW w:type="dxa" w:w="4819"/>
            <w:vAlign w:val="center"/>
            <w:shd w:fill="F2F6FA" w:val="clear"/>
          </w:tcPr>
          <w:p>
            <w:r/>
            <w:r>
              <w:rPr>
                <w:sz w:val="20"/>
              </w:rPr>
              <w:t>Kesinleşme puanı ve kaynak listesi.</w:t>
            </w:r>
          </w:p>
        </w:tc>
      </w:tr>
      <w:tr>
        <w:tc>
          <w:tcPr>
            <w:tcW w:type="dxa" w:w="3685"/>
            <w:vAlign w:val="center"/>
          </w:tcPr>
          <w:p>
            <w:r/>
            <w:r>
              <w:rPr>
                <w:sz w:val="20"/>
              </w:rPr>
              <w:t>GET /api/v1/havuz</w:t>
            </w:r>
          </w:p>
        </w:tc>
        <w:tc>
          <w:tcPr>
            <w:tcW w:type="dxa" w:w="4819"/>
            <w:vAlign w:val="center"/>
          </w:tcPr>
          <w:p>
            <w:r/>
            <w:r>
              <w:rPr>
                <w:sz w:val="20"/>
              </w:rPr>
              <w:t>Havuz statü tablosu (fakülte/yıl filtreli).</w:t>
            </w:r>
          </w:p>
        </w:tc>
      </w:tr>
      <w:tr>
        <w:tc>
          <w:tcPr>
            <w:tcW w:type="dxa" w:w="3685"/>
            <w:vAlign w:val="center"/>
            <w:shd w:fill="F2F6FA" w:val="clear"/>
          </w:tcPr>
          <w:p>
            <w:r/>
            <w:r>
              <w:rPr>
                <w:sz w:val="20"/>
              </w:rPr>
              <w:t>GET /api/v1/mufredat</w:t>
            </w:r>
          </w:p>
        </w:tc>
        <w:tc>
          <w:tcPr>
            <w:tcW w:type="dxa" w:w="4819"/>
            <w:vAlign w:val="center"/>
            <w:shd w:fill="F2F6FA" w:val="clear"/>
          </w:tcPr>
          <w:p>
            <w:r/>
            <w:r>
              <w:rPr>
                <w:sz w:val="20"/>
              </w:rPr>
              <w:t>Müfredat görünümü (kapsam filtreli).</w:t>
            </w:r>
          </w:p>
        </w:tc>
      </w:tr>
      <w:tr>
        <w:tc>
          <w:tcPr>
            <w:tcW w:type="dxa" w:w="3685"/>
            <w:vAlign w:val="center"/>
          </w:tcPr>
          <w:p>
            <w:r/>
            <w:r>
              <w:rPr>
                <w:sz w:val="20"/>
              </w:rPr>
              <w:t>GET /api/v1/akademik-plan</w:t>
            </w:r>
          </w:p>
        </w:tc>
        <w:tc>
          <w:tcPr>
            <w:tcW w:type="dxa" w:w="4819"/>
            <w:vAlign w:val="center"/>
          </w:tcPr>
          <w:p>
            <w:r/>
            <w:r>
              <w:rPr>
                <w:sz w:val="20"/>
              </w:rPr>
              <w:t>Yıllık akademik plan özeti.</w:t>
            </w:r>
          </w:p>
        </w:tc>
      </w:tr>
      <w:tr>
        <w:tc>
          <w:tcPr>
            <w:tcW w:type="dxa" w:w="3685"/>
            <w:vAlign w:val="center"/>
            <w:shd w:fill="F2F6FA" w:val="clear"/>
          </w:tcPr>
          <w:p>
            <w:r/>
            <w:r>
              <w:rPr>
                <w:sz w:val="20"/>
              </w:rPr>
              <w:t>GET /api/v1/fakulteler</w:t>
            </w:r>
          </w:p>
        </w:tc>
        <w:tc>
          <w:tcPr>
            <w:tcW w:type="dxa" w:w="4819"/>
            <w:vAlign w:val="center"/>
            <w:shd w:fill="F2F6FA" w:val="clear"/>
          </w:tcPr>
          <w:p>
            <w:r/>
            <w:r>
              <w:rPr>
                <w:sz w:val="20"/>
              </w:rPr>
              <w:t>Fakülte / bölüm hiyerarşisi.</w:t>
            </w:r>
          </w:p>
        </w:tc>
      </w:tr>
      <w:tr>
        <w:tc>
          <w:tcPr>
            <w:tcW w:type="dxa" w:w="3685"/>
            <w:vAlign w:val="center"/>
          </w:tcPr>
          <w:p>
            <w:r/>
            <w:r>
              <w:rPr>
                <w:sz w:val="20"/>
              </w:rPr>
              <w:t>GET /api/v1/kriter/durum</w:t>
            </w:r>
          </w:p>
        </w:tc>
        <w:tc>
          <w:tcPr>
            <w:tcW w:type="dxa" w:w="4819"/>
            <w:vAlign w:val="center"/>
          </w:tcPr>
          <w:p>
            <w:r/>
            <w:r>
              <w:rPr>
                <w:sz w:val="20"/>
              </w:rPr>
              <w:t>Bölüm/fakülte kriter tamlık durumu.</w:t>
            </w:r>
          </w:p>
        </w:tc>
      </w:tr>
      <w:tr>
        <w:tc>
          <w:tcPr>
            <w:tcW w:type="dxa" w:w="3685"/>
            <w:vAlign w:val="center"/>
            <w:shd w:fill="F2F6FA" w:val="clear"/>
          </w:tcPr>
          <w:p>
            <w:r/>
            <w:r>
              <w:rPr>
                <w:sz w:val="20"/>
              </w:rPr>
              <w:t>GET /api/v1/yillar/aktif</w:t>
            </w:r>
          </w:p>
        </w:tc>
        <w:tc>
          <w:tcPr>
            <w:tcW w:type="dxa" w:w="4819"/>
            <w:vAlign w:val="center"/>
            <w:shd w:fill="F2F6FA" w:val="clear"/>
          </w:tcPr>
          <w:p>
            <w:r/>
            <w:r>
              <w:rPr>
                <w:sz w:val="20"/>
              </w:rPr>
              <w:t>Sistem üzerinde aktif olan yıllar.</w:t>
            </w:r>
          </w:p>
        </w:tc>
      </w:tr>
      <w:tr>
        <w:tc>
          <w:tcPr>
            <w:tcW w:type="dxa" w:w="3685"/>
            <w:vAlign w:val="center"/>
          </w:tcPr>
          <w:p>
            <w:r/>
            <w:r>
              <w:rPr>
                <w:sz w:val="20"/>
              </w:rPr>
              <w:t>POST /api/v1/algoritma/tumunu-calistir</w:t>
            </w:r>
          </w:p>
        </w:tc>
        <w:tc>
          <w:tcPr>
            <w:tcW w:type="dxa" w:w="4819"/>
            <w:vAlign w:val="center"/>
          </w:tcPr>
          <w:p>
            <w:r/>
            <w:r>
              <w:rPr>
                <w:sz w:val="20"/>
              </w:rPr>
              <w:t>Kapsam için tüm karar hattını çalıştır.</w:t>
            </w:r>
          </w:p>
        </w:tc>
      </w:tr>
      <w:tr>
        <w:tc>
          <w:tcPr>
            <w:tcW w:type="dxa" w:w="3685"/>
            <w:vAlign w:val="center"/>
            <w:shd w:fill="F2F6FA" w:val="clear"/>
          </w:tcPr>
          <w:p>
            <w:r/>
            <w:r>
              <w:rPr>
                <w:sz w:val="20"/>
              </w:rPr>
              <w:t>POST /api/v1/mufredat/yukle</w:t>
            </w:r>
          </w:p>
        </w:tc>
        <w:tc>
          <w:tcPr>
            <w:tcW w:type="dxa" w:w="4819"/>
            <w:vAlign w:val="center"/>
            <w:shd w:fill="F2F6FA" w:val="clear"/>
          </w:tcPr>
          <w:p>
            <w:r/>
            <w:r>
              <w:rPr>
                <w:sz w:val="20"/>
              </w:rPr>
              <w:t>Müfredat Excel’i yükle.</w:t>
            </w:r>
          </w:p>
        </w:tc>
      </w:tr>
      <w:tr>
        <w:tc>
          <w:tcPr>
            <w:tcW w:type="dxa" w:w="3685"/>
            <w:vAlign w:val="center"/>
          </w:tcPr>
          <w:p>
            <w:r/>
            <w:r>
              <w:rPr>
                <w:sz w:val="20"/>
              </w:rPr>
              <w:t>POST /api/v1/anket/yukle</w:t>
            </w:r>
          </w:p>
        </w:tc>
        <w:tc>
          <w:tcPr>
            <w:tcW w:type="dxa" w:w="4819"/>
            <w:vAlign w:val="center"/>
          </w:tcPr>
          <w:p>
            <w:r/>
            <w:r>
              <w:rPr>
                <w:sz w:val="20"/>
              </w:rPr>
              <w:t>Anket Excel’i yükle.</w:t>
            </w:r>
          </w:p>
        </w:tc>
      </w:tr>
      <w:tr>
        <w:tc>
          <w:tcPr>
            <w:tcW w:type="dxa" w:w="3685"/>
            <w:vAlign w:val="center"/>
            <w:shd w:fill="F2F6FA" w:val="clear"/>
          </w:tcPr>
          <w:p>
            <w:r/>
            <w:r>
              <w:rPr>
                <w:sz w:val="20"/>
              </w:rPr>
              <w:t>GET /api/v1/benchmark/scenarios</w:t>
            </w:r>
          </w:p>
        </w:tc>
        <w:tc>
          <w:tcPr>
            <w:tcW w:type="dxa" w:w="4819"/>
            <w:vAlign w:val="center"/>
            <w:shd w:fill="F2F6FA" w:val="clear"/>
          </w:tcPr>
          <w:p>
            <w:r/>
            <w:r>
              <w:rPr>
                <w:sz w:val="20"/>
              </w:rPr>
              <w:t>Tüm benchmark senaryolarını listele.</w:t>
            </w:r>
          </w:p>
        </w:tc>
      </w:tr>
      <w:tr>
        <w:tc>
          <w:tcPr>
            <w:tcW w:type="dxa" w:w="3685"/>
            <w:vAlign w:val="center"/>
          </w:tcPr>
          <w:p>
            <w:r/>
            <w:r>
              <w:rPr>
                <w:sz w:val="20"/>
              </w:rPr>
              <w:t>GET /api/v1/benchmark/algorithms</w:t>
            </w:r>
          </w:p>
        </w:tc>
        <w:tc>
          <w:tcPr>
            <w:tcW w:type="dxa" w:w="4819"/>
            <w:vAlign w:val="center"/>
          </w:tcPr>
          <w:p>
            <w:r/>
            <w:r>
              <w:rPr>
                <w:sz w:val="20"/>
              </w:rPr>
              <w:t>Kayıtlı algoritmalar.</w:t>
            </w:r>
          </w:p>
        </w:tc>
      </w:tr>
      <w:tr>
        <w:tc>
          <w:tcPr>
            <w:tcW w:type="dxa" w:w="3685"/>
            <w:vAlign w:val="center"/>
            <w:shd w:fill="F2F6FA" w:val="clear"/>
          </w:tcPr>
          <w:p>
            <w:r/>
            <w:r>
              <w:rPr>
                <w:sz w:val="20"/>
              </w:rPr>
              <w:t>POST /api/v1/benchmark/runs/execute</w:t>
            </w:r>
          </w:p>
        </w:tc>
        <w:tc>
          <w:tcPr>
            <w:tcW w:type="dxa" w:w="4819"/>
            <w:vAlign w:val="center"/>
            <w:shd w:fill="F2F6FA" w:val="clear"/>
          </w:tcPr>
          <w:p>
            <w:r/>
            <w:r>
              <w:rPr>
                <w:sz w:val="20"/>
              </w:rPr>
              <w:t>Belirli bir senaryoda algoritma çalıştır.</w:t>
            </w:r>
          </w:p>
        </w:tc>
      </w:tr>
      <w:tr>
        <w:tc>
          <w:tcPr>
            <w:tcW w:type="dxa" w:w="3685"/>
            <w:vAlign w:val="center"/>
          </w:tcPr>
          <w:p>
            <w:r/>
            <w:r>
              <w:rPr>
                <w:sz w:val="20"/>
              </w:rPr>
              <w:t>POST /api/v1/benchmark/runs/compare</w:t>
            </w:r>
          </w:p>
        </w:tc>
        <w:tc>
          <w:tcPr>
            <w:tcW w:type="dxa" w:w="4819"/>
            <w:vAlign w:val="center"/>
          </w:tcPr>
          <w:p>
            <w:r/>
            <w:r>
              <w:rPr>
                <w:sz w:val="20"/>
              </w:rPr>
              <w:t>Birden fazla run karşılaştır.</w:t>
            </w:r>
          </w:p>
        </w:tc>
      </w:tr>
      <w:tr>
        <w:tc>
          <w:tcPr>
            <w:tcW w:type="dxa" w:w="3685"/>
            <w:vAlign w:val="center"/>
            <w:shd w:fill="F2F6FA" w:val="clear"/>
          </w:tcPr>
          <w:p>
            <w:r/>
            <w:r>
              <w:rPr>
                <w:sz w:val="20"/>
              </w:rPr>
              <w:t>POST /api/v1/benchmark/recommendation</w:t>
            </w:r>
          </w:p>
        </w:tc>
        <w:tc>
          <w:tcPr>
            <w:tcW w:type="dxa" w:w="4819"/>
            <w:vAlign w:val="center"/>
            <w:shd w:fill="F2F6FA" w:val="clear"/>
          </w:tcPr>
          <w:p>
            <w:r/>
            <w:r>
              <w:rPr>
                <w:sz w:val="20"/>
              </w:rPr>
              <w:t>Problem tipine göre algoritma öner.</w:t>
            </w:r>
          </w:p>
        </w:tc>
      </w:tr>
    </w:tbl>
    <w:p>
      <w:pPr>
        <w:pStyle w:val="Heading1"/>
      </w:pPr>
      <w:r>
        <w:rPr>
          <w:rFonts w:ascii="Calibri" w:hAnsi="Calibri"/>
          <w:color w:val="1F4E79"/>
          <w:sz w:val="40"/>
        </w:rPr>
        <w:t>Ek C — Test Kapsamı</w:t>
      </w:r>
    </w:p>
    <w:p>
      <w:pPr>
        <w:spacing w:after="120"/>
      </w:pPr>
      <w:r>
        <w:rPr>
          <w:rFonts w:ascii="Calibri" w:hAnsi="Calibri"/>
          <w:b w:val="0"/>
          <w:i w:val="0"/>
          <w:sz w:val="22"/>
        </w:rPr>
        <w:t>Sistem app/tests/ altında 21’in üzerinde test dosyasına sahiptir. Test alanları:</w:t>
      </w:r>
    </w:p>
    <w:p>
      <w:pPr>
        <w:pStyle w:val="ListBullet"/>
      </w:pPr>
      <w:r>
        <w:rPr>
          <w:rFonts w:ascii="Calibri" w:hAnsi="Calibri"/>
          <w:sz w:val="22"/>
        </w:rPr>
        <w:t>AI engine (LR/RF/DT) testleri</w:t>
      </w:r>
    </w:p>
    <w:p>
      <w:pPr>
        <w:pStyle w:val="ListBullet"/>
      </w:pPr>
      <w:r>
        <w:rPr>
          <w:rFonts w:ascii="Calibri" w:hAnsi="Calibri"/>
          <w:sz w:val="22"/>
        </w:rPr>
        <w:t>Atama motoru (allocation) testleri</w:t>
      </w:r>
    </w:p>
    <w:p>
      <w:pPr>
        <w:pStyle w:val="ListBullet"/>
      </w:pPr>
      <w:r>
        <w:rPr>
          <w:rFonts w:ascii="Calibri" w:hAnsi="Calibri"/>
          <w:sz w:val="22"/>
        </w:rPr>
        <w:t>Hesaplama sekmesi entegrasyon testleri</w:t>
      </w:r>
    </w:p>
    <w:p>
      <w:pPr>
        <w:pStyle w:val="ListBullet"/>
      </w:pPr>
      <w:r>
        <w:rPr>
          <w:rFonts w:ascii="Calibri" w:hAnsi="Calibri"/>
          <w:sz w:val="22"/>
        </w:rPr>
        <w:t>Ders kodu servisi testleri</w:t>
      </w:r>
    </w:p>
    <w:p>
      <w:pPr>
        <w:pStyle w:val="ListBullet"/>
      </w:pPr>
      <w:r>
        <w:rPr>
          <w:rFonts w:ascii="Calibri" w:hAnsi="Calibri"/>
          <w:sz w:val="22"/>
        </w:rPr>
        <w:t>Kriter import servisi testleri</w:t>
      </w:r>
    </w:p>
    <w:p>
      <w:pPr>
        <w:pStyle w:val="ListBullet"/>
      </w:pPr>
      <w:r>
        <w:rPr>
          <w:rFonts w:ascii="Calibri" w:hAnsi="Calibri"/>
          <w:sz w:val="22"/>
        </w:rPr>
        <w:t>Müfredat import servisi testleri</w:t>
      </w:r>
    </w:p>
    <w:p>
      <w:pPr>
        <w:pStyle w:val="ListBullet"/>
      </w:pPr>
      <w:r>
        <w:rPr>
          <w:rFonts w:ascii="Calibri" w:hAnsi="Calibri"/>
          <w:sz w:val="22"/>
        </w:rPr>
        <w:t>Müfredat üretimi senaryo testleri</w:t>
      </w:r>
    </w:p>
    <w:p>
      <w:pPr>
        <w:pStyle w:val="ListBullet"/>
      </w:pPr>
      <w:r>
        <w:rPr>
          <w:rFonts w:ascii="Calibri" w:hAnsi="Calibri"/>
          <w:sz w:val="22"/>
        </w:rPr>
        <w:t>Veritabanı ve ETL testleri</w:t>
      </w:r>
    </w:p>
    <w:p>
      <w:pPr>
        <w:pStyle w:val="ListBullet"/>
      </w:pPr>
      <w:r>
        <w:rPr>
          <w:rFonts w:ascii="Calibri" w:hAnsi="Calibri"/>
          <w:sz w:val="22"/>
        </w:rPr>
        <w:t>Havuz kararları ve pool kurallar testleri</w:t>
      </w:r>
    </w:p>
    <w:p>
      <w:pPr>
        <w:pStyle w:val="ListBullet"/>
      </w:pPr>
      <w:r>
        <w:rPr>
          <w:rFonts w:ascii="Calibri" w:hAnsi="Calibri"/>
          <w:sz w:val="22"/>
        </w:rPr>
        <w:t>Raporlama ve skor motoru testleri</w:t>
      </w:r>
    </w:p>
    <w:p>
      <w:pPr>
        <w:pStyle w:val="ListBullet"/>
      </w:pPr>
      <w:r>
        <w:rPr>
          <w:rFonts w:ascii="Calibri" w:hAnsi="Calibri"/>
          <w:sz w:val="22"/>
        </w:rPr>
        <w:t>Dual semester desteği testleri</w:t>
      </w:r>
    </w:p>
    <w:p>
      <w:pPr>
        <w:pStyle w:val="ListBullet"/>
      </w:pPr>
      <w:r>
        <w:rPr>
          <w:rFonts w:ascii="Calibri" w:hAnsi="Calibri"/>
          <w:sz w:val="22"/>
        </w:rPr>
        <w:t>Benzerlik motoru testleri</w:t>
      </w:r>
    </w:p>
    <w:p>
      <w:pPr>
        <w:pStyle w:val="ListBullet"/>
      </w:pPr>
      <w:r>
        <w:rPr>
          <w:rFonts w:ascii="Calibri" w:hAnsi="Calibri"/>
          <w:sz w:val="22"/>
        </w:rPr>
        <w:t>Tek ders analiz testleri</w:t>
      </w:r>
    </w:p>
    <w:p>
      <w:pPr>
        <w:pStyle w:val="ListBullet"/>
      </w:pPr>
      <w:r>
        <w:rPr>
          <w:rFonts w:ascii="Calibri" w:hAnsi="Calibri"/>
          <w:sz w:val="22"/>
        </w:rPr>
        <w:t>Anket import servisi testleri</w:t>
      </w:r>
    </w:p>
    <w:p>
      <w:pPr>
        <w:pStyle w:val="ListBullet"/>
      </w:pPr>
      <w:r>
        <w:rPr>
          <w:rFonts w:ascii="Calibri" w:hAnsi="Calibri"/>
          <w:sz w:val="22"/>
        </w:rPr>
        <w:t>Yıllık kriter workflow testleri</w:t>
      </w:r>
    </w:p>
    <w:p>
      <w:pPr>
        <w:pStyle w:val="ListBullet"/>
      </w:pPr>
      <w:r>
        <w:rPr>
          <w:rFonts w:ascii="Calibri" w:hAnsi="Calibri"/>
          <w:sz w:val="22"/>
        </w:rPr>
        <w:t>Golden dataset ve deterministiklik testleri</w:t>
      </w:r>
    </w:p>
    <w:p>
      <w:pPr>
        <w:spacing w:after="120"/>
      </w:pPr>
      <w:r>
        <w:rPr>
          <w:rFonts w:ascii="Calibri" w:hAnsi="Calibri"/>
          <w:b w:val="0"/>
          <w:i w:val="0"/>
          <w:sz w:val="22"/>
        </w:rPr>
        <w:t>Test stratejisi, kodun yalnızca çalıştığını değil, karar verme açısından tekrar üretilebilir olduğunu da doğrular. Golden dataset üzerinde belirli girdiler için sabit çıktılar kontrol edilir.</w:t>
      </w:r>
    </w:p>
    <w:p>
      <w:pPr>
        <w:pStyle w:val="Heading1"/>
      </w:pPr>
      <w:r>
        <w:rPr>
          <w:rFonts w:ascii="Calibri" w:hAnsi="Calibri"/>
          <w:color w:val="1F4E79"/>
          <w:sz w:val="40"/>
        </w:rPr>
        <w:t>Ek D — Önemli Dosyalar</w:t>
      </w:r>
    </w:p>
    <w:p>
      <w:pPr>
        <w:pStyle w:val="ListBullet"/>
      </w:pPr>
      <w:r>
        <w:rPr>
          <w:rFonts w:ascii="Calibri" w:hAnsi="Calibri"/>
          <w:sz w:val="22"/>
        </w:rPr>
        <w:t>main.py — Kök giriş noktası.</w:t>
      </w:r>
    </w:p>
    <w:p>
      <w:pPr>
        <w:pStyle w:val="ListBullet"/>
      </w:pPr>
      <w:r>
        <w:rPr>
          <w:rFonts w:ascii="Calibri" w:hAnsi="Calibri"/>
          <w:sz w:val="22"/>
        </w:rPr>
        <w:t>app/main.py — GUI / API mod seçimi.</w:t>
      </w:r>
    </w:p>
    <w:p>
      <w:pPr>
        <w:pStyle w:val="ListBullet"/>
      </w:pPr>
      <w:r>
        <w:rPr>
          <w:rFonts w:ascii="Calibri" w:hAnsi="Calibri"/>
          <w:sz w:val="22"/>
        </w:rPr>
        <w:t>app/api/main.py — FastAPI uygulaması.</w:t>
      </w:r>
    </w:p>
    <w:p>
      <w:pPr>
        <w:pStyle w:val="ListBullet"/>
      </w:pPr>
      <w:r>
        <w:rPr>
          <w:rFonts w:ascii="Calibri" w:hAnsi="Calibri"/>
          <w:sz w:val="22"/>
        </w:rPr>
        <w:t>app/db/models.py — SQLAlchemy modelleri.</w:t>
      </w:r>
    </w:p>
    <w:p>
      <w:pPr>
        <w:pStyle w:val="ListBullet"/>
      </w:pPr>
      <w:r>
        <w:rPr>
          <w:rFonts w:ascii="Calibri" w:hAnsi="Calibri"/>
          <w:sz w:val="22"/>
        </w:rPr>
        <w:t>app/db/schema_compat.py — Runtime şema uyumluluğu.</w:t>
      </w:r>
    </w:p>
    <w:p>
      <w:pPr>
        <w:pStyle w:val="ListBullet"/>
      </w:pPr>
      <w:r>
        <w:rPr>
          <w:rFonts w:ascii="Calibri" w:hAnsi="Calibri"/>
          <w:sz w:val="22"/>
        </w:rPr>
        <w:t>app/core/result.py — ServiceResult.</w:t>
      </w:r>
    </w:p>
    <w:p>
      <w:pPr>
        <w:pStyle w:val="ListBullet"/>
      </w:pPr>
      <w:r>
        <w:rPr>
          <w:rFonts w:ascii="Calibri" w:hAnsi="Calibri"/>
          <w:sz w:val="22"/>
        </w:rPr>
        <w:t>app/core/errors.py — AppError ailesi.</w:t>
      </w:r>
    </w:p>
    <w:p>
      <w:pPr>
        <w:pStyle w:val="ListBullet"/>
      </w:pPr>
      <w:r>
        <w:rPr>
          <w:rFonts w:ascii="Calibri" w:hAnsi="Calibri"/>
          <w:sz w:val="22"/>
        </w:rPr>
        <w:t>alembic/ — Migration dosyaları.</w:t>
      </w:r>
    </w:p>
    <w:p>
      <w:pPr>
        <w:pStyle w:val="ListBullet"/>
      </w:pPr>
      <w:r>
        <w:rPr>
          <w:rFonts w:ascii="Calibri" w:hAnsi="Calibri"/>
          <w:sz w:val="22"/>
        </w:rPr>
        <w:t>scripts/run_tests.py — Toplu test koşturucu.</w:t>
      </w:r>
    </w:p>
    <w:p>
      <w:pPr>
        <w:pStyle w:val="ListBullet"/>
      </w:pPr>
      <w:r>
        <w:rPr>
          <w:rFonts w:ascii="Calibri" w:hAnsi="Calibri"/>
          <w:sz w:val="22"/>
        </w:rPr>
        <w:t>docs/architecture.md — Detaylı mimari notları.</w:t>
      </w:r>
    </w:p>
    <w:p>
      <w:pPr>
        <w:pStyle w:val="ListBullet"/>
      </w:pPr>
      <w:r>
        <w:rPr>
          <w:rFonts w:ascii="Calibri" w:hAnsi="Calibri"/>
          <w:sz w:val="22"/>
        </w:rPr>
        <w:t>docs/decision_governance.md — Karar yönetişimi.</w:t>
      </w:r>
    </w:p>
    <w:p>
      <w:pPr>
        <w:pStyle w:val="ListBullet"/>
      </w:pPr>
      <w:r>
        <w:rPr>
          <w:rFonts w:ascii="Calibri" w:hAnsi="Calibri"/>
          <w:sz w:val="22"/>
        </w:rPr>
        <w:t>docs/algorithm_governance.md — Algoritma yönetişim kayıtları.</w:t>
      </w:r>
    </w:p>
    <w:p>
      <w:pPr>
        <w:pStyle w:val="Heading1"/>
      </w:pPr>
      <w:r>
        <w:rPr>
          <w:rFonts w:ascii="Calibri" w:hAnsi="Calibri"/>
          <w:color w:val="1F4E79"/>
          <w:sz w:val="40"/>
        </w:rPr>
        <w:t>Ek E — Lisans ve Etik</w:t>
      </w:r>
    </w:p>
    <w:p>
      <w:pPr>
        <w:spacing w:after="120"/>
      </w:pPr>
      <w:r>
        <w:rPr>
          <w:rFonts w:ascii="Calibri" w:hAnsi="Calibri"/>
          <w:b w:val="0"/>
          <w:i w:val="0"/>
          <w:sz w:val="22"/>
        </w:rPr>
        <w:t>Proje akademik kullanıma yönelik geliştirilmiştir. Kullanılan kütüphaneler kendi açık kaynak lisansları altındadır. Sistem, öğrenci bireysel bilgilerini değil; ders bazında toplu istatistikleri işler. Bu sebeple bireysel kimlik içermeyen veri akışı tasarlanmıştır. Herhangi bir gerçek kurum verisiyle kullanıma alınmadan önce KVKK uyumluluk değerlendirmesi yapılmalıdır.</w:t>
      </w:r>
    </w:p>
    <w:sectPr w:rsidR="00FC693F" w:rsidRPr="0006063C" w:rsidSect="00034616">
      <w:pgSz w:w="12240" w:h="15840"/>
      <w:pgMar w:top="1247" w:right="124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