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Trend Algoritmaları ve Hesaplama Mantığı Raporu</w:t>
      </w:r>
    </w:p>
    <w:p>
      <w:r>
        <w:rPr>
          <w:i/>
          <w:sz w:val="20"/>
        </w:rPr>
        <w:t>Ağırlıklı trend skoru, etiketleme ve eksik geçmiş için nötr skor tasarımı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Ağırlıklı Trend Skoru</w:t>
      </w:r>
    </w:p>
    <w:p>
      <w:r>
        <w:t>weighted_trend_score, bir dersin yıllara göre değerlerini en yeni yıla daha yüksek ağırlık vererek birleştirir. Varsayılan ağırlıklar (en yeniden eskiye): 0.50, 0.30, 0.20.</w:t>
      </w:r>
    </w:p>
    <w:p>
      <w:pPr>
        <w:pStyle w:val="Heading1"/>
      </w:pPr>
      <w:r>
        <w:rPr>
          <w:color w:val="1565C0"/>
        </w:rPr>
        <w:t>2. Trend Etiketleme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Etiket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Koşul</w:t>
            </w:r>
          </w:p>
        </w:tc>
      </w:tr>
      <w:tr>
        <w:tc>
          <w:tcPr>
            <w:tcW w:type="dxa" w:w="4320"/>
          </w:tcPr>
          <w:p>
            <w:r>
              <w:t>rising</w:t>
            </w:r>
          </w:p>
        </w:tc>
        <w:tc>
          <w:tcPr>
            <w:tcW w:type="dxa" w:w="4320"/>
          </w:tcPr>
          <w:p>
            <w:r>
              <w:t>Son yıllarda belirgin artış (toplam değişim ≥ eşik, son adım ≥ 0)</w:t>
            </w:r>
          </w:p>
        </w:tc>
      </w:tr>
      <w:tr>
        <w:tc>
          <w:tcPr>
            <w:tcW w:type="dxa" w:w="4320"/>
          </w:tcPr>
          <w:p>
            <w:r>
              <w:t>falling</w:t>
            </w:r>
          </w:p>
        </w:tc>
        <w:tc>
          <w:tcPr>
            <w:tcW w:type="dxa" w:w="4320"/>
          </w:tcPr>
          <w:p>
            <w:r>
              <w:t>Son yıllarda belirgin düşüş</w:t>
            </w:r>
          </w:p>
        </w:tc>
      </w:tr>
      <w:tr>
        <w:tc>
          <w:tcPr>
            <w:tcW w:type="dxa" w:w="4320"/>
          </w:tcPr>
          <w:p>
            <w:r>
              <w:t>stable</w:t>
            </w:r>
          </w:p>
        </w:tc>
        <w:tc>
          <w:tcPr>
            <w:tcW w:type="dxa" w:w="4320"/>
          </w:tcPr>
          <w:p>
            <w:r>
              <w:t>Belirgin yön yok, düşük oynaklık</w:t>
            </w:r>
          </w:p>
        </w:tc>
      </w:tr>
      <w:tr>
        <w:tc>
          <w:tcPr>
            <w:tcW w:type="dxa" w:w="4320"/>
          </w:tcPr>
          <w:p>
            <w:r>
              <w:t>volatile</w:t>
            </w:r>
          </w:p>
        </w:tc>
        <w:tc>
          <w:tcPr>
            <w:tcW w:type="dxa" w:w="4320"/>
          </w:tcPr>
          <w:p>
            <w:r>
              <w:t>Yüksek oynaklık / dalgalanma</w:t>
            </w:r>
          </w:p>
        </w:tc>
      </w:tr>
      <w:tr>
        <w:tc>
          <w:tcPr>
            <w:tcW w:type="dxa" w:w="4320"/>
          </w:tcPr>
          <w:p>
            <w:r>
              <w:t>new_course</w:t>
            </w:r>
          </w:p>
        </w:tc>
        <w:tc>
          <w:tcPr>
            <w:tcW w:type="dxa" w:w="4320"/>
          </w:tcPr>
          <w:p>
            <w:r>
              <w:t>Hedef yılda ilk kez görülen ders</w:t>
            </w:r>
          </w:p>
        </w:tc>
      </w:tr>
      <w:tr>
        <w:tc>
          <w:tcPr>
            <w:tcW w:type="dxa" w:w="4320"/>
          </w:tcPr>
          <w:p>
            <w:r>
              <w:t>insufficient_data</w:t>
            </w:r>
          </w:p>
        </w:tc>
        <w:tc>
          <w:tcPr>
            <w:tcW w:type="dxa" w:w="4320"/>
          </w:tcPr>
          <w:p>
            <w:r>
              <w:t>Trend için yeterli geçmiş yok</w:t>
            </w:r>
          </w:p>
        </w:tc>
      </w:tr>
    </w:tbl>
    <w:p/>
    <w:p>
      <w:pPr>
        <w:pStyle w:val="Heading1"/>
      </w:pPr>
      <w:r>
        <w:rPr>
          <w:color w:val="1565C0"/>
        </w:rPr>
        <w:t>3. Eksik Geçmiş İçin Nötr Skor (madde 10)</w:t>
      </w:r>
    </w:p>
    <w:p>
      <w:r>
        <w:t>Trend YÖNÜ en az 2 yıllık geçmiş gerektirir. Geçmişi olmayan dersler (ör. veri kümesinin en erken yılı 2022) için eskiden 0.0 döndürülüyordu; bu, dersi en düşük trendle CEZALANDIRIP karar formülünü bozuyordu. Artık &lt;2 veri noktasında NÖTR skor (NEUTRAL_TREND_SCORE = 0.5) döndürülür: ders ne ödüllendirilir ne cezalandırılır. Sonuç 'neutral_trend: True' ile işaretlenir.</w:t>
      </w:r>
    </w:p>
    <w:p>
      <w:r>
        <w:t>Bu sayede 2022 gibi geçmişsiz yıllarda trend, karar sistemine zarar vermez; regresyon ve e2e karar testleri bu değişiklikle kırılmadan geçmektedir.</w:t>
      </w:r>
    </w:p>
    <w:p>
      <w:pPr>
        <w:pStyle w:val="Heading1"/>
      </w:pPr>
      <w:r>
        <w:rPr>
          <w:color w:val="1565C0"/>
        </w:rPr>
        <w:t>4. Kullanım</w:t>
      </w:r>
    </w:p>
    <w:p>
      <w:r>
        <w:t>Trend skoru karar motoruna (evaluate_course_state_transition) bir girdi olarak verilir ve ders durum geçişini etkiler. Trend sayfası (Veri başlığı altında) bu hesaplamayı canlı gösterir ve adım adım açıklar.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