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33" w:rsidRPr="002F69A8" w:rsidRDefault="00963CBA">
      <w:pPr>
        <w:pStyle w:val="1"/>
        <w:spacing w:before="49" w:line="322" w:lineRule="exact"/>
        <w:ind w:right="102"/>
        <w:rPr>
          <w:rFonts w:ascii="黑体" w:eastAsia="黑体" w:hAnsi="黑体"/>
          <w:b w:val="0"/>
          <w:bCs w:val="0"/>
          <w:lang w:eastAsia="zh-CN"/>
        </w:rPr>
      </w:pPr>
      <w:r w:rsidRPr="002F69A8">
        <w:rPr>
          <w:rFonts w:ascii="黑体" w:eastAsia="黑体" w:hAnsi="黑体"/>
          <w:lang w:eastAsia="zh-CN"/>
        </w:rPr>
        <w:t>2018 ICM</w:t>
      </w:r>
    </w:p>
    <w:p w:rsidR="005B07D5" w:rsidRPr="002F69A8" w:rsidRDefault="00963CBA" w:rsidP="005B07D5">
      <w:pPr>
        <w:ind w:left="112" w:right="102"/>
        <w:rPr>
          <w:rFonts w:ascii="黑体" w:eastAsia="黑体" w:hAnsi="黑体"/>
          <w:b/>
          <w:sz w:val="28"/>
          <w:lang w:eastAsia="zh-CN"/>
        </w:rPr>
      </w:pPr>
      <w:r w:rsidRPr="002F69A8">
        <w:rPr>
          <w:rFonts w:ascii="黑体" w:eastAsia="黑体" w:hAnsi="黑体"/>
          <w:b/>
          <w:sz w:val="28"/>
          <w:lang w:eastAsia="zh-CN"/>
        </w:rPr>
        <w:t xml:space="preserve">Problem D: </w:t>
      </w:r>
      <w:r w:rsidR="005B07D5" w:rsidRPr="002F69A8">
        <w:rPr>
          <w:rFonts w:ascii="黑体" w:eastAsia="黑体" w:hAnsi="黑体" w:hint="eastAsia"/>
          <w:b/>
          <w:sz w:val="28"/>
          <w:lang w:eastAsia="zh-CN"/>
        </w:rPr>
        <w:t>从汽油和驾驶E（电气，而不是空）</w:t>
      </w:r>
    </w:p>
    <w:p w:rsidR="00A93433" w:rsidRPr="002F69A8" w:rsidRDefault="005B07D5">
      <w:pPr>
        <w:spacing w:before="11"/>
        <w:rPr>
          <w:rFonts w:ascii="黑体" w:eastAsia="黑体" w:hAnsi="黑体" w:cs="Times New Roman"/>
          <w:sz w:val="17"/>
          <w:szCs w:val="17"/>
          <w:lang w:eastAsia="zh-CN"/>
        </w:rPr>
      </w:pPr>
      <w:r w:rsidRPr="002F69A8">
        <w:rPr>
          <w:rFonts w:ascii="黑体" w:eastAsia="黑体" w:hAnsi="黑体" w:hint="eastAsia"/>
          <w:lang w:eastAsia="zh-CN"/>
        </w:rPr>
        <w:t>由于环境和经济的原因，全球对减少化石燃料的使用感兴趣，包括汽车汽油。无论是环境因素还是经济因素，消费者都开始转向电动汽车。几个国家正在看到电动汽车采用快速增长的潜力的早期迹象。在美国和其他国家，释放更实惠的全电动特斯拉Model 3导致了预订单的记录数和长时间的等待列表（http：/ / www.wired。</w:t>
      </w:r>
      <w:r w:rsidRPr="002F69A8">
        <w:rPr>
          <w:rFonts w:ascii="黑体" w:eastAsia="黑体" w:hAnsi="黑体" w:hint="eastAsia"/>
        </w:rPr>
        <w:t>COM /故事/ tesla-model-3-delivery-timeline /）。进一步加快切换到电动汽车，包括中国在内的一些国家，已经宣布，他们将禁止汽油车和柴油车在未来几年（http://money.cnn.com/2017/09/11/news/china-gas电动车的禁令/指标。</w:t>
      </w:r>
      <w:r w:rsidRPr="002F69A8">
        <w:rPr>
          <w:rFonts w:ascii="黑体" w:eastAsia="黑体" w:hAnsi="黑体" w:hint="eastAsia"/>
          <w:lang w:eastAsia="zh-CN"/>
        </w:rPr>
        <w:t>HTML）。</w:t>
      </w:r>
    </w:p>
    <w:p w:rsidR="00A93433" w:rsidRPr="002F69A8" w:rsidRDefault="005B07D5">
      <w:pPr>
        <w:pStyle w:val="a3"/>
        <w:spacing w:before="69"/>
        <w:ind w:right="329"/>
        <w:rPr>
          <w:rFonts w:ascii="黑体" w:eastAsia="黑体" w:hAnsi="黑体"/>
        </w:rPr>
      </w:pPr>
      <w:r w:rsidRPr="002F69A8">
        <w:rPr>
          <w:rFonts w:ascii="黑体" w:eastAsia="黑体" w:hAnsi="黑体" w:cs="宋体" w:hint="eastAsia"/>
          <w:lang w:eastAsia="zh-CN"/>
        </w:rPr>
        <w:t>最后，当一个禁令生效时，需</w:t>
      </w:r>
      <w:bookmarkStart w:id="0" w:name="_GoBack"/>
      <w:bookmarkEnd w:id="0"/>
      <w:r w:rsidRPr="002F69A8">
        <w:rPr>
          <w:rFonts w:ascii="黑体" w:eastAsia="黑体" w:hAnsi="黑体" w:cs="宋体" w:hint="eastAsia"/>
          <w:lang w:eastAsia="zh-CN"/>
        </w:rPr>
        <w:t>要在适当的地方有足够数量的车辆充电站，以便人们可以使用他们的车辆进行日常业务，也可以偶尔进行长途旅行。然而，从汽油和柴油汽车到电动汽车的迁移并不简单，也不可能一蹴而就。在一个幻想的世界里，我们总有一天会醒来，每辆汽油车都会被一辆电动汽车所取代，每一个加油站都会更换一个加油站。事实上，资源有限，消费者需要时间来进行切换。事实上，充电站的位置和便利性作为早期用户的关键，最终成为主流消费者自愿转变。</w:t>
      </w:r>
      <w:r w:rsidR="00963CBA" w:rsidRPr="002F69A8">
        <w:rPr>
          <w:rFonts w:ascii="黑体" w:eastAsia="黑体" w:hAnsi="黑体"/>
          <w:spacing w:val="-4"/>
          <w:lang w:eastAsia="zh-CN"/>
        </w:rPr>
        <w:t xml:space="preserve"> </w:t>
      </w:r>
      <w:r w:rsidR="00963CBA" w:rsidRPr="002F69A8">
        <w:rPr>
          <w:rFonts w:ascii="黑体" w:eastAsia="黑体" w:hAnsi="黑体"/>
        </w:rPr>
        <w:t>(</w:t>
      </w:r>
      <w:hyperlink r:id="rId7">
        <w:r w:rsidR="00963CBA" w:rsidRPr="002F69A8">
          <w:rPr>
            <w:rFonts w:ascii="黑体" w:eastAsia="黑体" w:hAnsi="黑体"/>
            <w:color w:val="0000FF"/>
            <w:u w:val="single" w:color="0000FF"/>
          </w:rPr>
          <w:t>http://www.govtech.com/fs/Building-Out-Electric-</w:t>
        </w:r>
      </w:hyperlink>
      <w:r w:rsidR="00963CBA" w:rsidRPr="002F69A8">
        <w:rPr>
          <w:rFonts w:ascii="黑体" w:eastAsia="黑体" w:hAnsi="黑体"/>
          <w:color w:val="0000FF"/>
        </w:rPr>
        <w:t xml:space="preserve"> </w:t>
      </w:r>
      <w:hyperlink r:id="rId8">
        <w:r w:rsidR="00963CBA" w:rsidRPr="002F69A8">
          <w:rPr>
            <w:rFonts w:ascii="黑体" w:eastAsia="黑体" w:hAnsi="黑体"/>
            <w:color w:val="0000FF"/>
            <w:u w:val="single" w:color="0000FF"/>
          </w:rPr>
          <w:t>Vehicle-Infrastructure-Where-Are-the-Best-Locations-for-Charging-Stations.html</w:t>
        </w:r>
      </w:hyperlink>
      <w:r w:rsidR="00963CBA" w:rsidRPr="002F69A8">
        <w:rPr>
          <w:rFonts w:ascii="黑体" w:eastAsia="黑体" w:hAnsi="黑体"/>
        </w:rPr>
        <w:t>).</w:t>
      </w:r>
    </w:p>
    <w:p w:rsidR="00A93433" w:rsidRPr="002F69A8" w:rsidRDefault="00A93433">
      <w:pPr>
        <w:spacing w:before="11"/>
        <w:rPr>
          <w:rFonts w:ascii="黑体" w:eastAsia="黑体" w:hAnsi="黑体" w:cs="Times New Roman"/>
          <w:sz w:val="17"/>
          <w:szCs w:val="17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作为国家计划过渡时，他们需要考虑充电站网络（最后的一些站，在那里他们将位于，在车站，充电器的数量和在农村地区，需要不同的郊区，和城市地区），以及充电站在时间网络的发展和演变。例如，当电动汽车占所有汽车的</w:t>
      </w:r>
      <w:r w:rsidRPr="002F69A8">
        <w:rPr>
          <w:rFonts w:ascii="黑体" w:eastAsia="黑体" w:hAnsi="黑体" w:hint="eastAsia"/>
          <w:lang w:eastAsia="zh-CN"/>
        </w:rPr>
        <w:t>10%</w:t>
      </w:r>
      <w:r w:rsidRPr="002F69A8">
        <w:rPr>
          <w:rFonts w:ascii="黑体" w:eastAsia="黑体" w:hAnsi="黑体" w:cs="宋体" w:hint="eastAsia"/>
          <w:lang w:eastAsia="zh-CN"/>
        </w:rPr>
        <w:t>、</w:t>
      </w:r>
      <w:r w:rsidRPr="002F69A8">
        <w:rPr>
          <w:rFonts w:ascii="黑体" w:eastAsia="黑体" w:hAnsi="黑体" w:hint="eastAsia"/>
          <w:lang w:eastAsia="zh-CN"/>
        </w:rPr>
        <w:t>30%</w:t>
      </w:r>
      <w:r w:rsidRPr="002F69A8">
        <w:rPr>
          <w:rFonts w:ascii="黑体" w:eastAsia="黑体" w:hAnsi="黑体" w:cs="宋体" w:hint="eastAsia"/>
          <w:lang w:eastAsia="zh-CN"/>
        </w:rPr>
        <w:t>的汽车、</w:t>
      </w:r>
      <w:r w:rsidRPr="002F69A8">
        <w:rPr>
          <w:rFonts w:ascii="黑体" w:eastAsia="黑体" w:hAnsi="黑体" w:hint="eastAsia"/>
          <w:lang w:eastAsia="zh-CN"/>
        </w:rPr>
        <w:t>50%</w:t>
      </w:r>
      <w:r w:rsidRPr="002F69A8">
        <w:rPr>
          <w:rFonts w:ascii="黑体" w:eastAsia="黑体" w:hAnsi="黑体" w:cs="宋体" w:hint="eastAsia"/>
          <w:lang w:eastAsia="zh-CN"/>
        </w:rPr>
        <w:t>的汽车和</w:t>
      </w:r>
      <w:r w:rsidRPr="002F69A8">
        <w:rPr>
          <w:rFonts w:ascii="黑体" w:eastAsia="黑体" w:hAnsi="黑体" w:hint="eastAsia"/>
          <w:lang w:eastAsia="zh-CN"/>
        </w:rPr>
        <w:t>90%</w:t>
      </w:r>
      <w:r w:rsidRPr="002F69A8">
        <w:rPr>
          <w:rFonts w:ascii="黑体" w:eastAsia="黑体" w:hAnsi="黑体" w:cs="宋体" w:hint="eastAsia"/>
          <w:lang w:eastAsia="zh-CN"/>
        </w:rPr>
        <w:t>的汽车时，网络应该是什么样子？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随着各国努力制定促进电动汽车的移民政策，他们将需要设计一个对本国最有利的计划。在他们开始之前，他们希望你的团队帮助你确定充电网络的最终架构，以支持所有电动汽车的全面采用。此外，他们希望你确定关键因素，因为它们计划最终禁止或大幅减少汽油和柴油车辆的时间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 w:cs="宋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为了帮助您的团队管理这一问题的范围，我们要求您只关注个人乘用车（如轿车、面包车和轻型货车）。在你的报告，你可以简要地评论你的发现和结论对商用车辆，包括重型卡车和公共汽车的相关性。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 w:cs="宋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您的任务如下：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任务</w:t>
      </w:r>
      <w:r w:rsidRPr="002F69A8">
        <w:rPr>
          <w:rFonts w:ascii="黑体" w:eastAsia="黑体" w:hAnsi="黑体" w:hint="eastAsia"/>
          <w:lang w:eastAsia="zh-CN"/>
        </w:rPr>
        <w:t>1</w:t>
      </w:r>
      <w:r w:rsidRPr="002F69A8">
        <w:rPr>
          <w:rFonts w:ascii="黑体" w:eastAsia="黑体" w:hAnsi="黑体" w:cs="宋体" w:hint="eastAsia"/>
          <w:lang w:eastAsia="zh-CN"/>
        </w:rPr>
        <w:t>：探索当前和日益增长的特斯拉充电站网络在美国。特斯拉目前提供了两种类型的充电站：（</w:t>
      </w:r>
      <w:r w:rsidRPr="002F69A8">
        <w:rPr>
          <w:rFonts w:ascii="黑体" w:eastAsia="黑体" w:hAnsi="黑体" w:hint="eastAsia"/>
          <w:lang w:eastAsia="zh-CN"/>
        </w:rPr>
        <w:t>1</w:t>
      </w:r>
      <w:r w:rsidRPr="002F69A8">
        <w:rPr>
          <w:rFonts w:ascii="黑体" w:eastAsia="黑体" w:hAnsi="黑体" w:cs="宋体" w:hint="eastAsia"/>
          <w:lang w:eastAsia="zh-CN"/>
        </w:rPr>
        <w:t>）目的地充电，设计的充电的几个小时的时间甚至一夜之间（</w:t>
      </w:r>
      <w:r w:rsidRPr="002F69A8">
        <w:rPr>
          <w:rFonts w:ascii="黑体" w:eastAsia="黑体" w:hAnsi="黑体" w:hint="eastAsia"/>
          <w:lang w:eastAsia="zh-CN"/>
        </w:rPr>
        <w:t>https</w:t>
      </w:r>
      <w:r w:rsidRPr="002F69A8">
        <w:rPr>
          <w:rFonts w:ascii="黑体" w:eastAsia="黑体" w:hAnsi="黑体" w:cs="宋体" w:hint="eastAsia"/>
          <w:lang w:eastAsia="zh-CN"/>
        </w:rPr>
        <w:t>：／／</w:t>
      </w:r>
      <w:r w:rsidRPr="002F69A8">
        <w:rPr>
          <w:rFonts w:ascii="黑体" w:eastAsia="黑体" w:hAnsi="黑体" w:hint="eastAsia"/>
          <w:lang w:eastAsia="zh-CN"/>
        </w:rPr>
        <w:t>www.tesla</w:t>
      </w:r>
      <w:r w:rsidRPr="002F69A8">
        <w:rPr>
          <w:rFonts w:ascii="黑体" w:eastAsia="黑体" w:hAnsi="黑体" w:cs="宋体" w:hint="eastAsia"/>
          <w:lang w:eastAsia="zh-CN"/>
        </w:rPr>
        <w:t>。</w:t>
      </w:r>
      <w:r w:rsidRPr="002F69A8">
        <w:rPr>
          <w:rFonts w:ascii="黑体" w:eastAsia="黑体" w:hAnsi="黑体" w:hint="eastAsia"/>
        </w:rPr>
        <w:t>COM /</w:t>
      </w:r>
      <w:r w:rsidRPr="002F69A8">
        <w:rPr>
          <w:rFonts w:ascii="黑体" w:eastAsia="黑体" w:hAnsi="黑体" w:cs="宋体" w:hint="eastAsia"/>
        </w:rPr>
        <w:t>目的地充电）；和（</w:t>
      </w:r>
      <w:r w:rsidRPr="002F69A8">
        <w:rPr>
          <w:rFonts w:ascii="黑体" w:eastAsia="黑体" w:hAnsi="黑体" w:hint="eastAsia"/>
        </w:rPr>
        <w:t>2</w:t>
      </w:r>
      <w:r w:rsidRPr="002F69A8">
        <w:rPr>
          <w:rFonts w:ascii="黑体" w:eastAsia="黑体" w:hAnsi="黑体" w:cs="宋体" w:hint="eastAsia"/>
        </w:rPr>
        <w:t>）增压设计更长的路去在短短的</w:t>
      </w:r>
      <w:r w:rsidRPr="002F69A8">
        <w:rPr>
          <w:rFonts w:ascii="黑体" w:eastAsia="黑体" w:hAnsi="黑体" w:hint="eastAsia"/>
        </w:rPr>
        <w:t>30</w:t>
      </w:r>
      <w:r w:rsidRPr="002F69A8">
        <w:rPr>
          <w:rFonts w:ascii="黑体" w:eastAsia="黑体" w:hAnsi="黑体" w:cs="宋体" w:hint="eastAsia"/>
        </w:rPr>
        <w:t>分钟的充电提供</w:t>
      </w:r>
      <w:r w:rsidRPr="002F69A8">
        <w:rPr>
          <w:rFonts w:ascii="黑体" w:eastAsia="黑体" w:hAnsi="黑体" w:hint="eastAsia"/>
        </w:rPr>
        <w:t>170</w:t>
      </w:r>
      <w:r w:rsidRPr="002F69A8">
        <w:rPr>
          <w:rFonts w:ascii="黑体" w:eastAsia="黑体" w:hAnsi="黑体" w:cs="宋体" w:hint="eastAsia"/>
        </w:rPr>
        <w:t>英里范围（</w:t>
      </w:r>
      <w:r w:rsidRPr="002F69A8">
        <w:rPr>
          <w:rFonts w:ascii="黑体" w:eastAsia="黑体" w:hAnsi="黑体" w:hint="eastAsia"/>
        </w:rPr>
        <w:t>https</w:t>
      </w:r>
      <w:r w:rsidRPr="002F69A8">
        <w:rPr>
          <w:rFonts w:ascii="黑体" w:eastAsia="黑体" w:hAnsi="黑体" w:cs="宋体" w:hint="eastAsia"/>
        </w:rPr>
        <w:t>：／／</w:t>
      </w:r>
      <w:r w:rsidRPr="002F69A8">
        <w:rPr>
          <w:rFonts w:ascii="黑体" w:eastAsia="黑体" w:hAnsi="黑体" w:hint="eastAsia"/>
        </w:rPr>
        <w:t>www.tesla</w:t>
      </w:r>
      <w:r w:rsidRPr="002F69A8">
        <w:rPr>
          <w:rFonts w:ascii="黑体" w:eastAsia="黑体" w:hAnsi="黑体" w:cs="宋体" w:hint="eastAsia"/>
        </w:rPr>
        <w:t>。</w:t>
      </w:r>
      <w:r w:rsidRPr="002F69A8">
        <w:rPr>
          <w:rFonts w:ascii="黑体" w:eastAsia="黑体" w:hAnsi="黑体" w:hint="eastAsia"/>
          <w:lang w:eastAsia="zh-CN"/>
        </w:rPr>
        <w:t>COM /</w:t>
      </w:r>
      <w:r w:rsidRPr="002F69A8">
        <w:rPr>
          <w:rFonts w:ascii="黑体" w:eastAsia="黑体" w:hAnsi="黑体" w:cs="宋体" w:hint="eastAsia"/>
          <w:lang w:eastAsia="zh-CN"/>
        </w:rPr>
        <w:t>增压器）。这些站除了在家里。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充电的许多特斯拉车主谁有一个私人车库或车道的权力使用。特斯拉在轨道上允许完全切换到美国的所有电力吗？如果每个人都转向美国的所有电动个人乘用车，需要多少充电站，以及它们应该如何分布在城市、郊区和农村地区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任务</w:t>
      </w:r>
      <w:r w:rsidRPr="002F69A8">
        <w:rPr>
          <w:rFonts w:ascii="黑体" w:eastAsia="黑体" w:hAnsi="黑体" w:hint="eastAsia"/>
          <w:lang w:eastAsia="zh-CN"/>
        </w:rPr>
        <w:t>2</w:t>
      </w:r>
      <w:r w:rsidRPr="002F69A8">
        <w:rPr>
          <w:rFonts w:ascii="黑体" w:eastAsia="黑体" w:hAnsi="黑体" w:cs="宋体" w:hint="eastAsia"/>
          <w:lang w:eastAsia="zh-CN"/>
        </w:rPr>
        <w:t>：选择下列国家之一（韩国、爱尔兰或乌拉圭）。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hint="eastAsia"/>
          <w:lang w:eastAsia="zh-CN"/>
        </w:rPr>
        <w:t>2A</w:t>
      </w:r>
      <w:r w:rsidRPr="002F69A8">
        <w:rPr>
          <w:rFonts w:ascii="黑体" w:eastAsia="黑体" w:hAnsi="黑体" w:cs="宋体" w:hint="eastAsia"/>
          <w:lang w:eastAsia="zh-CN"/>
        </w:rPr>
        <w:t>如果你的国家可以立即将所有个人乘用车转移到所有的电动车辆上（不需要转换时间），确定充电站的最佳数量、位置和分布。影响你的计划发展的关键因素是什么？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虽然这些国家已经开始安装充电器，但你可以从一个干净的石板开始。提出一个建议，将您所选择的国家的充电网络从零充电器发展到全电动汽车系统。你如何建议国家投资充电器？国家</w:t>
      </w:r>
      <w:r w:rsidRPr="002F69A8">
        <w:rPr>
          <w:rFonts w:ascii="黑体" w:eastAsia="黑体" w:hAnsi="黑体" w:cs="宋体" w:hint="eastAsia"/>
          <w:lang w:eastAsia="zh-CN"/>
        </w:rPr>
        <w:lastRenderedPageBreak/>
        <w:t>应该首先建造所有的城市充电器，还是所有的乡村充电器，或者两者兼而有之？你会先安装充电器，希望人们购买汽车，或者你会建立充电器响应汽车购买？你提出的收费站计划的关键因素是什么？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根据你的增长计划，你建议在你的国家电动汽车的全面发展的时间表是什么？为了开始，您不妨考虑在您选定的国家道路上有</w:t>
      </w:r>
      <w:r w:rsidRPr="002F69A8">
        <w:rPr>
          <w:rFonts w:ascii="黑体" w:eastAsia="黑体" w:hAnsi="黑体" w:hint="eastAsia"/>
          <w:lang w:eastAsia="zh-CN"/>
        </w:rPr>
        <w:t>10%</w:t>
      </w:r>
      <w:r w:rsidRPr="002F69A8">
        <w:rPr>
          <w:rFonts w:ascii="黑体" w:eastAsia="黑体" w:hAnsi="黑体" w:cs="宋体" w:hint="eastAsia"/>
          <w:lang w:eastAsia="zh-CN"/>
        </w:rPr>
        <w:t>辆电动汽车、</w:t>
      </w:r>
      <w:r w:rsidRPr="002F69A8">
        <w:rPr>
          <w:rFonts w:ascii="黑体" w:eastAsia="黑体" w:hAnsi="黑体" w:hint="eastAsia"/>
          <w:lang w:eastAsia="zh-CN"/>
        </w:rPr>
        <w:t>30%</w:t>
      </w:r>
      <w:r w:rsidRPr="002F69A8">
        <w:rPr>
          <w:rFonts w:ascii="黑体" w:eastAsia="黑体" w:hAnsi="黑体" w:cs="宋体" w:hint="eastAsia"/>
          <w:lang w:eastAsia="zh-CN"/>
        </w:rPr>
        <w:t>辆电动汽车、</w:t>
      </w:r>
      <w:r w:rsidRPr="002F69A8">
        <w:rPr>
          <w:rFonts w:ascii="黑体" w:eastAsia="黑体" w:hAnsi="黑体" w:hint="eastAsia"/>
          <w:lang w:eastAsia="zh-CN"/>
        </w:rPr>
        <w:t>50%</w:t>
      </w:r>
      <w:r w:rsidRPr="002F69A8">
        <w:rPr>
          <w:rFonts w:ascii="黑体" w:eastAsia="黑体" w:hAnsi="黑体" w:cs="宋体" w:hint="eastAsia"/>
          <w:lang w:eastAsia="zh-CN"/>
        </w:rPr>
        <w:t>辆电动汽车或</w:t>
      </w:r>
      <w:r w:rsidRPr="002F69A8">
        <w:rPr>
          <w:rFonts w:ascii="黑体" w:eastAsia="黑体" w:hAnsi="黑体" w:hint="eastAsia"/>
          <w:lang w:eastAsia="zh-CN"/>
        </w:rPr>
        <w:t>100%</w:t>
      </w:r>
      <w:r w:rsidRPr="002F69A8">
        <w:rPr>
          <w:rFonts w:ascii="黑体" w:eastAsia="黑体" w:hAnsi="黑体" w:cs="宋体" w:hint="eastAsia"/>
          <w:lang w:eastAsia="zh-CN"/>
        </w:rPr>
        <w:t>辆电动汽车需要多长时间。影响你的增长计划时间表的关键因素是什么？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任务</w:t>
      </w:r>
      <w:r w:rsidRPr="002F69A8">
        <w:rPr>
          <w:rFonts w:ascii="黑体" w:eastAsia="黑体" w:hAnsi="黑体" w:hint="eastAsia"/>
          <w:lang w:eastAsia="zh-CN"/>
        </w:rPr>
        <w:t>3</w:t>
      </w:r>
      <w:r w:rsidRPr="002F69A8">
        <w:rPr>
          <w:rFonts w:ascii="黑体" w:eastAsia="黑体" w:hAnsi="黑体" w:cs="宋体" w:hint="eastAsia"/>
          <w:lang w:eastAsia="zh-CN"/>
        </w:rPr>
        <w:t>：现在考虑的国家有不同的地域、人口密度分布和财富分布，如澳大利亚，中国，印度尼西亚，沙特阿拉伯，新加坡。你提出的发展和发展充电器网络的计划是否仍然适用于每一个国家？什么是触发选择不同的方法来发展网络的关键因素？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讨论建立一个分类系统的可行性，这将有助于一个国家确定他们应该遵循的一般增长模式，以便他们成功地从汽油和柴油车转向所有的电动汽车。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任务</w:t>
      </w:r>
      <w:r w:rsidRPr="002F69A8">
        <w:rPr>
          <w:rFonts w:ascii="黑体" w:eastAsia="黑体" w:hAnsi="黑体" w:hint="eastAsia"/>
          <w:lang w:eastAsia="zh-CN"/>
        </w:rPr>
        <w:t>4</w:t>
      </w:r>
      <w:r w:rsidRPr="002F69A8">
        <w:rPr>
          <w:rFonts w:ascii="黑体" w:eastAsia="黑体" w:hAnsi="黑体" w:cs="宋体" w:hint="eastAsia"/>
          <w:lang w:eastAsia="zh-CN"/>
        </w:rPr>
        <w:t>：技术世界的不断变化和影响运输选项如汽车共享和乘坐共享服务，自动驾驶汽车，电动汽车的快速电池更换站，甚至飞行汽车和</w:t>
      </w:r>
      <w:r w:rsidRPr="002F69A8">
        <w:rPr>
          <w:rFonts w:ascii="黑体" w:eastAsia="黑体" w:hAnsi="黑体" w:hint="eastAsia"/>
          <w:lang w:eastAsia="zh-CN"/>
        </w:rPr>
        <w:t>Hyperloop</w:t>
      </w:r>
      <w:r w:rsidRPr="002F69A8">
        <w:rPr>
          <w:rFonts w:ascii="黑体" w:eastAsia="黑体" w:hAnsi="黑体" w:cs="宋体" w:hint="eastAsia"/>
          <w:lang w:eastAsia="zh-CN"/>
        </w:rPr>
        <w:t>。评论这些技术如何影响你对电动汽车使用量越来越多的分析。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任务</w:t>
      </w:r>
      <w:r w:rsidRPr="002F69A8">
        <w:rPr>
          <w:rFonts w:ascii="黑体" w:eastAsia="黑体" w:hAnsi="黑体" w:hint="eastAsia"/>
          <w:lang w:eastAsia="zh-CN"/>
        </w:rPr>
        <w:t>5</w:t>
      </w:r>
      <w:r w:rsidRPr="002F69A8">
        <w:rPr>
          <w:rFonts w:ascii="黑体" w:eastAsia="黑体" w:hAnsi="黑体" w:cs="宋体" w:hint="eastAsia"/>
          <w:lang w:eastAsia="zh-CN"/>
        </w:rPr>
        <w:t>：为参加国际能源峰会的各国领导人编写一页的讲义。该手册应确定领导人返回母国时应考虑的关键因素，以便制定一项全国性计划，将个人交通工具转向所有电动汽车，并设置燃气汽车禁令日期。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您的提交应包括：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微软雅黑" w:eastAsia="微软雅黑" w:hAnsi="微软雅黑" w:cs="微软雅黑" w:hint="eastAsia"/>
          <w:lang w:eastAsia="zh-CN"/>
        </w:rPr>
        <w:t>•</w:t>
      </w:r>
      <w:r w:rsidRPr="002F69A8">
        <w:rPr>
          <w:rFonts w:ascii="黑体" w:eastAsia="黑体" w:hAnsi="黑体" w:cs="宋体" w:hint="eastAsia"/>
          <w:lang w:eastAsia="zh-CN"/>
        </w:rPr>
        <w:t>一页摘要表，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微软雅黑" w:eastAsia="微软雅黑" w:hAnsi="微软雅黑" w:cs="微软雅黑" w:hint="eastAsia"/>
          <w:lang w:eastAsia="zh-CN"/>
        </w:rPr>
        <w:t>•</w:t>
      </w:r>
      <w:r w:rsidRPr="002F69A8">
        <w:rPr>
          <w:rFonts w:ascii="黑体" w:eastAsia="黑体" w:hAnsi="黑体" w:cs="宋体" w:hint="eastAsia"/>
          <w:lang w:eastAsia="zh-CN"/>
        </w:rPr>
        <w:t>一页讲义，</w:t>
      </w:r>
    </w:p>
    <w:p w:rsidR="005B07D5" w:rsidRPr="002F69A8" w:rsidRDefault="005B07D5" w:rsidP="005B07D5">
      <w:pPr>
        <w:pStyle w:val="a3"/>
        <w:ind w:right="102"/>
        <w:rPr>
          <w:rFonts w:ascii="黑体" w:eastAsia="黑体" w:hAnsi="黑体"/>
          <w:lang w:eastAsia="zh-CN"/>
        </w:rPr>
      </w:pPr>
      <w:r w:rsidRPr="002F69A8">
        <w:rPr>
          <w:rFonts w:ascii="微软雅黑" w:eastAsia="微软雅黑" w:hAnsi="微软雅黑" w:cs="微软雅黑" w:hint="eastAsia"/>
          <w:lang w:eastAsia="zh-CN"/>
        </w:rPr>
        <w:t>•</w:t>
      </w:r>
      <w:r w:rsidRPr="002F69A8">
        <w:rPr>
          <w:rFonts w:ascii="黑体" w:eastAsia="黑体" w:hAnsi="黑体" w:cs="宋体" w:hint="eastAsia"/>
          <w:lang w:eastAsia="zh-CN"/>
        </w:rPr>
        <w:t>你的解决方案不超过</w:t>
      </w:r>
      <w:r w:rsidRPr="002F69A8">
        <w:rPr>
          <w:rFonts w:ascii="黑体" w:eastAsia="黑体" w:hAnsi="黑体" w:hint="eastAsia"/>
          <w:lang w:eastAsia="zh-CN"/>
        </w:rPr>
        <w:t>20</w:t>
      </w:r>
      <w:r w:rsidRPr="002F69A8">
        <w:rPr>
          <w:rFonts w:ascii="黑体" w:eastAsia="黑体" w:hAnsi="黑体" w:cs="宋体" w:hint="eastAsia"/>
          <w:lang w:eastAsia="zh-CN"/>
        </w:rPr>
        <w:t>页，最多有</w:t>
      </w:r>
      <w:r w:rsidRPr="002F69A8">
        <w:rPr>
          <w:rFonts w:ascii="黑体" w:eastAsia="黑体" w:hAnsi="黑体" w:hint="eastAsia"/>
          <w:lang w:eastAsia="zh-CN"/>
        </w:rPr>
        <w:t>22</w:t>
      </w:r>
      <w:r w:rsidRPr="002F69A8">
        <w:rPr>
          <w:rFonts w:ascii="黑体" w:eastAsia="黑体" w:hAnsi="黑体" w:cs="宋体" w:hint="eastAsia"/>
          <w:lang w:eastAsia="zh-CN"/>
        </w:rPr>
        <w:t>页的摘要和讲义。</w:t>
      </w:r>
    </w:p>
    <w:p w:rsidR="00A93433" w:rsidRPr="002F69A8" w:rsidRDefault="005B07D5" w:rsidP="005B07D5">
      <w:pPr>
        <w:pStyle w:val="a3"/>
        <w:ind w:right="102"/>
        <w:rPr>
          <w:rFonts w:ascii="黑体" w:eastAsia="黑体" w:hAnsi="黑体" w:cs="Times New Roman"/>
          <w:lang w:eastAsia="zh-CN"/>
        </w:rPr>
      </w:pPr>
      <w:r w:rsidRPr="002F69A8">
        <w:rPr>
          <w:rFonts w:ascii="黑体" w:eastAsia="黑体" w:hAnsi="黑体" w:cs="宋体" w:hint="eastAsia"/>
          <w:lang w:eastAsia="zh-CN"/>
        </w:rPr>
        <w:t>注：参考清单和任何附录不计入</w:t>
      </w:r>
      <w:r w:rsidRPr="002F69A8">
        <w:rPr>
          <w:rFonts w:ascii="黑体" w:eastAsia="黑体" w:hAnsi="黑体" w:hint="eastAsia"/>
          <w:lang w:eastAsia="zh-CN"/>
        </w:rPr>
        <w:t>22</w:t>
      </w:r>
      <w:r w:rsidRPr="002F69A8">
        <w:rPr>
          <w:rFonts w:ascii="黑体" w:eastAsia="黑体" w:hAnsi="黑体" w:cs="宋体" w:hint="eastAsia"/>
          <w:lang w:eastAsia="zh-CN"/>
        </w:rPr>
        <w:t>页的限制，并应在您完成的解决方案之后出现。</w:t>
      </w:r>
    </w:p>
    <w:sectPr w:rsidR="00A93433" w:rsidRPr="002F69A8" w:rsidSect="005B07D5">
      <w:type w:val="continuous"/>
      <w:pgSz w:w="12240" w:h="15840"/>
      <w:pgMar w:top="1100" w:right="10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183" w:rsidRDefault="00880183" w:rsidP="005B07D5">
      <w:r>
        <w:separator/>
      </w:r>
    </w:p>
  </w:endnote>
  <w:endnote w:type="continuationSeparator" w:id="0">
    <w:p w:rsidR="00880183" w:rsidRDefault="00880183" w:rsidP="005B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183" w:rsidRDefault="00880183" w:rsidP="005B07D5">
      <w:r>
        <w:separator/>
      </w:r>
    </w:p>
  </w:footnote>
  <w:footnote w:type="continuationSeparator" w:id="0">
    <w:p w:rsidR="00880183" w:rsidRDefault="00880183" w:rsidP="005B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7E0"/>
    <w:multiLevelType w:val="hybridMultilevel"/>
    <w:tmpl w:val="60120388"/>
    <w:lvl w:ilvl="0" w:tplc="C5F28A3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4342F96">
      <w:start w:val="1"/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18C6A632">
      <w:start w:val="1"/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5D5863F2">
      <w:start w:val="1"/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B5ACF994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2C983790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DFFC7084">
      <w:start w:val="1"/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FC644D74">
      <w:start w:val="1"/>
      <w:numFmt w:val="bullet"/>
      <w:lvlText w:val="•"/>
      <w:lvlJc w:val="left"/>
      <w:pPr>
        <w:ind w:left="7364" w:hanging="360"/>
      </w:pPr>
      <w:rPr>
        <w:rFonts w:hint="default"/>
      </w:rPr>
    </w:lvl>
    <w:lvl w:ilvl="8" w:tplc="BE88F778">
      <w:start w:val="1"/>
      <w:numFmt w:val="bullet"/>
      <w:lvlText w:val="•"/>
      <w:lvlJc w:val="left"/>
      <w:pPr>
        <w:ind w:left="82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33"/>
    <w:rsid w:val="002F69A8"/>
    <w:rsid w:val="005B07D5"/>
    <w:rsid w:val="00880183"/>
    <w:rsid w:val="00963CBA"/>
    <w:rsid w:val="00A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2C85FD-F12E-4DA5-BDE8-747A77AC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1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5B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07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07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tech.com/fs/Building-Out-Electric-Vehicle-Infrastructure-Where-Are-the-Best-Locations-for-Charging-St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vtech.com/fs/Building-Out-Electric-Vehicle-Infrastructure-Where-Are-the-Best-Locations-for-Charging-St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>微软中国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ICM</dc:title>
  <dc:creator>COMAP Inc.</dc:creator>
  <cp:lastModifiedBy>微软用户</cp:lastModifiedBy>
  <cp:revision>3</cp:revision>
  <dcterms:created xsi:type="dcterms:W3CDTF">2018-02-08T22:08:00Z</dcterms:created>
  <dcterms:modified xsi:type="dcterms:W3CDTF">2018-02-08T22:11:00Z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2018-02-08T00:00:00Z</vt:filetime>
  </property>
</Properties>
</file>