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MasterIndexTheSap.yaml — II. THE SAP (ENERGY + MATERIALS FLOWS)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"Lifeblood of the System"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SEEN.yaml: # Sustainable Energy Ecosystem Network — Renewable Power for 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MATERIA.yaml: # Material Innovation &amp; Recycling Agency — Circular Material Economy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TransPort.yaml: # Planetary Transportation Network — Sustainable Global Mobility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CommsSphere.yaml: # Global Communication Sphere — Ubiquitous Information Access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GaiaStack.yaml: # Planetary Data &amp; Infrastructure Layer — Open Source Planetary 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