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E3CF0" w14:textId="77777777" w:rsidR="005715A9" w:rsidRDefault="00000000">
      <w:pPr>
        <w:pStyle w:val="Title"/>
      </w:pPr>
      <w:r>
        <w:t>Prevalence of Video Gaming Addiction Among Male Health Related Students and its Effect on Academic Achievement</w:t>
      </w:r>
    </w:p>
    <w:p w14:paraId="7DF49801" w14:textId="77777777" w:rsidR="005715A9" w:rsidRDefault="00000000">
      <w:pPr>
        <w:pStyle w:val="Author"/>
      </w:pPr>
      <w:r>
        <w:t>Osama Ahmed Ibrahim</w:t>
      </w:r>
    </w:p>
    <w:p w14:paraId="419D4BC5" w14:textId="77777777" w:rsidR="005715A9" w:rsidRDefault="00000000">
      <w:pPr>
        <w:pStyle w:val="Heading2"/>
      </w:pPr>
      <w:bookmarkStart w:id="0" w:name="statistical-analysis"/>
      <w:r>
        <w:t>Statistical Analysis</w:t>
      </w:r>
    </w:p>
    <w:p w14:paraId="756DADCF" w14:textId="77777777" w:rsidR="001E4520" w:rsidRDefault="00000000">
      <w:pPr>
        <w:pStyle w:val="FirstParagraph"/>
      </w:pPr>
      <w:r>
        <w:t xml:space="preserve">All analyses were conducted in R (version: 4.5.1). Descriptive statistics were reported as frequencies and percentages for all categorical variables. The prevalence of Internet Gaming Disorder (IGD) was estimated using the IGD-20 instrument [CITATION], with a 95% Wilson confidence interval calculated to account for the binary outcome. Internal consistency of each IGD-20 subscale was assessed using Cronbach’s α, with values ≥ 0.70 considered acceptable. </w:t>
      </w:r>
    </w:p>
    <w:p w14:paraId="4A70A706" w14:textId="41DA7956" w:rsidR="005715A9" w:rsidRDefault="00000000" w:rsidP="001E4520">
      <w:pPr>
        <w:pStyle w:val="FirstParagraph"/>
        <w:ind w:firstLine="720"/>
      </w:pPr>
      <w:r>
        <w:t>Grade Point Average (GPA) was treated as an ordinal outcome with four levels (&lt;2.5, 2.5–3.74, 3.75–4.49, 4.5–5.0) and analyzed using cumulative link models (CLM) with a logit link function, implemented via the ordinal package in R. Unadjusted odds ratios (ORs) were estimated through univariable CLM for each predictor. Two multivariable CLMs were subsequently constructed. Model selection was based on a likelihood ratio test (LRT) comparing nested models, alongside the Akaike Information Criterion (AIC) and Bayesian Information Criterion (BIC), with lower values indicating better fit. Results were considered statistically significant at a two-sided p-value &lt; 0.05.</w:t>
      </w:r>
    </w:p>
    <w:p w14:paraId="5EC45E94" w14:textId="77777777" w:rsidR="005715A9" w:rsidRDefault="00000000">
      <w:pPr>
        <w:pStyle w:val="Heading2"/>
      </w:pPr>
      <w:bookmarkStart w:id="1" w:name="participant-characteristics"/>
      <w:bookmarkEnd w:id="0"/>
      <w:r>
        <w:t>Participant Characteristics</w:t>
      </w:r>
    </w:p>
    <w:p w14:paraId="2E6D45F5" w14:textId="4F4D066B" w:rsidR="001E4520" w:rsidRDefault="00000000">
      <w:pPr>
        <w:pStyle w:val="FirstParagraph"/>
      </w:pPr>
      <w:r>
        <w:t>A total of 485 university students were included in the final analysis after excluding incomplete responses. The majority were aged between 20 and 23 years (n = 293, 60.4%), single (n = 444, 91.5%), and living with their family (n = 455, 93.8%). Students were distributed across six health sciences colleges, with Applied Medical Sciences representing the largest proportion (n = 170, 35.1%). Fifty participants (10.3%) reported a history of psychiatric diagnosis, and 57 (11.8%) were current smokers (Table 1). With respect to academic performance, 6 (1.2%), 104 (21.4%), 227 (46.8%), and 148 (30.5%) students fell within the GPA categories of &lt;2.5, 2.5–3.74, 3.75–4.49, and 4.5–5.0, respectively.</w:t>
      </w:r>
    </w:p>
    <w:p w14:paraId="24258ADD" w14:textId="49431DB8" w:rsidR="005715A9" w:rsidRDefault="001E4520" w:rsidP="001E4520">
      <w:r>
        <w:br w:type="page"/>
      </w:r>
    </w:p>
    <w:p w14:paraId="31219AF3" w14:textId="77777777" w:rsidR="005715A9" w:rsidRDefault="00000000">
      <w:pPr>
        <w:pStyle w:val="Heading3"/>
      </w:pPr>
      <w:bookmarkStart w:id="2" w:name="X3b744cdf56558b0b261ca47b8878d5979150549"/>
      <w:r>
        <w:lastRenderedPageBreak/>
        <w:t>Table 1. Sociodemographic and behavioral characteristics of university students stratified by Grade Point Average (GPA) category</w:t>
      </w:r>
    </w:p>
    <w:tbl>
      <w:tblPr>
        <w:tblStyle w:val="Table"/>
        <w:tblW w:w="5225" w:type="pct"/>
        <w:jc w:val="center"/>
        <w:tblLook w:val="0420" w:firstRow="1" w:lastRow="0" w:firstColumn="0" w:lastColumn="0" w:noHBand="0" w:noVBand="1"/>
      </w:tblPr>
      <w:tblGrid>
        <w:gridCol w:w="3614"/>
        <w:gridCol w:w="1394"/>
        <w:gridCol w:w="1029"/>
        <w:gridCol w:w="1088"/>
        <w:gridCol w:w="1240"/>
        <w:gridCol w:w="1416"/>
      </w:tblGrid>
      <w:tr w:rsidR="005715A9" w14:paraId="67E1523D" w14:textId="77777777" w:rsidTr="001E4520">
        <w:trPr>
          <w:cnfStyle w:val="100000000000" w:firstRow="1" w:lastRow="0" w:firstColumn="0" w:lastColumn="0" w:oddVBand="0" w:evenVBand="0" w:oddHBand="0" w:evenHBand="0" w:firstRowFirstColumn="0" w:firstRowLastColumn="0" w:lastRowFirstColumn="0" w:lastRowLastColumn="0"/>
          <w:tblHeader/>
          <w:jc w:val="center"/>
        </w:trPr>
        <w:tc>
          <w:tcPr>
            <w:tcW w:w="0" w:type="auto"/>
            <w:gridSpan w:val="2"/>
            <w:tcBorders>
              <w:top w:val="single" w:sz="4" w:space="0" w:color="auto"/>
              <w:bottom w:val="none" w:sz="0" w:space="0" w:color="auto"/>
            </w:tcBorders>
            <w:shd w:val="clear" w:color="auto" w:fill="FFFFFF"/>
            <w:tcMar>
              <w:top w:w="0" w:type="dxa"/>
              <w:left w:w="0" w:type="dxa"/>
              <w:bottom w:w="0" w:type="dxa"/>
              <w:right w:w="0" w:type="dxa"/>
            </w:tcMar>
            <w:vAlign w:val="center"/>
          </w:tcPr>
          <w:p w14:paraId="71423909" w14:textId="77777777" w:rsidR="005715A9" w:rsidRDefault="00000000">
            <w:pPr>
              <w:pBdr>
                <w:top w:val="none" w:sz="0" w:space="0" w:color="000000"/>
                <w:left w:val="none" w:sz="0" w:space="0" w:color="000000"/>
                <w:bottom w:val="none" w:sz="0" w:space="0" w:color="000000"/>
                <w:right w:val="none" w:sz="0" w:space="0" w:color="000000"/>
              </w:pBdr>
              <w:spacing w:before="40" w:after="4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 xml:space="preserve"> </w:t>
            </w:r>
          </w:p>
        </w:tc>
        <w:tc>
          <w:tcPr>
            <w:tcW w:w="2441" w:type="pct"/>
            <w:gridSpan w:val="4"/>
            <w:tcBorders>
              <w:top w:val="single" w:sz="4" w:space="0" w:color="auto"/>
              <w:bottom w:val="none" w:sz="0" w:space="0" w:color="auto"/>
            </w:tcBorders>
            <w:shd w:val="clear" w:color="auto" w:fill="FFFFFF"/>
            <w:tcMar>
              <w:top w:w="0" w:type="dxa"/>
              <w:left w:w="0" w:type="dxa"/>
              <w:bottom w:w="0" w:type="dxa"/>
              <w:right w:w="0" w:type="dxa"/>
            </w:tcMar>
            <w:vAlign w:val="center"/>
          </w:tcPr>
          <w:p w14:paraId="14930988" w14:textId="77777777" w:rsidR="005715A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Grade Point Average (GPA)</w:t>
            </w:r>
          </w:p>
        </w:tc>
      </w:tr>
      <w:tr w:rsidR="005715A9" w14:paraId="24EA64CA" w14:textId="77777777" w:rsidTr="001E4520">
        <w:trPr>
          <w:cnfStyle w:val="100000000000" w:firstRow="1" w:lastRow="0" w:firstColumn="0" w:lastColumn="0" w:oddVBand="0" w:evenVBand="0" w:oddHBand="0" w:evenHBand="0" w:firstRowFirstColumn="0" w:firstRowLastColumn="0" w:lastRowFirstColumn="0" w:lastRowLastColumn="0"/>
          <w:tblHeader/>
          <w:jc w:val="center"/>
        </w:trPr>
        <w:tc>
          <w:tcPr>
            <w:tcW w:w="1847" w:type="pct"/>
            <w:tcBorders>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A1CD1F7" w14:textId="77777777" w:rsidR="005715A9" w:rsidRDefault="00000000">
            <w:pPr>
              <w:pBdr>
                <w:top w:val="none" w:sz="0" w:space="0" w:color="000000"/>
                <w:left w:val="none" w:sz="0" w:space="0" w:color="000000"/>
                <w:bottom w:val="none" w:sz="0" w:space="0" w:color="000000"/>
                <w:right w:val="none" w:sz="0" w:space="0" w:color="000000"/>
              </w:pBdr>
              <w:spacing w:before="40" w:after="40"/>
              <w:ind w:left="100" w:right="100"/>
              <w:rPr>
                <w:rFonts w:ascii="Helvetica" w:eastAsia="Helvetica" w:hAnsi="Helvetica" w:cs="Helvetica"/>
                <w:color w:val="000000"/>
                <w:sz w:val="22"/>
                <w:szCs w:val="22"/>
              </w:rPr>
            </w:pPr>
            <w:r>
              <w:rPr>
                <w:rFonts w:ascii="Helvetica" w:eastAsia="Helvetica" w:hAnsi="Helvetica" w:cs="Helvetica"/>
                <w:b/>
                <w:color w:val="000000"/>
                <w:sz w:val="22"/>
                <w:szCs w:val="22"/>
              </w:rPr>
              <w:t>Characteristic</w:t>
            </w:r>
          </w:p>
        </w:tc>
        <w:tc>
          <w:tcPr>
            <w:tcW w:w="712" w:type="pct"/>
            <w:tcBorders>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EAFC879" w14:textId="77777777" w:rsidR="005715A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Overall</w:t>
            </w:r>
            <w:r>
              <w:rPr>
                <w:rFonts w:ascii="Helvetica" w:eastAsia="Helvetica" w:hAnsi="Helvetica" w:cs="Helvetica"/>
                <w:color w:val="000000"/>
                <w:sz w:val="22"/>
                <w:szCs w:val="22"/>
              </w:rPr>
              <w:t xml:space="preserve">  </w:t>
            </w:r>
            <w:r>
              <w:rPr>
                <w:rFonts w:ascii="Helvetica" w:eastAsia="Helvetica" w:hAnsi="Helvetica" w:cs="Helvetica"/>
                <w:color w:val="000000"/>
                <w:sz w:val="22"/>
                <w:szCs w:val="22"/>
              </w:rPr>
              <w:br/>
              <w:t>N = 485</w:t>
            </w:r>
            <w:r>
              <w:rPr>
                <w:rFonts w:ascii="Helvetica" w:eastAsia="Helvetica" w:hAnsi="Helvetica" w:cs="Helvetica"/>
                <w:color w:val="000000"/>
                <w:sz w:val="22"/>
                <w:szCs w:val="22"/>
                <w:vertAlign w:val="superscript"/>
              </w:rPr>
              <w:t>1</w:t>
            </w:r>
          </w:p>
        </w:tc>
        <w:tc>
          <w:tcPr>
            <w:tcW w:w="0" w:type="auto"/>
            <w:tcBorders>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8AA9855" w14:textId="77777777" w:rsidR="005715A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&lt;2.5</w:t>
            </w:r>
            <w:r>
              <w:rPr>
                <w:rFonts w:ascii="Helvetica" w:eastAsia="Helvetica" w:hAnsi="Helvetica" w:cs="Helvetica"/>
                <w:color w:val="000000"/>
                <w:sz w:val="22"/>
                <w:szCs w:val="22"/>
              </w:rPr>
              <w:t xml:space="preserve">  </w:t>
            </w:r>
            <w:r>
              <w:rPr>
                <w:rFonts w:ascii="Helvetica" w:eastAsia="Helvetica" w:hAnsi="Helvetica" w:cs="Helvetica"/>
                <w:color w:val="000000"/>
                <w:sz w:val="22"/>
                <w:szCs w:val="22"/>
              </w:rPr>
              <w:br/>
              <w:t>N = 6</w:t>
            </w:r>
            <w:r>
              <w:rPr>
                <w:rFonts w:ascii="Helvetica" w:eastAsia="Helvetica" w:hAnsi="Helvetica" w:cs="Helvetica"/>
                <w:color w:val="000000"/>
                <w:sz w:val="22"/>
                <w:szCs w:val="22"/>
                <w:vertAlign w:val="superscript"/>
              </w:rPr>
              <w:t>1</w:t>
            </w:r>
          </w:p>
        </w:tc>
        <w:tc>
          <w:tcPr>
            <w:tcW w:w="0" w:type="auto"/>
            <w:tcBorders>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3A2CE91" w14:textId="77777777" w:rsidR="005715A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2.5-3.74</w:t>
            </w:r>
            <w:r>
              <w:rPr>
                <w:rFonts w:ascii="Helvetica" w:eastAsia="Helvetica" w:hAnsi="Helvetica" w:cs="Helvetica"/>
                <w:color w:val="000000"/>
                <w:sz w:val="22"/>
                <w:szCs w:val="22"/>
              </w:rPr>
              <w:t xml:space="preserve">  </w:t>
            </w:r>
            <w:r>
              <w:rPr>
                <w:rFonts w:ascii="Helvetica" w:eastAsia="Helvetica" w:hAnsi="Helvetica" w:cs="Helvetica"/>
                <w:color w:val="000000"/>
                <w:sz w:val="22"/>
                <w:szCs w:val="22"/>
              </w:rPr>
              <w:br/>
              <w:t>N = 104</w:t>
            </w:r>
            <w:r>
              <w:rPr>
                <w:rFonts w:ascii="Helvetica" w:eastAsia="Helvetica" w:hAnsi="Helvetica" w:cs="Helvetica"/>
                <w:color w:val="000000"/>
                <w:sz w:val="22"/>
                <w:szCs w:val="22"/>
                <w:vertAlign w:val="superscript"/>
              </w:rPr>
              <w:t>1</w:t>
            </w:r>
          </w:p>
        </w:tc>
        <w:tc>
          <w:tcPr>
            <w:tcW w:w="634" w:type="pct"/>
            <w:tcBorders>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7DB7AC7" w14:textId="77777777" w:rsidR="005715A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3.75-4.49</w:t>
            </w:r>
            <w:r>
              <w:rPr>
                <w:rFonts w:ascii="Helvetica" w:eastAsia="Helvetica" w:hAnsi="Helvetica" w:cs="Helvetica"/>
                <w:color w:val="000000"/>
                <w:sz w:val="22"/>
                <w:szCs w:val="22"/>
              </w:rPr>
              <w:t xml:space="preserve">  </w:t>
            </w:r>
            <w:r>
              <w:rPr>
                <w:rFonts w:ascii="Helvetica" w:eastAsia="Helvetica" w:hAnsi="Helvetica" w:cs="Helvetica"/>
                <w:color w:val="000000"/>
                <w:sz w:val="22"/>
                <w:szCs w:val="22"/>
              </w:rPr>
              <w:br/>
              <w:t>N = 227</w:t>
            </w:r>
            <w:r>
              <w:rPr>
                <w:rFonts w:ascii="Helvetica" w:eastAsia="Helvetica" w:hAnsi="Helvetica" w:cs="Helvetica"/>
                <w:color w:val="000000"/>
                <w:sz w:val="22"/>
                <w:szCs w:val="22"/>
                <w:vertAlign w:val="superscript"/>
              </w:rPr>
              <w:t>1</w:t>
            </w:r>
          </w:p>
        </w:tc>
        <w:tc>
          <w:tcPr>
            <w:tcW w:w="724" w:type="pct"/>
            <w:tcBorders>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A01DF90" w14:textId="77777777" w:rsidR="005715A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4.5-5</w:t>
            </w:r>
            <w:r>
              <w:rPr>
                <w:rFonts w:ascii="Helvetica" w:eastAsia="Helvetica" w:hAnsi="Helvetica" w:cs="Helvetica"/>
                <w:color w:val="000000"/>
                <w:sz w:val="22"/>
                <w:szCs w:val="22"/>
              </w:rPr>
              <w:t xml:space="preserve">  </w:t>
            </w:r>
            <w:r>
              <w:rPr>
                <w:rFonts w:ascii="Helvetica" w:eastAsia="Helvetica" w:hAnsi="Helvetica" w:cs="Helvetica"/>
                <w:color w:val="000000"/>
                <w:sz w:val="22"/>
                <w:szCs w:val="22"/>
              </w:rPr>
              <w:br/>
              <w:t>N = 148</w:t>
            </w:r>
            <w:r>
              <w:rPr>
                <w:rFonts w:ascii="Helvetica" w:eastAsia="Helvetica" w:hAnsi="Helvetica" w:cs="Helvetica"/>
                <w:color w:val="000000"/>
                <w:sz w:val="22"/>
                <w:szCs w:val="22"/>
                <w:vertAlign w:val="superscript"/>
              </w:rPr>
              <w:t>1</w:t>
            </w:r>
          </w:p>
        </w:tc>
      </w:tr>
      <w:tr w:rsidR="005715A9" w14:paraId="69ED06B9" w14:textId="77777777" w:rsidTr="001E4520">
        <w:trPr>
          <w:jc w:val="center"/>
        </w:trPr>
        <w:tc>
          <w:tcPr>
            <w:tcW w:w="1847" w:type="pct"/>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296C2E"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Age</w:t>
            </w:r>
          </w:p>
        </w:tc>
        <w:tc>
          <w:tcPr>
            <w:tcW w:w="712" w:type="pct"/>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27EF8A"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1D37E8"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F690A8"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634" w:type="pct"/>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18518D"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724" w:type="pct"/>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FD63DD"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5715A9" w14:paraId="347471CF" w14:textId="77777777" w:rsidTr="001E4520">
        <w:trPr>
          <w:jc w:val="center"/>
        </w:trPr>
        <w:tc>
          <w:tcPr>
            <w:tcW w:w="184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27E78F" w14:textId="77777777" w:rsidR="005715A9"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18-20</w:t>
            </w:r>
          </w:p>
        </w:tc>
        <w:tc>
          <w:tcPr>
            <w:tcW w:w="7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EB388F"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77 (16%)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E59719"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 (17%)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E2690F"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10 (9.6%)</w:t>
            </w:r>
          </w:p>
        </w:tc>
        <w:tc>
          <w:tcPr>
            <w:tcW w:w="6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E52929"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34 (15%)</w:t>
            </w: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68D307"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32 (22%)</w:t>
            </w:r>
          </w:p>
        </w:tc>
      </w:tr>
      <w:tr w:rsidR="005715A9" w14:paraId="25859851" w14:textId="77777777" w:rsidTr="001E4520">
        <w:trPr>
          <w:jc w:val="center"/>
        </w:trPr>
        <w:tc>
          <w:tcPr>
            <w:tcW w:w="184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3EE9DD" w14:textId="77777777" w:rsidR="005715A9"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&gt;20-23</w:t>
            </w:r>
          </w:p>
        </w:tc>
        <w:tc>
          <w:tcPr>
            <w:tcW w:w="7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9EB10D"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293 (60%)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FB43F8"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 (33%)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6B71DC"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59 (57%)</w:t>
            </w:r>
          </w:p>
        </w:tc>
        <w:tc>
          <w:tcPr>
            <w:tcW w:w="6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FBECEC"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142 (63%)</w:t>
            </w: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BCF813"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90 (61%)</w:t>
            </w:r>
          </w:p>
        </w:tc>
      </w:tr>
      <w:tr w:rsidR="005715A9" w14:paraId="0CD1AB87" w14:textId="77777777" w:rsidTr="001E4520">
        <w:trPr>
          <w:jc w:val="center"/>
        </w:trPr>
        <w:tc>
          <w:tcPr>
            <w:tcW w:w="184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3123BC" w14:textId="77777777" w:rsidR="005715A9"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&gt;23</w:t>
            </w:r>
          </w:p>
        </w:tc>
        <w:tc>
          <w:tcPr>
            <w:tcW w:w="7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34A1A4"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115 (24%)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29C8D9"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 (50%)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0B167B"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35 (34%)</w:t>
            </w:r>
          </w:p>
        </w:tc>
        <w:tc>
          <w:tcPr>
            <w:tcW w:w="6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6A4B05"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51 (22%)</w:t>
            </w: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CCCC98"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26 (18%)</w:t>
            </w:r>
          </w:p>
        </w:tc>
      </w:tr>
      <w:tr w:rsidR="005715A9" w14:paraId="60F18A64" w14:textId="77777777" w:rsidTr="001E4520">
        <w:trPr>
          <w:jc w:val="center"/>
        </w:trPr>
        <w:tc>
          <w:tcPr>
            <w:tcW w:w="184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AE1862"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Social Status</w:t>
            </w:r>
          </w:p>
        </w:tc>
        <w:tc>
          <w:tcPr>
            <w:tcW w:w="7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EA463C"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955571"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FBD498"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6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17D7DB"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C0EA84"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5715A9" w14:paraId="34AE8168" w14:textId="77777777" w:rsidTr="001E4520">
        <w:trPr>
          <w:jc w:val="center"/>
        </w:trPr>
        <w:tc>
          <w:tcPr>
            <w:tcW w:w="184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570043" w14:textId="77777777" w:rsidR="005715A9"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Single</w:t>
            </w:r>
          </w:p>
        </w:tc>
        <w:tc>
          <w:tcPr>
            <w:tcW w:w="7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B1E453"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444 (92%)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914A20"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 (83%)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D57EC5"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94 (90%)</w:t>
            </w:r>
          </w:p>
        </w:tc>
        <w:tc>
          <w:tcPr>
            <w:tcW w:w="6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6D40E8"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207 (91%)</w:t>
            </w: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FC8FD"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138 (93%)</w:t>
            </w:r>
          </w:p>
        </w:tc>
      </w:tr>
      <w:tr w:rsidR="005715A9" w14:paraId="5C317B15" w14:textId="77777777" w:rsidTr="001E4520">
        <w:trPr>
          <w:jc w:val="center"/>
        </w:trPr>
        <w:tc>
          <w:tcPr>
            <w:tcW w:w="184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A7310C" w14:textId="77777777" w:rsidR="005715A9"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Married</w:t>
            </w:r>
          </w:p>
        </w:tc>
        <w:tc>
          <w:tcPr>
            <w:tcW w:w="7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117107"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41 (8.5%)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29E0F4"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 (17%)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A7A817"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10 (9.6%)</w:t>
            </w:r>
          </w:p>
        </w:tc>
        <w:tc>
          <w:tcPr>
            <w:tcW w:w="6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E83DB7"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20 (8.8%)</w:t>
            </w: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947AA1"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10 (6.8%)</w:t>
            </w:r>
          </w:p>
        </w:tc>
      </w:tr>
      <w:tr w:rsidR="005715A9" w14:paraId="71E79628" w14:textId="77777777" w:rsidTr="001E4520">
        <w:trPr>
          <w:jc w:val="center"/>
        </w:trPr>
        <w:tc>
          <w:tcPr>
            <w:tcW w:w="184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4BB38F"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Living with</w:t>
            </w:r>
          </w:p>
        </w:tc>
        <w:tc>
          <w:tcPr>
            <w:tcW w:w="7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347A7A"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4B41CE"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287179"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6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961DEC"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06E763"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5715A9" w14:paraId="502FFAF6" w14:textId="77777777" w:rsidTr="001E4520">
        <w:trPr>
          <w:jc w:val="center"/>
        </w:trPr>
        <w:tc>
          <w:tcPr>
            <w:tcW w:w="184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786A86" w14:textId="77777777" w:rsidR="005715A9"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Alone</w:t>
            </w:r>
          </w:p>
        </w:tc>
        <w:tc>
          <w:tcPr>
            <w:tcW w:w="7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9B8966"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21 (4.3%)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F2C50D"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7E6A00"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 (3.8%)</w:t>
            </w:r>
          </w:p>
        </w:tc>
        <w:tc>
          <w:tcPr>
            <w:tcW w:w="6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B55997"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7 (3.1%)</w:t>
            </w: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3ADCA8"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10 (6.8%)</w:t>
            </w:r>
          </w:p>
        </w:tc>
      </w:tr>
      <w:tr w:rsidR="005715A9" w14:paraId="0AEEDE66" w14:textId="77777777" w:rsidTr="001E4520">
        <w:trPr>
          <w:jc w:val="center"/>
        </w:trPr>
        <w:tc>
          <w:tcPr>
            <w:tcW w:w="184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BB98B7" w14:textId="77777777" w:rsidR="005715A9"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Family</w:t>
            </w:r>
          </w:p>
        </w:tc>
        <w:tc>
          <w:tcPr>
            <w:tcW w:w="7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DE8D28"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455 (94%)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DA07DA"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6 (100%)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6C2B9B"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97 (93%)</w:t>
            </w:r>
          </w:p>
        </w:tc>
        <w:tc>
          <w:tcPr>
            <w:tcW w:w="6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D1CB5A"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218 (96%)</w:t>
            </w: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7300B4"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134 (91%)</w:t>
            </w:r>
          </w:p>
        </w:tc>
      </w:tr>
      <w:tr w:rsidR="005715A9" w14:paraId="33565BCA" w14:textId="77777777" w:rsidTr="001E4520">
        <w:trPr>
          <w:jc w:val="center"/>
        </w:trPr>
        <w:tc>
          <w:tcPr>
            <w:tcW w:w="184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D69CD7" w14:textId="77777777" w:rsidR="005715A9"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Friends</w:t>
            </w:r>
          </w:p>
        </w:tc>
        <w:tc>
          <w:tcPr>
            <w:tcW w:w="7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4B96E9"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9 (1.9%)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E921F6"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C8D8D9"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 (2.9%)</w:t>
            </w:r>
          </w:p>
        </w:tc>
        <w:tc>
          <w:tcPr>
            <w:tcW w:w="6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33C7B0"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 (0.9%)</w:t>
            </w: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807006"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 (2.7%)</w:t>
            </w:r>
          </w:p>
        </w:tc>
      </w:tr>
      <w:tr w:rsidR="005715A9" w14:paraId="4FD6F178" w14:textId="77777777" w:rsidTr="001E4520">
        <w:trPr>
          <w:jc w:val="center"/>
        </w:trPr>
        <w:tc>
          <w:tcPr>
            <w:tcW w:w="184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0C2469"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College</w:t>
            </w:r>
          </w:p>
        </w:tc>
        <w:tc>
          <w:tcPr>
            <w:tcW w:w="7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DD8352"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03BCF3"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74A027"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6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30C4F8"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013EE7"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5715A9" w14:paraId="0A1D7ED3" w14:textId="77777777" w:rsidTr="001E4520">
        <w:trPr>
          <w:jc w:val="center"/>
        </w:trPr>
        <w:tc>
          <w:tcPr>
            <w:tcW w:w="184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FA625D" w14:textId="77777777" w:rsidR="005715A9"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Nursing</w:t>
            </w:r>
          </w:p>
        </w:tc>
        <w:tc>
          <w:tcPr>
            <w:tcW w:w="7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9C2E20"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49 (10%)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A25F22"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 (17%)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288F90"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6 (5.8%)</w:t>
            </w:r>
          </w:p>
        </w:tc>
        <w:tc>
          <w:tcPr>
            <w:tcW w:w="6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187D07"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23 (10%)</w:t>
            </w: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8136BB"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19 (13%)</w:t>
            </w:r>
          </w:p>
        </w:tc>
      </w:tr>
      <w:tr w:rsidR="005715A9" w14:paraId="7C070D91" w14:textId="77777777" w:rsidTr="001E4520">
        <w:trPr>
          <w:jc w:val="center"/>
        </w:trPr>
        <w:tc>
          <w:tcPr>
            <w:tcW w:w="184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9724CB" w14:textId="77777777" w:rsidR="005715A9"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Public Health and Tropical Meidicne</w:t>
            </w:r>
          </w:p>
        </w:tc>
        <w:tc>
          <w:tcPr>
            <w:tcW w:w="7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6B45CE"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67 (14%)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61C34F"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 (33%)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8E6E83"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26 (25%)</w:t>
            </w:r>
          </w:p>
        </w:tc>
        <w:tc>
          <w:tcPr>
            <w:tcW w:w="6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327601"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31 (14%)</w:t>
            </w: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E5B2BE"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8 (5.4%)</w:t>
            </w:r>
          </w:p>
        </w:tc>
      </w:tr>
      <w:tr w:rsidR="005715A9" w14:paraId="234283AE" w14:textId="77777777" w:rsidTr="001E4520">
        <w:trPr>
          <w:jc w:val="center"/>
        </w:trPr>
        <w:tc>
          <w:tcPr>
            <w:tcW w:w="184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A07F45" w14:textId="77777777" w:rsidR="005715A9"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Pharmacy</w:t>
            </w:r>
          </w:p>
        </w:tc>
        <w:tc>
          <w:tcPr>
            <w:tcW w:w="7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3F3CD3"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76 (16%)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0D64C9"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 (17%)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E04FB5"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16 (15%)</w:t>
            </w:r>
          </w:p>
        </w:tc>
        <w:tc>
          <w:tcPr>
            <w:tcW w:w="6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5EA0AD"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36 (16%)</w:t>
            </w: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470974"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23 (16%)</w:t>
            </w:r>
          </w:p>
        </w:tc>
      </w:tr>
      <w:tr w:rsidR="005715A9" w14:paraId="02E6884E" w14:textId="77777777" w:rsidTr="001E4520">
        <w:trPr>
          <w:jc w:val="center"/>
        </w:trPr>
        <w:tc>
          <w:tcPr>
            <w:tcW w:w="184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C26A33" w14:textId="77777777" w:rsidR="005715A9"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Applied Medical Sciences</w:t>
            </w:r>
          </w:p>
        </w:tc>
        <w:tc>
          <w:tcPr>
            <w:tcW w:w="7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710503"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170 (35%)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DA1FCE"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 (17%)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02E1E6"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32 (31%)</w:t>
            </w:r>
          </w:p>
        </w:tc>
        <w:tc>
          <w:tcPr>
            <w:tcW w:w="6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A11A01"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88 (39%)</w:t>
            </w: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6F9650"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49 (33%)</w:t>
            </w:r>
          </w:p>
        </w:tc>
      </w:tr>
      <w:tr w:rsidR="005715A9" w14:paraId="2F80D50B" w14:textId="77777777" w:rsidTr="001E4520">
        <w:trPr>
          <w:jc w:val="center"/>
        </w:trPr>
        <w:tc>
          <w:tcPr>
            <w:tcW w:w="184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07DAF2" w14:textId="77777777" w:rsidR="005715A9"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Dentistry</w:t>
            </w:r>
          </w:p>
        </w:tc>
        <w:tc>
          <w:tcPr>
            <w:tcW w:w="7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67621E"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30 (6.2%)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2BC81A"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 (17%)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A877EB"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6 (5.8%)</w:t>
            </w:r>
          </w:p>
        </w:tc>
        <w:tc>
          <w:tcPr>
            <w:tcW w:w="6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0D507B"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14 (6.2%)</w:t>
            </w: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D55DEB"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9 (6.1%)</w:t>
            </w:r>
          </w:p>
        </w:tc>
      </w:tr>
      <w:tr w:rsidR="005715A9" w14:paraId="652BF612" w14:textId="77777777" w:rsidTr="001E4520">
        <w:trPr>
          <w:jc w:val="center"/>
        </w:trPr>
        <w:tc>
          <w:tcPr>
            <w:tcW w:w="184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79C436" w14:textId="77777777" w:rsidR="005715A9"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Medicine</w:t>
            </w:r>
          </w:p>
        </w:tc>
        <w:tc>
          <w:tcPr>
            <w:tcW w:w="7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6934D1"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93 (19%)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1C10A9"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B82252"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18 (17%)</w:t>
            </w:r>
          </w:p>
        </w:tc>
        <w:tc>
          <w:tcPr>
            <w:tcW w:w="6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099899"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35 (15%)</w:t>
            </w: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302C9A"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40 (27%)</w:t>
            </w:r>
          </w:p>
        </w:tc>
      </w:tr>
      <w:tr w:rsidR="005715A9" w14:paraId="5F3A2948" w14:textId="77777777" w:rsidTr="001E4520">
        <w:trPr>
          <w:jc w:val="center"/>
        </w:trPr>
        <w:tc>
          <w:tcPr>
            <w:tcW w:w="184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8C007B"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lastRenderedPageBreak/>
              <w:t>Ever been Diagnosed with a mental illness</w:t>
            </w:r>
          </w:p>
        </w:tc>
        <w:tc>
          <w:tcPr>
            <w:tcW w:w="7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FB56C3"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56 (12%)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3C35C7"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E80350"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12 (12%)</w:t>
            </w:r>
          </w:p>
        </w:tc>
        <w:tc>
          <w:tcPr>
            <w:tcW w:w="6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D3DCBF"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25 (11%)</w:t>
            </w: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C84635"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19 (13%)</w:t>
            </w:r>
          </w:p>
        </w:tc>
      </w:tr>
      <w:tr w:rsidR="005715A9" w14:paraId="2769BD9B" w14:textId="77777777" w:rsidTr="001E4520">
        <w:trPr>
          <w:jc w:val="center"/>
        </w:trPr>
        <w:tc>
          <w:tcPr>
            <w:tcW w:w="184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4E9AAD"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Smoking</w:t>
            </w:r>
          </w:p>
        </w:tc>
        <w:tc>
          <w:tcPr>
            <w:tcW w:w="7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90D1CA"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CCFE49"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44106F"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6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374AF8"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43BB00"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5715A9" w14:paraId="33CB1CFF" w14:textId="77777777" w:rsidTr="001E4520">
        <w:trPr>
          <w:jc w:val="center"/>
        </w:trPr>
        <w:tc>
          <w:tcPr>
            <w:tcW w:w="184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9B9C2E" w14:textId="77777777" w:rsidR="005715A9"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Never Smoker</w:t>
            </w:r>
          </w:p>
        </w:tc>
        <w:tc>
          <w:tcPr>
            <w:tcW w:w="7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C36561"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394 (81%)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151DD2"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 (67%)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25C421"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72 (69%)</w:t>
            </w:r>
          </w:p>
        </w:tc>
        <w:tc>
          <w:tcPr>
            <w:tcW w:w="6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E1DA5D"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190 (84%)</w:t>
            </w: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82FA59"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128 (86%)</w:t>
            </w:r>
          </w:p>
        </w:tc>
      </w:tr>
      <w:tr w:rsidR="005715A9" w14:paraId="592EC17C" w14:textId="77777777" w:rsidTr="001E4520">
        <w:trPr>
          <w:jc w:val="center"/>
        </w:trPr>
        <w:tc>
          <w:tcPr>
            <w:tcW w:w="184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24355C" w14:textId="77777777" w:rsidR="005715A9"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Previous Smoker</w:t>
            </w:r>
          </w:p>
        </w:tc>
        <w:tc>
          <w:tcPr>
            <w:tcW w:w="7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1FD248"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34 (7.0%)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D2CF0C"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 (33%)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5DF6B8"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11 (11%)</w:t>
            </w:r>
          </w:p>
        </w:tc>
        <w:tc>
          <w:tcPr>
            <w:tcW w:w="6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CED83F"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13 (5.7%)</w:t>
            </w: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4AB5D6"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8 (5.4%)</w:t>
            </w:r>
          </w:p>
        </w:tc>
      </w:tr>
      <w:tr w:rsidR="005715A9" w14:paraId="0B06F53A" w14:textId="77777777" w:rsidTr="001E4520">
        <w:trPr>
          <w:jc w:val="center"/>
        </w:trPr>
        <w:tc>
          <w:tcPr>
            <w:tcW w:w="184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C19DDE" w14:textId="77777777" w:rsidR="005715A9"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Current Smoker</w:t>
            </w:r>
          </w:p>
        </w:tc>
        <w:tc>
          <w:tcPr>
            <w:tcW w:w="7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D2361A"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57 (12%)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723F04"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 (0%)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E83F70"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21 (20%)</w:t>
            </w:r>
          </w:p>
        </w:tc>
        <w:tc>
          <w:tcPr>
            <w:tcW w:w="6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D6945D"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24 (11%)</w:t>
            </w: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06841B"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12 (8.1%)</w:t>
            </w:r>
          </w:p>
        </w:tc>
      </w:tr>
      <w:tr w:rsidR="005715A9" w14:paraId="294795E2" w14:textId="77777777" w:rsidTr="001E4520">
        <w:trPr>
          <w:jc w:val="center"/>
        </w:trPr>
        <w:tc>
          <w:tcPr>
            <w:tcW w:w="1847" w:type="pct"/>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4FA5776"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Addiction</w:t>
            </w:r>
          </w:p>
        </w:tc>
        <w:tc>
          <w:tcPr>
            <w:tcW w:w="712" w:type="pct"/>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2FA15D8"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50 (10%)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F24E05A"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 (0%)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4BFB138"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15 (14%)</w:t>
            </w:r>
          </w:p>
        </w:tc>
        <w:tc>
          <w:tcPr>
            <w:tcW w:w="634" w:type="pct"/>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8FE60A0"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18 (7.9%)</w:t>
            </w:r>
          </w:p>
        </w:tc>
        <w:tc>
          <w:tcPr>
            <w:tcW w:w="724" w:type="pct"/>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1CDA534"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17 (11%)</w:t>
            </w:r>
          </w:p>
        </w:tc>
      </w:tr>
      <w:tr w:rsidR="005715A9" w14:paraId="52A5FF7B" w14:textId="77777777" w:rsidTr="001E4520">
        <w:trPr>
          <w:jc w:val="center"/>
        </w:trPr>
        <w:tc>
          <w:tcPr>
            <w:tcW w:w="5000" w:type="pct"/>
            <w:gridSpan w:val="6"/>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A4DB859" w14:textId="57AED03F" w:rsidR="005715A9" w:rsidRDefault="00000000" w:rsidP="001E452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vertAlign w:val="superscript"/>
              </w:rPr>
              <w:t>1</w:t>
            </w:r>
            <w:r>
              <w:rPr>
                <w:rFonts w:ascii="Helvetica" w:eastAsia="Helvetica" w:hAnsi="Helvetica" w:cs="Helvetica"/>
                <w:color w:val="000000"/>
                <w:sz w:val="22"/>
                <w:szCs w:val="22"/>
              </w:rPr>
              <w:t>n (%)</w:t>
            </w:r>
            <w:r w:rsidR="001E4520">
              <w:rPr>
                <w:rFonts w:ascii="Helvetica" w:eastAsia="Helvetica" w:hAnsi="Helvetica" w:cs="Helvetica"/>
                <w:color w:val="000000"/>
                <w:sz w:val="22"/>
                <w:szCs w:val="22"/>
              </w:rPr>
              <w:t xml:space="preserve">. </w:t>
            </w:r>
            <w:r w:rsidR="001E4520" w:rsidRPr="001E4520">
              <w:rPr>
                <w:rFonts w:ascii="Helvetica" w:eastAsia="Helvetica" w:hAnsi="Helvetica" w:cs="Helvetica"/>
                <w:color w:val="000000"/>
                <w:sz w:val="22"/>
                <w:szCs w:val="22"/>
              </w:rPr>
              <w:t>Percentages are column-based within each GPA category. The GPA &lt;2.5 group contains only 6 participants; cell-level percentages should be interpreted with caution. GPA, Grade Point Average.</w:t>
            </w:r>
          </w:p>
        </w:tc>
      </w:tr>
    </w:tbl>
    <w:p w14:paraId="4546E0A8" w14:textId="77777777" w:rsidR="005715A9" w:rsidRDefault="00000000">
      <w:pPr>
        <w:pStyle w:val="Heading2"/>
      </w:pPr>
      <w:bookmarkStart w:id="3" w:name="X46d72ca65d77d136008bb57eacc679aae6096bb"/>
      <w:bookmarkEnd w:id="1"/>
      <w:bookmarkEnd w:id="2"/>
      <w:r>
        <w:t>IGD-20 Subscale Analysis and Addiction Prevalence</w:t>
      </w:r>
    </w:p>
    <w:p w14:paraId="4B25781A" w14:textId="77777777" w:rsidR="005715A9" w:rsidRDefault="00000000">
      <w:pPr>
        <w:pStyle w:val="FirstParagraph"/>
      </w:pPr>
      <w:r>
        <w:t>Across the six IGD-20 subscales, Mood had the highest mean item score (3.04 ± 0.77), followed by Conflict (2.39 ± 0.81) and Salience (2.29 ± 1.04). All subscales demonstrated acceptable-to-good internal consistency, with Cronbach’s α ranging from 0.76 (Conflict) to 0.85 (Relapse) (Table 2). The overall prevalence of IGD was 10.3% (n = 50; 95% CI: 7.8–13.0%) (Table 3)</w:t>
      </w:r>
    </w:p>
    <w:p w14:paraId="0A1F7AA0" w14:textId="74B00212" w:rsidR="001E4520" w:rsidRPr="001E4520" w:rsidRDefault="00000000" w:rsidP="001E4520">
      <w:pPr>
        <w:pStyle w:val="Heading3"/>
      </w:pPr>
      <w:bookmarkStart w:id="4" w:name="X5b26e5e01fd55887c55e1c6a0d792fd5cdcc217"/>
      <w:r>
        <w:t>Table 2. Internal consistency and descriptive statistics of the Internet Gaming Disorder Scale–20 (IGD-20) subscales</w:t>
      </w:r>
    </w:p>
    <w:tbl>
      <w:tblPr>
        <w:tblStyle w:val="Table"/>
        <w:tblW w:w="5000" w:type="pct"/>
        <w:jc w:val="center"/>
        <w:tblLook w:val="0420" w:firstRow="1" w:lastRow="0" w:firstColumn="0" w:lastColumn="0" w:noHBand="0" w:noVBand="1"/>
      </w:tblPr>
      <w:tblGrid>
        <w:gridCol w:w="2628"/>
        <w:gridCol w:w="2507"/>
        <w:gridCol w:w="4225"/>
      </w:tblGrid>
      <w:tr w:rsidR="005715A9" w14:paraId="6B407BD3" w14:textId="77777777" w:rsidTr="005715A9">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C917D2"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Dimension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A384AB"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Mean ± SD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25627F"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b/>
                <w:color w:val="000000"/>
                <w:sz w:val="22"/>
                <w:szCs w:val="22"/>
              </w:rPr>
            </w:pPr>
            <w:r>
              <w:rPr>
                <w:rFonts w:ascii="Helvetica" w:eastAsia="Helvetica" w:hAnsi="Helvetica" w:cs="Helvetica"/>
                <w:b/>
                <w:color w:val="000000"/>
                <w:sz w:val="22"/>
                <w:szCs w:val="22"/>
              </w:rPr>
              <w:t>Chronbach's Alpha</w:t>
            </w:r>
          </w:p>
        </w:tc>
      </w:tr>
      <w:tr w:rsidR="005715A9" w14:paraId="00D96D11" w14:textId="77777777" w:rsidTr="005715A9">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B37C1"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Salience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F6A262"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2.29 ± 1.04</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C05714"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0.78</w:t>
            </w:r>
          </w:p>
        </w:tc>
      </w:tr>
      <w:tr w:rsidR="005715A9" w14:paraId="7B1D1D33" w14:textId="77777777" w:rsidTr="005715A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9CDA3"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Mood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2C35A"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3.04 ± 0.77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5D3091"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0.81</w:t>
            </w:r>
          </w:p>
        </w:tc>
      </w:tr>
      <w:tr w:rsidR="005715A9" w14:paraId="3D9430BE" w14:textId="77777777" w:rsidTr="005715A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63320"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Tolerance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4275E"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2.27 ± 1.07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72BB2"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0.78</w:t>
            </w:r>
          </w:p>
        </w:tc>
      </w:tr>
      <w:tr w:rsidR="005715A9" w14:paraId="6F885590" w14:textId="77777777" w:rsidTr="005715A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1EC435"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Withdrawal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A27A1"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2.06 ± 1.02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F276E"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0.82</w:t>
            </w:r>
          </w:p>
        </w:tc>
      </w:tr>
      <w:tr w:rsidR="005715A9" w14:paraId="5078EF0A" w14:textId="77777777" w:rsidTr="005715A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774C4"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Conflict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75BFE"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2.39 ± 0.81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1027A"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0.76</w:t>
            </w:r>
          </w:p>
        </w:tc>
      </w:tr>
      <w:tr w:rsidR="005715A9" w14:paraId="6ED4DC5C" w14:textId="77777777" w:rsidTr="005715A9">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77420D" w14:textId="0D44A2B0" w:rsidR="001E4520" w:rsidRDefault="00000000" w:rsidP="001E452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Relapse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2DCA62"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2.23 ± 1.1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B9ED63"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0.85</w:t>
            </w:r>
          </w:p>
        </w:tc>
      </w:tr>
    </w:tbl>
    <w:p w14:paraId="771696C0" w14:textId="77777777" w:rsidR="005715A9" w:rsidRDefault="00000000">
      <w:pPr>
        <w:pStyle w:val="Heading3"/>
      </w:pPr>
      <w:bookmarkStart w:id="5" w:name="X96a4dff106e323a9aa56de30d0ec58ba4f52f4b"/>
      <w:bookmarkEnd w:id="4"/>
      <w:r>
        <w:lastRenderedPageBreak/>
        <w:t>Table 3.Prevalence and 95% confidence interval of Internet Gaming Disorder (IGD) among university students</w:t>
      </w:r>
    </w:p>
    <w:tbl>
      <w:tblPr>
        <w:tblStyle w:val="Table"/>
        <w:tblW w:w="5000" w:type="pct"/>
        <w:jc w:val="center"/>
        <w:tblLook w:val="0420" w:firstRow="1" w:lastRow="0" w:firstColumn="0" w:lastColumn="0" w:noHBand="0" w:noVBand="1"/>
      </w:tblPr>
      <w:tblGrid>
        <w:gridCol w:w="3972"/>
        <w:gridCol w:w="2656"/>
        <w:gridCol w:w="2732"/>
      </w:tblGrid>
      <w:tr w:rsidR="005715A9" w14:paraId="47AA1464" w14:textId="77777777" w:rsidTr="005715A9">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8A24228" w14:textId="77777777" w:rsidR="005715A9" w:rsidRDefault="00000000">
            <w:pPr>
              <w:pBdr>
                <w:top w:val="none" w:sz="0" w:space="0" w:color="000000"/>
                <w:left w:val="none" w:sz="0" w:space="0" w:color="000000"/>
                <w:bottom w:val="none" w:sz="0" w:space="0" w:color="000000"/>
                <w:right w:val="none" w:sz="0" w:space="0" w:color="000000"/>
              </w:pBdr>
              <w:spacing w:before="40" w:after="40"/>
              <w:ind w:left="100" w:right="100"/>
              <w:rPr>
                <w:rFonts w:ascii="Helvetica" w:eastAsia="Helvetica" w:hAnsi="Helvetica" w:cs="Helvetica"/>
                <w:color w:val="000000"/>
                <w:sz w:val="22"/>
                <w:szCs w:val="22"/>
              </w:rPr>
            </w:pPr>
            <w:r>
              <w:rPr>
                <w:rFonts w:ascii="Helvetica" w:eastAsia="Helvetica" w:hAnsi="Helvetica" w:cs="Helvetica"/>
                <w:b/>
                <w:color w:val="000000"/>
                <w:sz w:val="22"/>
                <w:szCs w:val="22"/>
              </w:rPr>
              <w:t>Characteristic</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3D0BC7E" w14:textId="77777777" w:rsidR="005715A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N = 485</w:t>
            </w:r>
            <w:r>
              <w:rPr>
                <w:rFonts w:ascii="Helvetica" w:eastAsia="Helvetica" w:hAnsi="Helvetica" w:cs="Helvetica"/>
                <w:color w:val="000000"/>
                <w:sz w:val="22"/>
                <w:szCs w:val="22"/>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9DBFDF3" w14:textId="77777777" w:rsidR="005715A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95% CI</w:t>
            </w:r>
          </w:p>
        </w:tc>
      </w:tr>
      <w:tr w:rsidR="005715A9" w14:paraId="11D4966D" w14:textId="77777777" w:rsidTr="005715A9">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DD143F"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Addiction</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5E9F82"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1A2A47"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5715A9" w14:paraId="7FD03B01" w14:textId="77777777" w:rsidTr="005715A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9B82A8" w14:textId="77777777" w:rsidR="005715A9"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No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F01D35"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435 (90%)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9D3A3E"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87%, 92%</w:t>
            </w:r>
          </w:p>
        </w:tc>
      </w:tr>
      <w:tr w:rsidR="005715A9" w14:paraId="0C472473" w14:textId="77777777" w:rsidTr="005715A9">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2749770" w14:textId="77777777" w:rsidR="005715A9"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Yes</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DE28A1C"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50 (10%)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6D9600F"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7.8%, 13%</w:t>
            </w:r>
          </w:p>
        </w:tc>
      </w:tr>
      <w:tr w:rsidR="005715A9" w14:paraId="6E410ADE" w14:textId="77777777" w:rsidTr="005715A9">
        <w:trPr>
          <w:jc w:val="center"/>
        </w:trPr>
        <w:tc>
          <w:tcPr>
            <w:tcW w:w="0" w:type="auto"/>
            <w:gridSpan w:val="3"/>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04E1324" w14:textId="3CE78866" w:rsidR="005715A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vertAlign w:val="superscript"/>
              </w:rPr>
              <w:t>1</w:t>
            </w:r>
            <w:r>
              <w:rPr>
                <w:rFonts w:ascii="Helvetica" w:eastAsia="Helvetica" w:hAnsi="Helvetica" w:cs="Helvetica"/>
                <w:color w:val="000000"/>
                <w:sz w:val="22"/>
                <w:szCs w:val="22"/>
              </w:rPr>
              <w:t>n (%)</w:t>
            </w:r>
            <w:r w:rsidR="001E4520">
              <w:rPr>
                <w:rFonts w:ascii="Helvetica" w:eastAsia="Helvetica" w:hAnsi="Helvetica" w:cs="Helvetica"/>
                <w:color w:val="000000"/>
                <w:sz w:val="22"/>
                <w:szCs w:val="22"/>
              </w:rPr>
              <w:t>.</w:t>
            </w:r>
          </w:p>
        </w:tc>
      </w:tr>
      <w:tr w:rsidR="005715A9" w14:paraId="60037EEE" w14:textId="77777777" w:rsidTr="005715A9">
        <w:trPr>
          <w:jc w:val="center"/>
        </w:trPr>
        <w:tc>
          <w:tcPr>
            <w:tcW w:w="0" w:type="auto"/>
            <w:gridSpan w:val="3"/>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04AC8BB" w14:textId="73DAC327" w:rsidR="005715A9" w:rsidRDefault="00000000" w:rsidP="001E4520">
            <w:pPr>
              <w:pBdr>
                <w:top w:val="none" w:sz="0" w:space="0" w:color="000000"/>
                <w:left w:val="none" w:sz="0" w:space="0" w:color="000000"/>
                <w:bottom w:val="none" w:sz="0" w:space="0" w:color="000000"/>
                <w:right w:val="none" w:sz="0" w:space="0" w:color="000000"/>
              </w:pBdr>
              <w:spacing w:before="100" w:after="100"/>
              <w:ind w:right="100"/>
              <w:rPr>
                <w:rFonts w:ascii="Helvetica" w:eastAsia="Helvetica" w:hAnsi="Helvetica" w:cs="Helvetica"/>
                <w:color w:val="000000"/>
                <w:sz w:val="22"/>
                <w:szCs w:val="22"/>
              </w:rPr>
            </w:pPr>
            <w:r>
              <w:rPr>
                <w:rFonts w:ascii="Helvetica" w:eastAsia="Helvetica" w:hAnsi="Helvetica" w:cs="Helvetica"/>
                <w:color w:val="000000"/>
                <w:sz w:val="22"/>
                <w:szCs w:val="22"/>
              </w:rPr>
              <w:t>Abbreviation: CI = Confidence Interval</w:t>
            </w:r>
            <w:r w:rsidR="001E4520">
              <w:rPr>
                <w:rFonts w:ascii="Helvetica" w:eastAsia="Helvetica" w:hAnsi="Helvetica" w:cs="Helvetica"/>
                <w:color w:val="000000"/>
                <w:sz w:val="22"/>
                <w:szCs w:val="22"/>
              </w:rPr>
              <w:t xml:space="preserve">. </w:t>
            </w:r>
            <w:r w:rsidR="001E4520" w:rsidRPr="001E4520">
              <w:rPr>
                <w:rFonts w:ascii="Helvetica" w:eastAsia="Helvetica" w:hAnsi="Helvetica" w:cs="Helvetica"/>
                <w:color w:val="000000"/>
                <w:sz w:val="22"/>
                <w:szCs w:val="22"/>
              </w:rPr>
              <w:t>IGD classification is based on the IGD-20 total score threshold as per the original instrument scoring guidelines. CI, Confidence Interval.</w:t>
            </w:r>
          </w:p>
        </w:tc>
      </w:tr>
    </w:tbl>
    <w:p w14:paraId="012957DE" w14:textId="77777777" w:rsidR="005715A9" w:rsidRDefault="00000000">
      <w:pPr>
        <w:pStyle w:val="Heading2"/>
      </w:pPr>
      <w:bookmarkStart w:id="6" w:name="ordinal-logistic-regression"/>
      <w:bookmarkEnd w:id="3"/>
      <w:bookmarkEnd w:id="5"/>
      <w:r>
        <w:t>Ordinal Logistic Regression</w:t>
      </w:r>
    </w:p>
    <w:p w14:paraId="2A1C863D" w14:textId="77777777" w:rsidR="005715A9" w:rsidRDefault="00000000">
      <w:pPr>
        <w:pStyle w:val="FirstParagraph"/>
      </w:pPr>
      <w:r>
        <w:t>In univariable analysis, age, college, and smoking status showed statistically significant associations with GPA (Table 4). Both multivariable models converged successfully. Model 1 included five predictors (age, living arrangement, college, psychiatric diagnosis history, and smoking), while Model 2 retained three predictors (age, college, and smoking). A likelihood ratio test comparing the two nested models was non-significant (LRT = 3.12, df = 3, p = 0.374), indicating that the removal of living arrangement and psychiatric diagnosis history did not significantly worsen model fit. Model 2 was further favored by lower AIC (1044.8 vs. 1047.6) and BIC (1095.0 vs. 1110.4) values. Nagelkerke’s pseudo-R² was 0.106 and 0.113 for Models 2 and 1, respectively, reflecting modest but consistent explanatory power.</w:t>
      </w:r>
    </w:p>
    <w:p w14:paraId="23569A8B" w14:textId="77777777" w:rsidR="005715A9" w:rsidRDefault="00000000">
      <w:pPr>
        <w:pStyle w:val="Heading3"/>
      </w:pPr>
      <w:bookmarkStart w:id="7" w:name="Xf9d30ba3f46aaf3f32669bbb0da2e88ae4460ef"/>
      <w:r>
        <w:t>Table 4. Unadjusted and adjusted odds ratios from ordinal logistic regression models examining predictors of Grade Point Average (GPA)</w:t>
      </w:r>
    </w:p>
    <w:tbl>
      <w:tblPr>
        <w:tblStyle w:val="Table"/>
        <w:tblW w:w="5000" w:type="pct"/>
        <w:jc w:val="center"/>
        <w:tblLook w:val="0420" w:firstRow="1" w:lastRow="0" w:firstColumn="0" w:lastColumn="0" w:noHBand="0" w:noVBand="1"/>
      </w:tblPr>
      <w:tblGrid>
        <w:gridCol w:w="2121"/>
        <w:gridCol w:w="671"/>
        <w:gridCol w:w="792"/>
        <w:gridCol w:w="950"/>
        <w:gridCol w:w="671"/>
        <w:gridCol w:w="792"/>
        <w:gridCol w:w="950"/>
        <w:gridCol w:w="671"/>
        <w:gridCol w:w="792"/>
        <w:gridCol w:w="950"/>
      </w:tblGrid>
      <w:tr w:rsidR="005715A9" w14:paraId="00243A01" w14:textId="77777777" w:rsidTr="005715A9">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C73974E" w14:textId="2FCFA8CB" w:rsidR="005715A9" w:rsidRDefault="00000000">
            <w:pPr>
              <w:pBdr>
                <w:top w:val="none" w:sz="0" w:space="0" w:color="000000"/>
                <w:left w:val="none" w:sz="0" w:space="0" w:color="000000"/>
                <w:bottom w:val="none" w:sz="0" w:space="0" w:color="000000"/>
                <w:right w:val="none" w:sz="0" w:space="0" w:color="000000"/>
              </w:pBdr>
              <w:spacing w:before="40" w:after="4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 xml:space="preserve"> </w:t>
            </w:r>
          </w:p>
        </w:tc>
        <w:tc>
          <w:tcPr>
            <w:tcW w:w="0" w:type="auto"/>
            <w:gridSpan w:val="3"/>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9807480" w14:textId="77777777" w:rsidR="005715A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Unadjusted</w:t>
            </w:r>
          </w:p>
        </w:tc>
        <w:tc>
          <w:tcPr>
            <w:tcW w:w="0" w:type="auto"/>
            <w:gridSpan w:val="3"/>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002168A" w14:textId="77777777" w:rsidR="005715A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Model 1</w:t>
            </w:r>
          </w:p>
        </w:tc>
        <w:tc>
          <w:tcPr>
            <w:tcW w:w="0" w:type="auto"/>
            <w:gridSpan w:val="3"/>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B275CEA" w14:textId="77777777" w:rsidR="005715A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Model 2</w:t>
            </w:r>
          </w:p>
        </w:tc>
      </w:tr>
      <w:tr w:rsidR="00E408CC" w14:paraId="22F4E91A" w14:textId="77777777" w:rsidTr="005715A9">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8D1E64C" w14:textId="77777777" w:rsidR="005715A9" w:rsidRDefault="00000000">
            <w:pPr>
              <w:pBdr>
                <w:top w:val="none" w:sz="0" w:space="0" w:color="000000"/>
                <w:left w:val="none" w:sz="0" w:space="0" w:color="000000"/>
                <w:bottom w:val="none" w:sz="0" w:space="0" w:color="000000"/>
                <w:right w:val="none" w:sz="0" w:space="0" w:color="000000"/>
              </w:pBdr>
              <w:spacing w:before="40" w:after="40"/>
              <w:ind w:left="100" w:right="100"/>
              <w:rPr>
                <w:rFonts w:ascii="Helvetica" w:eastAsia="Helvetica" w:hAnsi="Helvetica" w:cs="Helvetica"/>
                <w:color w:val="000000"/>
                <w:sz w:val="22"/>
                <w:szCs w:val="22"/>
              </w:rPr>
            </w:pPr>
            <w:r>
              <w:rPr>
                <w:rFonts w:ascii="Helvetica" w:eastAsia="Helvetica" w:hAnsi="Helvetica" w:cs="Helvetica"/>
                <w:b/>
                <w:color w:val="000000"/>
                <w:sz w:val="22"/>
                <w:szCs w:val="22"/>
              </w:rPr>
              <w:t>Characteristic</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77CB259" w14:textId="77777777" w:rsidR="005715A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OR</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5D2E627" w14:textId="77777777" w:rsidR="005715A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95% CI</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6D42B08" w14:textId="77777777" w:rsidR="005715A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p-value</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483829D" w14:textId="77777777" w:rsidR="005715A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OR</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4367710" w14:textId="77777777" w:rsidR="005715A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95% CI</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88252DE" w14:textId="77777777" w:rsidR="005715A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p-value</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AB1CF04" w14:textId="77777777" w:rsidR="005715A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OR</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25F810D" w14:textId="77777777" w:rsidR="005715A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95% CI</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4E6BD32" w14:textId="77777777" w:rsidR="005715A9"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p-value</w:t>
            </w:r>
          </w:p>
        </w:tc>
      </w:tr>
      <w:tr w:rsidR="00E408CC" w14:paraId="4C80E749" w14:textId="77777777" w:rsidTr="005715A9">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9F5E4B"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Age</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F1208B"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7A17F0"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F528CE"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2B3FC6"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3A8013"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501704"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8FE48C"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3F9E83"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B0BE4A"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E408CC" w14:paraId="060411DB" w14:textId="77777777" w:rsidTr="005715A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35C386" w14:textId="77777777" w:rsidR="005715A9"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18-20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9AA3A7"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850B71"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14DCB9"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64639F"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4EB05C"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D0C54F"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2E6CB2"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0CD264"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F00532"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E408CC" w14:paraId="04379F5F" w14:textId="77777777" w:rsidTr="005715A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2DA4FF" w14:textId="77777777" w:rsidR="005715A9"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&gt;20-23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1FAB72"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0101F8"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0.39, 1.02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B53A7E"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0.060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91E4D7"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04E9B1"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0.42, 1.12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86001F"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BF706B"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487378"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0.43, 1.14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8277B9"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0.2</w:t>
            </w:r>
          </w:p>
        </w:tc>
      </w:tr>
      <w:tr w:rsidR="00E408CC" w14:paraId="21C72793" w14:textId="77777777" w:rsidTr="005715A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E9A499" w14:textId="77777777" w:rsidR="005715A9"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&gt;23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5C7E69"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6A7382"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0.21, 0.64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DE3BAF"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A49346"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B2B114"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0.21, 0.67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404580"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B71570"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BE7700"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0.21, 0.67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E82B04"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&lt;0.001</w:t>
            </w:r>
          </w:p>
        </w:tc>
      </w:tr>
      <w:tr w:rsidR="00E408CC" w14:paraId="22DBE239" w14:textId="77777777" w:rsidTr="005715A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45F443"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Social Status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B8A194"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1B92B1"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D767AB"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B0DD06"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1BD0BF"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24179E"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AAC5E9"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7780B7"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91DD1A"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E408CC" w14:paraId="2D89736F" w14:textId="77777777" w:rsidTr="005715A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826BE3" w14:textId="77777777" w:rsidR="005715A9"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Single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71D2BB"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AE4606"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C111D8"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D6781E"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CAD910"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F5FD32"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FF64D2"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CB974C"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77EB44"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E408CC" w14:paraId="4D995AC7" w14:textId="77777777" w:rsidTr="005715A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1E3A1A" w14:textId="77777777" w:rsidR="005715A9"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lastRenderedPageBreak/>
              <w:t>Married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A7A394"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3B3E14"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0.41, 1.35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C972E4"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493E57"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E95B35"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5CF01F"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74B65F"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851D93"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CC59AF"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E408CC" w14:paraId="530ED8ED" w14:textId="77777777" w:rsidTr="005715A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3C53B8"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Living With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648201"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DC10C4"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7C1615"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67E62A"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F5BE7D"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998418"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6D7FE1"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CFE1EA"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1A7532"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E408CC" w14:paraId="237B39F7" w14:textId="77777777" w:rsidTr="005715A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A4ED29" w14:textId="77777777" w:rsidR="005715A9"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Alone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2B41C6"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86F06A"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C20826"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BF5F91"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C1F545"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EB4FB9"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5E6F7C"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E7A484"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9F25D4"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E408CC" w14:paraId="610DD887" w14:textId="77777777" w:rsidTr="005715A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6B8DA0" w14:textId="77777777" w:rsidR="005715A9"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Family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25053F"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471EB9"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0.22, 1.24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727B12"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E82F89"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749E58"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0.20, 1.14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EB6E50"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F3AC75"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2BE397"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C6EA0D"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E408CC" w14:paraId="6A012573" w14:textId="77777777" w:rsidTr="005715A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388AC8" w14:textId="77777777" w:rsidR="005715A9"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Friends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310F64"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286F88"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0.13, 3.14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4B8626"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666687"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78134C"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0.13, 3.20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8924AC"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50C10F"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0B4FEB"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059A66"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E408CC" w14:paraId="48AE4AC4" w14:textId="77777777" w:rsidTr="005715A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06AA48"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College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BF6F83"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25C8E3"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986D34"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A23B55"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CB04BE"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81D732"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2981D8"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66E56E"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7C7C03"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E408CC" w14:paraId="1BC9AF19" w14:textId="77777777" w:rsidTr="005715A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772C93" w14:textId="77777777" w:rsidR="005715A9"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Nursing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F5E868"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E1B1EC"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73AA44"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57AC2D"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74FA09"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A9143F"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7A7AB9"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C2C9C6"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C37E1B"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E408CC" w14:paraId="0DDFB0F1" w14:textId="77777777" w:rsidTr="005715A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4F0B08" w14:textId="77777777" w:rsidR="005715A9"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 xml:space="preserve">Public Health and Tropical </w:t>
            </w:r>
            <w:proofErr w:type="spellStart"/>
            <w:r>
              <w:rPr>
                <w:rFonts w:ascii="Helvetica" w:eastAsia="Helvetica" w:hAnsi="Helvetica" w:cs="Helvetica"/>
                <w:color w:val="000000"/>
                <w:sz w:val="22"/>
                <w:szCs w:val="22"/>
              </w:rPr>
              <w:t>Meidicne</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66E72F"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BFAF2B"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0.12, 0.49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AFEE31"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51CB62"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F43290"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0.14, 0.57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448E7C"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1B1286"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A2729A"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0.14, 0.59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134234"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&lt;0.001</w:t>
            </w:r>
          </w:p>
        </w:tc>
      </w:tr>
      <w:tr w:rsidR="00E408CC" w14:paraId="5DCBF1D8" w14:textId="77777777" w:rsidTr="005715A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93C9A4" w14:textId="77777777" w:rsidR="005715A9"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Pharmacy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AB8C58"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33D7CB"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0.33, 1.28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EA800D"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3F75EB"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9BBAAC"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0.37, 1.47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552D88"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C0741B"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32DE0A"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0.38, 1.51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7D023F"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0.4</w:t>
            </w:r>
          </w:p>
        </w:tc>
      </w:tr>
      <w:tr w:rsidR="00E408CC" w14:paraId="059B8A3C" w14:textId="77777777" w:rsidTr="005715A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09C5D4" w14:textId="77777777" w:rsidR="005715A9"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Applied Medical Sciences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F75877"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09B035"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0.37, 1.23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B9DF6F"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BD7AAB"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17C7B1"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0.41, 1.38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49569"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F4BB42"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C08BD8"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0.41, 1.37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C1D87F"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0.3</w:t>
            </w:r>
          </w:p>
        </w:tc>
      </w:tr>
      <w:tr w:rsidR="00E408CC" w14:paraId="1EA75A8D" w14:textId="77777777" w:rsidTr="005715A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12CA48" w14:textId="77777777" w:rsidR="005715A9"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Dentistry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E7059F"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CF79F4"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0.26, 1.47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8673A3"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0F0090"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959809"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0.35, 2.13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F677B3"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5ACD1E"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7BCF7D"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0.38, 2.27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D3D537"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0.9</w:t>
            </w:r>
          </w:p>
        </w:tc>
      </w:tr>
      <w:tr w:rsidR="00E408CC" w14:paraId="7F8942AE" w14:textId="77777777" w:rsidTr="005715A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499636" w14:textId="77777777" w:rsidR="005715A9"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Medicine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1457EE"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7E15C8"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0.53, 1.99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168F12"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&gt;0.9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7B714A"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B6163A"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0.70, 2.74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7F6998"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029A61"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E92A85"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0.72, 2.81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10FB66"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0.3</w:t>
            </w:r>
          </w:p>
        </w:tc>
      </w:tr>
      <w:tr w:rsidR="00E408CC" w14:paraId="4FD2031B" w14:textId="77777777" w:rsidTr="005715A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D00A1E"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Ever Been Diagnosed with a Mental Illness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20F2F1"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1503C8"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3EEFCA"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81F3F2"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786369"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8A541E"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C9B360"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F357B8"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7912C5"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E408CC" w14:paraId="25BB7B35" w14:textId="77777777" w:rsidTr="005715A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CE0018" w14:textId="77777777" w:rsidR="005715A9"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No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E67807"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97802F"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1D442B"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CD0F31"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CCC862"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301B90"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9E337D"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2A0387"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D5FF99"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E408CC" w14:paraId="5D0E09EB" w14:textId="77777777" w:rsidTr="005715A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7265F0" w14:textId="77777777" w:rsidR="005715A9"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Yes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BD7F2E"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C4DD22"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0.69, 1.96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641786"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E75609"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DC4F64"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0.65, 1.95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DE8B0A"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88E510"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C855FA"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973661"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E408CC" w14:paraId="0402A2C7" w14:textId="77777777" w:rsidTr="005715A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9F5EC0"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Smoking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02D88C"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3A42CE"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21D1C5"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7952DA"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6C3855"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B9E521"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97F693"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DB1D7C"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070976"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E408CC" w14:paraId="6983BAFE" w14:textId="77777777" w:rsidTr="005715A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2B5487" w14:textId="77777777" w:rsidR="005715A9"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Never Smoker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56ADA3"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5023F3"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800409"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27902E"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D3166A"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0FDB50"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5D812D"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317183"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DCAA72"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E408CC" w14:paraId="1329CFC4" w14:textId="77777777" w:rsidTr="005715A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A98B78" w14:textId="77777777" w:rsidR="005715A9"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Previous Smoker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587BB1"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8E344F"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0.23, 0.90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7969AD"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0.023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D80DC7"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9575EA"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0.23, 0.95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D97E21"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0.034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C895F2"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2D5C93"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0.25, 1.00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455064"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0.051</w:t>
            </w:r>
          </w:p>
        </w:tc>
      </w:tr>
      <w:tr w:rsidR="00E408CC" w14:paraId="7758DEB3" w14:textId="77777777" w:rsidTr="005715A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1457F6" w14:textId="77777777" w:rsidR="005715A9"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lastRenderedPageBreak/>
              <w:t>Current Smoker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7F5655"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1FA5D0"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0.28, 0.81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28F979"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0.006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F779CA"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080443"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0.36, 1.10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985BED"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0B67EB"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9E6D87"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0.37, 1.10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DC8EA4"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0.11</w:t>
            </w:r>
          </w:p>
        </w:tc>
      </w:tr>
      <w:tr w:rsidR="00E408CC" w14:paraId="0CB06D5C" w14:textId="77777777" w:rsidTr="005715A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6470EA"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Addiction Score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4C8C76"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B56156"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0.98, 1.00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63EB3E"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44A2E9"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2A8203"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CA7DDD"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4B59C9"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C026F9"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A3E5B7"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E408CC" w14:paraId="36B073D3" w14:textId="77777777" w:rsidTr="005715A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6007A9"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Addiction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12C2CC"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C7F53B"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17D291"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F5E184"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D93A74"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A44226"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8A534B"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AA3385"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876166"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E408CC" w14:paraId="08BEB5DA" w14:textId="77777777" w:rsidTr="005715A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58438A" w14:textId="77777777" w:rsidR="005715A9"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No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23CF77"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DAC2E6"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73D404"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99447E"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E5619A"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DE23E4"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13BE97"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837BBF"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2F46DF"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E408CC" w14:paraId="279C5971" w14:textId="77777777" w:rsidTr="005715A9">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75321B2" w14:textId="77777777" w:rsidR="005715A9"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Yes</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B4077A9"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0.92</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33B91F8"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0.52, 1.62</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F5BAF6F" w14:textId="77777777" w:rsidR="005715A9"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0.8</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B661515"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643A5B6"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C392436"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72F1771"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4A30C37"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E185C5F" w14:textId="77777777" w:rsidR="005715A9" w:rsidRDefault="005715A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5715A9" w14:paraId="4CEB7F3C" w14:textId="77777777" w:rsidTr="005715A9">
        <w:trPr>
          <w:jc w:val="center"/>
        </w:trPr>
        <w:tc>
          <w:tcPr>
            <w:tcW w:w="0" w:type="auto"/>
            <w:gridSpan w:val="10"/>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4200EFB" w14:textId="369666AD" w:rsidR="00E408CC" w:rsidRDefault="00E408CC" w:rsidP="00E408CC">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sidRPr="00E408CC">
              <w:rPr>
                <w:rFonts w:ascii="Helvetica" w:eastAsia="Helvetica" w:hAnsi="Helvetica" w:cs="Helvetica"/>
                <w:color w:val="000000"/>
                <w:sz w:val="22"/>
                <w:szCs w:val="22"/>
              </w:rPr>
              <w:t xml:space="preserve">Results are presented as odds ratios (OR) with 95% confidence intervals (CI). Model 1 (adjusted): age, living arrangement, college, history of mental illness diagnosis, and smoking status. Model 2 (adjusted, parsimonious): age, college, and smoking status. All models were fitted using cumulative link models (CLM) with logit link and flexible threshold. OR &gt; 1 indicates higher odds of being in a higher GPA category. Reference categories: Age, 18–20; College, Nursing; Smoking, Never Smoker. CI, Confidence Interval; </w:t>
            </w:r>
            <w:proofErr w:type="gramStart"/>
            <w:r w:rsidRPr="00E408CC">
              <w:rPr>
                <w:rFonts w:ascii="Helvetica" w:eastAsia="Helvetica" w:hAnsi="Helvetica" w:cs="Helvetica"/>
                <w:color w:val="000000"/>
                <w:sz w:val="22"/>
                <w:szCs w:val="22"/>
              </w:rPr>
              <w:t>OR,</w:t>
            </w:r>
            <w:proofErr w:type="gramEnd"/>
            <w:r w:rsidRPr="00E408CC">
              <w:rPr>
                <w:rFonts w:ascii="Helvetica" w:eastAsia="Helvetica" w:hAnsi="Helvetica" w:cs="Helvetica"/>
                <w:color w:val="000000"/>
                <w:sz w:val="22"/>
                <w:szCs w:val="22"/>
              </w:rPr>
              <w:t xml:space="preserve"> Odds Ratio.</w:t>
            </w:r>
          </w:p>
        </w:tc>
      </w:tr>
    </w:tbl>
    <w:p w14:paraId="1095291C" w14:textId="77777777" w:rsidR="00E408CC" w:rsidRDefault="00E408CC" w:rsidP="001E4520">
      <w:pPr>
        <w:pStyle w:val="Heading3"/>
      </w:pPr>
    </w:p>
    <w:p w14:paraId="2CD45D8C" w14:textId="77777777" w:rsidR="00E408CC" w:rsidRDefault="00E408CC">
      <w:pPr>
        <w:rPr>
          <w:rFonts w:eastAsiaTheme="majorEastAsia" w:cstheme="majorBidi"/>
          <w:color w:val="0F4761" w:themeColor="accent1" w:themeShade="BF"/>
          <w:sz w:val="28"/>
          <w:szCs w:val="28"/>
        </w:rPr>
      </w:pPr>
      <w:r>
        <w:br w:type="page"/>
      </w:r>
    </w:p>
    <w:p w14:paraId="34C198B4" w14:textId="62D05EC0" w:rsidR="005715A9" w:rsidRDefault="00E408CC" w:rsidP="00E408CC">
      <w:pPr>
        <w:pStyle w:val="Heading3"/>
      </w:pPr>
      <w:r>
        <w:rPr>
          <w:noProof/>
        </w:rPr>
        <w:lastRenderedPageBreak/>
        <w:drawing>
          <wp:anchor distT="0" distB="0" distL="114300" distR="114300" simplePos="0" relativeHeight="251658240" behindDoc="0" locked="0" layoutInCell="1" allowOverlap="1" wp14:anchorId="020C076A" wp14:editId="367B56DE">
            <wp:simplePos x="0" y="0"/>
            <wp:positionH relativeFrom="page">
              <wp:posOffset>106680</wp:posOffset>
            </wp:positionH>
            <wp:positionV relativeFrom="page">
              <wp:posOffset>178198</wp:posOffset>
            </wp:positionV>
            <wp:extent cx="7560000" cy="4536000"/>
            <wp:effectExtent l="0" t="0" r="0" b="0"/>
            <wp:wrapTopAndBottom/>
            <wp:docPr id="2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descr="Video-Gaming-Addiction-Prevalence_files/figure-docx/unnamed-chunk-6-1.png"/>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7560000" cy="45360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1E4520">
        <w:t>Figure 1. Adjusted Odds Ratios for Academic Performance (GPA) Among University Students</w:t>
      </w:r>
      <w:r w:rsidR="001E4520">
        <w:br/>
      </w:r>
      <w:bookmarkEnd w:id="6"/>
      <w:bookmarkEnd w:id="7"/>
      <w:r w:rsidRPr="00E408CC">
        <w:rPr>
          <w:rFonts w:ascii="Helvetica" w:eastAsia="Helvetica" w:hAnsi="Helvetica" w:cs="Helvetica"/>
          <w:color w:val="000000"/>
          <w:sz w:val="22"/>
          <w:szCs w:val="22"/>
        </w:rPr>
        <w:t>OR, Odds Ratio; CI, Confidence Interval. ORs were estimated using a cumulative link model (CLM) with logit link. Reference categories: Age, 18–20 years; College, Nursing; Smoking, Never Smoker. Blue points indicate statistically significant associations (p &lt; 0.05); red points indicate non-significant associations. Error bars represent 95% CIs</w:t>
      </w:r>
    </w:p>
    <w:sectPr w:rsidR="005715A9">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6B362" w14:textId="77777777" w:rsidR="00FD684A" w:rsidRDefault="00FD684A" w:rsidP="001E4520">
      <w:pPr>
        <w:spacing w:after="0"/>
      </w:pPr>
      <w:r>
        <w:separator/>
      </w:r>
    </w:p>
  </w:endnote>
  <w:endnote w:type="continuationSeparator" w:id="0">
    <w:p w14:paraId="3F0EF2ED" w14:textId="77777777" w:rsidR="00FD684A" w:rsidRDefault="00FD684A" w:rsidP="001E452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DF1CB" w14:textId="77777777" w:rsidR="00FD684A" w:rsidRDefault="00FD684A" w:rsidP="001E4520">
      <w:pPr>
        <w:spacing w:after="0"/>
      </w:pPr>
      <w:r>
        <w:separator/>
      </w:r>
    </w:p>
  </w:footnote>
  <w:footnote w:type="continuationSeparator" w:id="0">
    <w:p w14:paraId="0CC46245" w14:textId="77777777" w:rsidR="00FD684A" w:rsidRDefault="00FD684A" w:rsidP="001E452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62C9A8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033265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715A9"/>
    <w:rsid w:val="001E4520"/>
    <w:rsid w:val="005715A9"/>
    <w:rsid w:val="00CD64AE"/>
    <w:rsid w:val="00E408CC"/>
    <w:rsid w:val="00FD684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D0A0A"/>
  <w15:docId w15:val="{72685D34-CE77-1B4D-8767-F050CCB17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rsid w:val="001E4520"/>
    <w:pPr>
      <w:tabs>
        <w:tab w:val="center" w:pos="4680"/>
        <w:tab w:val="right" w:pos="9360"/>
      </w:tabs>
      <w:spacing w:after="0"/>
    </w:pPr>
  </w:style>
  <w:style w:type="character" w:customStyle="1" w:styleId="HeaderChar">
    <w:name w:val="Header Char"/>
    <w:basedOn w:val="DefaultParagraphFont"/>
    <w:link w:val="Header"/>
    <w:rsid w:val="001E4520"/>
  </w:style>
  <w:style w:type="paragraph" w:styleId="Footer">
    <w:name w:val="footer"/>
    <w:basedOn w:val="Normal"/>
    <w:link w:val="FooterChar"/>
    <w:rsid w:val="001E4520"/>
    <w:pPr>
      <w:tabs>
        <w:tab w:val="center" w:pos="4680"/>
        <w:tab w:val="right" w:pos="9360"/>
      </w:tabs>
      <w:spacing w:after="0"/>
    </w:pPr>
  </w:style>
  <w:style w:type="character" w:customStyle="1" w:styleId="FooterChar">
    <w:name w:val="Footer Char"/>
    <w:basedOn w:val="DefaultParagraphFont"/>
    <w:link w:val="Footer"/>
    <w:rsid w:val="001E45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7</Pages>
  <Words>1213</Words>
  <Characters>6919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Prevalence of Video Gaming Addiction Among Male Health Related Students and its Effect on Academic Achievement</vt:lpstr>
    </vt:vector>
  </TitlesOfParts>
  <Company/>
  <LinksUpToDate>false</LinksUpToDate>
  <CharactersWithSpaces>8116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Prevalence of Video Gaming Addiction Among Male Health Related Students and its Effect on Academic Achievement</dc:title>
  <dc:creator>Osama Ahmed Ibrahim</dc:creator>
  <cp:keywords/>
  <cp:lastModifiedBy>Osama Ibrahim</cp:lastModifiedBy>
  <cp:revision>2</cp:revision>
  <dcterms:created xsi:type="dcterms:W3CDTF">2026-04-22T10:08:00Z</dcterms:created>
  <dcterms:modified xsi:type="dcterms:W3CDTF">2026-04-22T10:32:00Z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2026-04-22</vt:lpwstr>
  </property>
  <property fmtid="{D5CDD505-2E9C-101B-9397-08002B2CF9AE}" pid="3" name="output">
    <vt:lpwstr/>
  </property>
</Properties>
</file>