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F885" w14:textId="77777777" w:rsidR="00227881" w:rsidRDefault="00000000">
      <w:pPr>
        <w:pStyle w:val="Title"/>
      </w:pPr>
      <w:r>
        <w:t>Gall bladder wall thickening and platelet count to spleen diameter ratio as noninvasive predictors of oesophageal varices (OV) in patients with liver cirrhosis</w:t>
      </w:r>
    </w:p>
    <w:p w14:paraId="768CF56F" w14:textId="77777777" w:rsidR="00227881" w:rsidRDefault="00000000">
      <w:pPr>
        <w:pStyle w:val="Author"/>
      </w:pPr>
      <w:r>
        <w:t>Osama Ahmed Ibrahim</w:t>
      </w:r>
    </w:p>
    <w:p w14:paraId="18B08B7A" w14:textId="77777777" w:rsidR="00227881" w:rsidRDefault="00000000">
      <w:pPr>
        <w:pStyle w:val="FirstParagraph"/>
      </w:pPr>
      <w:r>
        <w:t>R version 4.5.1 (2025-06-13) was used to conduct the analysis. Visual Inspection and Shapiro-Wilk test were performed to assess normality of data to determine the appropriate statistical tests. Data not normally distributed was presented by median and interquartile range. Receiver operating characteristic (ROC) curve analysis was performed to evaluate gall bladder wall thickness (GBWT) and the platelet count-to-splenic diameter ratio as noninvasive predictors of oesophageal varices (OV) among 100 cirrhotic patients (50 with OV and 50 without OV, defined by upper endoscopy). ROC curves were constructed in R using the pROC package, and diagnostic discrimination was quantified by the area under the ROC curve (AUC). Optimal cut-off values for each marker were determined using Youden’s index (maximizing sensitivity + specificity), and the corresponding sensitivity, specificity, positive predictive value (PPV), and negative predictive value (NPV) were reported. Two-sided p-value &lt;0.05 was considered statistically significant.</w:t>
      </w:r>
    </w:p>
    <w:p w14:paraId="47E38D61" w14:textId="77777777" w:rsidR="00227881" w:rsidRDefault="00000000">
      <w:pPr>
        <w:pStyle w:val="Heading3"/>
      </w:pPr>
      <w:bookmarkStart w:id="0" w:name="X2d9d2891a106f7029ff6c5f451dbaedf159c875"/>
      <w:r>
        <w:t>Baseline clinical and laboratory characteristics of cirrhotic patients with and without oesophageal varices</w:t>
      </w:r>
    </w:p>
    <w:tbl>
      <w:tblPr>
        <w:tblStyle w:val="Table"/>
        <w:tblW w:w="11572" w:type="dxa"/>
        <w:jc w:val="center"/>
        <w:tblLayout w:type="fixed"/>
        <w:tblLook w:val="0420" w:firstRow="1" w:lastRow="0" w:firstColumn="0" w:lastColumn="0" w:noHBand="0" w:noVBand="1"/>
      </w:tblPr>
      <w:tblGrid>
        <w:gridCol w:w="2893"/>
        <w:gridCol w:w="2893"/>
        <w:gridCol w:w="2893"/>
        <w:gridCol w:w="2893"/>
      </w:tblGrid>
      <w:tr w:rsidR="00227881" w14:paraId="4D21AE8D" w14:textId="77777777" w:rsidTr="00584678">
        <w:trPr>
          <w:cnfStyle w:val="100000000000" w:firstRow="1" w:lastRow="0" w:firstColumn="0" w:lastColumn="0" w:oddVBand="0" w:evenVBand="0" w:oddHBand="0" w:evenHBand="0" w:firstRowFirstColumn="0" w:firstRowLastColumn="0" w:lastRowFirstColumn="0" w:lastRowLastColumn="0"/>
          <w:tblHeader/>
          <w:jc w:val="center"/>
        </w:trPr>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B395B4"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rPr>
                <w:rFonts w:ascii="Helvetica" w:eastAsia="Helvetica" w:hAnsi="Helvetica" w:cs="Helvetica"/>
                <w:color w:val="000000"/>
                <w:sz w:val="22"/>
                <w:szCs w:val="22"/>
              </w:rPr>
            </w:pPr>
            <w:r>
              <w:rPr>
                <w:rFonts w:ascii="Helvetica" w:eastAsia="Helvetica" w:hAnsi="Helvetica" w:cs="Helvetica"/>
                <w:b/>
                <w:color w:val="000000"/>
                <w:sz w:val="22"/>
                <w:szCs w:val="22"/>
              </w:rPr>
              <w:t>Characteristic</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8327EF"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Overall</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100</w:t>
            </w:r>
            <w:r>
              <w:rPr>
                <w:rFonts w:ascii="Helvetica" w:eastAsia="Helvetica" w:hAnsi="Helvetica" w:cs="Helvetica"/>
                <w:color w:val="000000"/>
                <w:sz w:val="22"/>
                <w:szCs w:val="22"/>
                <w:vertAlign w:val="superscript"/>
              </w:rPr>
              <w:t>1</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D9FB3F1"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No Varices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50</w:t>
            </w:r>
            <w:r>
              <w:rPr>
                <w:rFonts w:ascii="Helvetica" w:eastAsia="Helvetica" w:hAnsi="Helvetica" w:cs="Helvetica"/>
                <w:color w:val="000000"/>
                <w:sz w:val="22"/>
                <w:szCs w:val="22"/>
                <w:vertAlign w:val="superscript"/>
              </w:rPr>
              <w:t>1</w:t>
            </w:r>
          </w:p>
        </w:tc>
        <w:tc>
          <w:tcPr>
            <w:tcW w:w="2893"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2C726A1" w14:textId="77777777" w:rsidR="00227881" w:rsidRDefault="00000000">
            <w:pPr>
              <w:pBdr>
                <w:top w:val="none" w:sz="0" w:space="0" w:color="000000"/>
                <w:left w:val="none" w:sz="0" w:space="0" w:color="000000"/>
                <w:bottom w:val="none" w:sz="0" w:space="0" w:color="000000"/>
                <w:right w:val="none" w:sz="0" w:space="0" w:color="000000"/>
              </w:pBdr>
              <w:spacing w:before="40" w:after="40"/>
              <w:ind w:left="100" w:right="100"/>
              <w:jc w:val="center"/>
              <w:rPr>
                <w:rFonts w:ascii="Helvetica" w:eastAsia="Helvetica" w:hAnsi="Helvetica" w:cs="Helvetica"/>
                <w:color w:val="000000"/>
                <w:sz w:val="22"/>
                <w:szCs w:val="22"/>
              </w:rPr>
            </w:pPr>
            <w:r>
              <w:rPr>
                <w:rFonts w:ascii="Helvetica" w:eastAsia="Helvetica" w:hAnsi="Helvetica" w:cs="Helvetica"/>
                <w:b/>
                <w:color w:val="000000"/>
                <w:sz w:val="22"/>
                <w:szCs w:val="22"/>
              </w:rPr>
              <w:t>With Varices</w:t>
            </w:r>
            <w:r>
              <w:rPr>
                <w:rFonts w:ascii="Helvetica" w:eastAsia="Helvetica" w:hAnsi="Helvetica" w:cs="Helvetica"/>
                <w:color w:val="000000"/>
                <w:sz w:val="22"/>
                <w:szCs w:val="22"/>
              </w:rPr>
              <w:t xml:space="preserve">  </w:t>
            </w:r>
            <w:r>
              <w:rPr>
                <w:rFonts w:ascii="Helvetica" w:eastAsia="Helvetica" w:hAnsi="Helvetica" w:cs="Helvetica"/>
                <w:color w:val="000000"/>
                <w:sz w:val="22"/>
                <w:szCs w:val="22"/>
              </w:rPr>
              <w:br/>
              <w:t>N = 50</w:t>
            </w:r>
            <w:r>
              <w:rPr>
                <w:rFonts w:ascii="Helvetica" w:eastAsia="Helvetica" w:hAnsi="Helvetica" w:cs="Helvetica"/>
                <w:color w:val="000000"/>
                <w:sz w:val="22"/>
                <w:szCs w:val="22"/>
                <w:vertAlign w:val="superscript"/>
              </w:rPr>
              <w:t>1</w:t>
            </w:r>
          </w:p>
        </w:tc>
      </w:tr>
      <w:tr w:rsidR="00227881" w14:paraId="486E32F4" w14:textId="77777777" w:rsidTr="00584678">
        <w:trPr>
          <w:jc w:val="center"/>
        </w:trPr>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323CA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Age</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4E907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(49, 63)</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07FF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54 (49, 61)</w:t>
            </w:r>
          </w:p>
        </w:tc>
        <w:tc>
          <w:tcPr>
            <w:tcW w:w="2893"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E1405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55 (50, 65)</w:t>
            </w:r>
          </w:p>
        </w:tc>
      </w:tr>
      <w:tr w:rsidR="00227881" w14:paraId="6186972D"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5A35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Sex</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772ABF"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FD6CE"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D04226"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27881" w14:paraId="59AFC29B"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627E5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Male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9616D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59 (59%)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70F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23 (46%)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1A9E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36 (72%)</w:t>
            </w:r>
          </w:p>
        </w:tc>
      </w:tr>
      <w:tr w:rsidR="00227881" w14:paraId="32FE44FF"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C99D6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Female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A97F1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7D986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27 (54%)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4C9BB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(28%)</w:t>
            </w:r>
          </w:p>
        </w:tc>
      </w:tr>
      <w:tr w:rsidR="00227881" w14:paraId="2C383E37"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9C71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Child-Pough Score</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47E978"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D45CD6"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FA5914" w14:textId="77777777" w:rsidR="00227881" w:rsidRDefault="00227881">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p>
        </w:tc>
      </w:tr>
      <w:tr w:rsidR="00227881" w14:paraId="1BB857A0"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B797D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A</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485D4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65 (65%)</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30698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45 (90%)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C507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20 (40%)</w:t>
            </w:r>
          </w:p>
        </w:tc>
      </w:tr>
      <w:tr w:rsidR="00227881" w14:paraId="34512E42"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065FE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B</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9A056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21 (21%)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DE3C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 (6.0%)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A865A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 (36%)</w:t>
            </w:r>
          </w:p>
        </w:tc>
      </w:tr>
      <w:tr w:rsidR="00227881" w14:paraId="3D16F9CB"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86B5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300" w:right="100"/>
              <w:rPr>
                <w:rFonts w:ascii="Helvetica" w:eastAsia="Helvetica" w:hAnsi="Helvetica" w:cs="Helvetica"/>
                <w:color w:val="000000"/>
                <w:sz w:val="22"/>
                <w:szCs w:val="22"/>
              </w:rPr>
            </w:pPr>
            <w:r>
              <w:rPr>
                <w:rFonts w:ascii="Helvetica" w:eastAsia="Helvetica" w:hAnsi="Helvetica" w:cs="Helvetica"/>
                <w:color w:val="000000"/>
                <w:sz w:val="22"/>
                <w:szCs w:val="22"/>
              </w:rPr>
              <w:t>C</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EB24B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 (14%)</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EC477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 (4.0%)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7EDDF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 (24%)</w:t>
            </w:r>
          </w:p>
        </w:tc>
      </w:tr>
      <w:tr w:rsidR="00227881" w14:paraId="367FA36D"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79B42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lastRenderedPageBreak/>
              <w:t>Ascitis</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00A94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29 (29%)</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6B380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 (8.0%)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21F1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25 (50%)</w:t>
            </w:r>
          </w:p>
        </w:tc>
      </w:tr>
      <w:tr w:rsidR="00227881" w14:paraId="60788EC6"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AD5FE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Count</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45939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(139, 198)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3CAE52"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180 (159, 223)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F87A4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139 (100, 166)</w:t>
            </w:r>
          </w:p>
        </w:tc>
      </w:tr>
      <w:tr w:rsidR="00227881" w14:paraId="5DE5BC2E"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0A219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INR</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85C2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1.10 (0.90, 1.60)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B40F0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1.00 (0.84, 1.28)</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B11E5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 (1.00, 1.90)</w:t>
            </w:r>
          </w:p>
        </w:tc>
      </w:tr>
      <w:tr w:rsidR="00227881" w14:paraId="59D1C8F9"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122F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Spleen Diameter</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57AABB"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120 (112, 141)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3DC6F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115 (112, 121)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05BA8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141 (119, 154)</w:t>
            </w:r>
          </w:p>
        </w:tc>
      </w:tr>
      <w:tr w:rsidR="00227881" w14:paraId="785E56A9"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17E2EE"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PV diameter(mm)</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69A29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11.95 (10.90, 13.80)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E9A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11.35 (10.70, 12.00)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C1441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13.75 (11.90, 14.60)</w:t>
            </w:r>
          </w:p>
        </w:tc>
      </w:tr>
      <w:tr w:rsidR="00227881" w14:paraId="05823525"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2F7A9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Gall Bladder Wall Thickness (mm)</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EF3F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3.15 (2.60, 4.20)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61D69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2.80 (2.00, 3.30)</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716D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4.20 (3.00, 4.90)</w:t>
            </w:r>
          </w:p>
        </w:tc>
      </w:tr>
      <w:tr w:rsidR="00227881" w14:paraId="335E3B8A"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3D930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count to spleen diameter ratio</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3E2B1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1,354 (983, 1,693)</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06F59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1,605 (1,364, 1,916)</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816C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984 (673, 1,345)</w:t>
            </w:r>
          </w:p>
        </w:tc>
      </w:tr>
      <w:tr w:rsidR="00227881" w14:paraId="4872AC93" w14:textId="77777777" w:rsidTr="00584678">
        <w:trPr>
          <w:jc w:val="center"/>
        </w:trPr>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EEAE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Portal Hypertension Gastropathy</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26B4F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41 (41%)</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F8B2F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6 (12%)</w:t>
            </w:r>
          </w:p>
        </w:tc>
        <w:tc>
          <w:tcPr>
            <w:tcW w:w="2893"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F725D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 (70%)</w:t>
            </w:r>
          </w:p>
        </w:tc>
      </w:tr>
      <w:tr w:rsidR="00227881" w14:paraId="01E6AE3D" w14:textId="77777777" w:rsidTr="00584678">
        <w:trPr>
          <w:jc w:val="center"/>
        </w:trPr>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725361B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Albumin</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03D95D7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3.50 (3.20, 3.60)</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4E25A2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3.55 (3.50, 3.70)</w:t>
            </w:r>
          </w:p>
        </w:tc>
        <w:tc>
          <w:tcPr>
            <w:tcW w:w="2893"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AA909B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Helvetica" w:eastAsia="Helvetica" w:hAnsi="Helvetica" w:cs="Helvetica"/>
                <w:color w:val="000000"/>
                <w:sz w:val="22"/>
                <w:szCs w:val="22"/>
              </w:rPr>
            </w:pPr>
            <w:r>
              <w:rPr>
                <w:rFonts w:ascii="Helvetica" w:eastAsia="Helvetica" w:hAnsi="Helvetica" w:cs="Helvetica"/>
                <w:color w:val="000000"/>
                <w:sz w:val="22"/>
                <w:szCs w:val="22"/>
              </w:rPr>
              <w:t>3.25 (3.00, 3.50)</w:t>
            </w:r>
          </w:p>
        </w:tc>
      </w:tr>
      <w:tr w:rsidR="00227881" w14:paraId="510E3B4F" w14:textId="77777777" w:rsidTr="00584678">
        <w:trPr>
          <w:jc w:val="center"/>
        </w:trPr>
        <w:tc>
          <w:tcPr>
            <w:tcW w:w="11572"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9B71E33"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color w:val="000000"/>
                <w:sz w:val="22"/>
                <w:szCs w:val="22"/>
              </w:rPr>
            </w:pPr>
            <w:r>
              <w:rPr>
                <w:rFonts w:ascii="Helvetica" w:eastAsia="Helvetica" w:hAnsi="Helvetica" w:cs="Helvetica"/>
                <w:color w:val="000000"/>
                <w:sz w:val="22"/>
                <w:szCs w:val="22"/>
                <w:vertAlign w:val="superscript"/>
              </w:rPr>
              <w:t>1</w:t>
            </w:r>
            <w:r>
              <w:rPr>
                <w:rFonts w:ascii="Helvetica" w:eastAsia="Helvetica" w:hAnsi="Helvetica" w:cs="Helvetica"/>
                <w:color w:val="000000"/>
                <w:sz w:val="22"/>
                <w:szCs w:val="22"/>
              </w:rPr>
              <w:t>Median (Q1, Q3); n (%)</w:t>
            </w:r>
          </w:p>
        </w:tc>
      </w:tr>
    </w:tbl>
    <w:p w14:paraId="2A0619B0" w14:textId="12AA7BD8" w:rsidR="00227881" w:rsidRDefault="00000000">
      <w:pPr>
        <w:pStyle w:val="FirstParagraph"/>
      </w:pPr>
      <w:r>
        <w:t>Patients with OV had significantly higher gall bladder wall thickness (median 4.20 vs 2.80 mm, p &lt; 0.001) and significantly lower platelet count-to-spleen diameter ratio (median 984 vs 1,605, p &lt; 0.001) compared with patients without OV. The OV group also showed more advanced liver disease features, including worse Child–Pugh class distribution and higher prevalence of ascites (50% vs 8.0%, p &lt; 0.001), alongside lower platelet count and higher INR (both p &lt; 0.001).</w:t>
      </w:r>
    </w:p>
    <w:p w14:paraId="52BC9409" w14:textId="77777777" w:rsidR="00584678" w:rsidRDefault="00584678">
      <w:pPr>
        <w:pStyle w:val="Heading3"/>
      </w:pPr>
      <w:bookmarkStart w:id="1" w:name="X9aa2efc3a6a365445508d8b6bc0360384de826a"/>
      <w:bookmarkEnd w:id="0"/>
    </w:p>
    <w:p w14:paraId="26CC3716" w14:textId="77777777" w:rsidR="00584678" w:rsidRDefault="00584678">
      <w:pPr>
        <w:pStyle w:val="Heading3"/>
      </w:pPr>
    </w:p>
    <w:p w14:paraId="16D9BB51" w14:textId="77777777" w:rsidR="00584678" w:rsidRDefault="00584678">
      <w:pPr>
        <w:pStyle w:val="Heading3"/>
      </w:pPr>
    </w:p>
    <w:p w14:paraId="58B3F850" w14:textId="77777777" w:rsidR="00584678" w:rsidRDefault="00584678">
      <w:pPr>
        <w:pStyle w:val="Heading3"/>
      </w:pPr>
    </w:p>
    <w:p w14:paraId="2F059E17" w14:textId="77777777" w:rsidR="00584678" w:rsidRDefault="00584678">
      <w:pPr>
        <w:pStyle w:val="Heading3"/>
      </w:pPr>
    </w:p>
    <w:p w14:paraId="4CF289DF" w14:textId="77777777" w:rsidR="00584678" w:rsidRDefault="00584678">
      <w:pPr>
        <w:pStyle w:val="Heading3"/>
      </w:pPr>
    </w:p>
    <w:p w14:paraId="0B6CED70" w14:textId="77777777" w:rsidR="00584678" w:rsidRDefault="00584678">
      <w:pPr>
        <w:pStyle w:val="Heading3"/>
      </w:pPr>
    </w:p>
    <w:p w14:paraId="1A4291B0" w14:textId="77777777" w:rsidR="00584678" w:rsidRDefault="00584678">
      <w:pPr>
        <w:pStyle w:val="Heading3"/>
      </w:pPr>
    </w:p>
    <w:p w14:paraId="471430E1" w14:textId="7C00BF15" w:rsidR="00227881" w:rsidRDefault="00584678">
      <w:pPr>
        <w:pStyle w:val="Heading3"/>
      </w:pPr>
      <w:r>
        <w:rPr>
          <w:noProof/>
        </w:rPr>
        <w:lastRenderedPageBreak/>
        <w:drawing>
          <wp:anchor distT="0" distB="0" distL="114300" distR="114300" simplePos="0" relativeHeight="251658240" behindDoc="0" locked="0" layoutInCell="1" allowOverlap="1" wp14:anchorId="04C5622F" wp14:editId="48EAA1E7">
            <wp:simplePos x="0" y="0"/>
            <wp:positionH relativeFrom="page">
              <wp:align>center</wp:align>
            </wp:positionH>
            <wp:positionV relativeFrom="paragraph">
              <wp:posOffset>500380</wp:posOffset>
            </wp:positionV>
            <wp:extent cx="4320000" cy="3456000"/>
            <wp:effectExtent l="0" t="0" r="0" b="0"/>
            <wp:wrapTopAndBottom/>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descr="Gall-bladder-wall-thickening-and-platelet-count-to-spleen-diameter-ratio-as-noninvasive-predictors-of-oesophageal-varices--OV--in-patients-with-liver-cirrhosis_files/figure-docx/unnamed-chunk-4-1.png"/>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4320000" cy="345600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000000">
        <w:t>ROC curves of gall bladder wall thickness and platelet count-to-spleen diameter ratio for predicting oesophageal varices.</w:t>
      </w:r>
    </w:p>
    <w:p w14:paraId="6CA40D90" w14:textId="08A40BC8" w:rsidR="00227881" w:rsidRDefault="00000000">
      <w:pPr>
        <w:pStyle w:val="FirstParagraph"/>
      </w:pPr>
      <w:r>
        <w:t>ROC analysis demonstrated good discrimination for both markers, with AUC 0.8280 for GBWT and AUC 0.8256 for the platelet count-to-spleen diameter ratio. There was no statistical significant difference between the two AUCs (p = 0.9392).</w:t>
      </w:r>
    </w:p>
    <w:p w14:paraId="6DFEE894" w14:textId="77777777" w:rsidR="00584678" w:rsidRDefault="00584678">
      <w:pPr>
        <w:pStyle w:val="Heading3"/>
      </w:pPr>
      <w:bookmarkStart w:id="2" w:name="Xb1950598dd59e4bcaa6307c31d30afb0c610f81"/>
      <w:bookmarkEnd w:id="1"/>
    </w:p>
    <w:p w14:paraId="6CA947BE" w14:textId="6BE5E7EA" w:rsidR="00227881" w:rsidRDefault="00000000">
      <w:pPr>
        <w:pStyle w:val="Heading3"/>
      </w:pPr>
      <w:r>
        <w:t>Diagnostic performance of GBWT and platelet count-to-spleen diameter ratio at the optimal (Youden) cut-off values</w:t>
      </w:r>
    </w:p>
    <w:tbl>
      <w:tblPr>
        <w:tblStyle w:val="Table"/>
        <w:tblW w:w="0" w:type="auto"/>
        <w:jc w:val="center"/>
        <w:tblLayout w:type="fixed"/>
        <w:tblLook w:val="0420" w:firstRow="1" w:lastRow="0" w:firstColumn="0" w:lastColumn="0" w:noHBand="0" w:noVBand="1"/>
      </w:tblPr>
      <w:tblGrid>
        <w:gridCol w:w="2611"/>
        <w:gridCol w:w="961"/>
        <w:gridCol w:w="1267"/>
        <w:gridCol w:w="1511"/>
        <w:gridCol w:w="1511"/>
        <w:gridCol w:w="961"/>
        <w:gridCol w:w="961"/>
      </w:tblGrid>
      <w:tr w:rsidR="00227881" w14:paraId="4A12E002" w14:textId="77777777" w:rsidTr="00227881">
        <w:trPr>
          <w:cnfStyle w:val="100000000000" w:firstRow="1" w:lastRow="0" w:firstColumn="0" w:lastColumn="0" w:oddVBand="0" w:evenVBand="0" w:oddHBand="0" w:evenHBand="0" w:firstRowFirstColumn="0" w:firstRowLastColumn="0" w:lastRowFirstColumn="0" w:lastRowLastColumn="0"/>
          <w:tblHeader/>
          <w:jc w:val="center"/>
        </w:trPr>
        <w:tc>
          <w:tcPr>
            <w:tcW w:w="26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323CB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Predictor</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50C3B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AUC</w:t>
            </w:r>
          </w:p>
        </w:tc>
        <w:tc>
          <w:tcPr>
            <w:tcW w:w="126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72733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Cutoff</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BAF659"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Sensitivity</w:t>
            </w:r>
          </w:p>
        </w:tc>
        <w:tc>
          <w:tcPr>
            <w:tcW w:w="151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89875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Specificity</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1A6B6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PPV</w:t>
            </w:r>
          </w:p>
        </w:tc>
        <w:tc>
          <w:tcPr>
            <w:tcW w:w="961"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980560"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b/>
                <w:color w:val="000000"/>
                <w:sz w:val="22"/>
                <w:szCs w:val="22"/>
              </w:rPr>
            </w:pPr>
            <w:r>
              <w:rPr>
                <w:rFonts w:ascii="Helvetica" w:eastAsia="Helvetica" w:hAnsi="Helvetica" w:cs="Helvetica"/>
                <w:b/>
                <w:color w:val="000000"/>
                <w:sz w:val="22"/>
                <w:szCs w:val="22"/>
              </w:rPr>
              <w:t>NPV</w:t>
            </w:r>
          </w:p>
        </w:tc>
      </w:tr>
      <w:tr w:rsidR="00227881" w14:paraId="77DC3BD6" w14:textId="77777777" w:rsidTr="00227881">
        <w:trPr>
          <w:jc w:val="center"/>
        </w:trPr>
        <w:tc>
          <w:tcPr>
            <w:tcW w:w="26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8860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GBWT (mm)</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AB1B4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0.828</w:t>
            </w:r>
          </w:p>
        </w:tc>
        <w:tc>
          <w:tcPr>
            <w:tcW w:w="126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15C7D"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3.75</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5F30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0.64</w:t>
            </w:r>
          </w:p>
        </w:tc>
        <w:tc>
          <w:tcPr>
            <w:tcW w:w="151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C89E7F"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530E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0.889</w:t>
            </w:r>
          </w:p>
        </w:tc>
        <w:tc>
          <w:tcPr>
            <w:tcW w:w="961"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E1BB54"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0.719</w:t>
            </w:r>
          </w:p>
        </w:tc>
      </w:tr>
      <w:tr w:rsidR="00227881" w14:paraId="517244A2" w14:textId="77777777" w:rsidTr="00227881">
        <w:trPr>
          <w:jc w:val="center"/>
        </w:trPr>
        <w:tc>
          <w:tcPr>
            <w:tcW w:w="26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F07508"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rPr>
                <w:rFonts w:ascii="Helvetica" w:eastAsia="Helvetica" w:hAnsi="Helvetica" w:cs="Helvetica"/>
                <w:b/>
                <w:color w:val="000000"/>
                <w:sz w:val="22"/>
                <w:szCs w:val="22"/>
              </w:rPr>
            </w:pPr>
            <w:r>
              <w:rPr>
                <w:rFonts w:ascii="Helvetica" w:eastAsia="Helvetica" w:hAnsi="Helvetica" w:cs="Helvetica"/>
                <w:b/>
                <w:color w:val="000000"/>
                <w:sz w:val="22"/>
                <w:szCs w:val="22"/>
              </w:rPr>
              <w:t>Platelet / spleen ratio</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C68A26"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0.826</w:t>
            </w:r>
          </w:p>
        </w:tc>
        <w:tc>
          <w:tcPr>
            <w:tcW w:w="126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AEB045"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1,204.00</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AD0017"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0.68</w:t>
            </w:r>
          </w:p>
        </w:tc>
        <w:tc>
          <w:tcPr>
            <w:tcW w:w="151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7E92E9A"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0.92</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AD7EEC"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0.895</w:t>
            </w:r>
          </w:p>
        </w:tc>
        <w:tc>
          <w:tcPr>
            <w:tcW w:w="961"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5EAF2D1" w14:textId="77777777" w:rsidR="00227881" w:rsidRDefault="00000000">
            <w:pPr>
              <w:pBdr>
                <w:top w:val="none" w:sz="0" w:space="0" w:color="000000"/>
                <w:left w:val="none" w:sz="0" w:space="0" w:color="000000"/>
                <w:bottom w:val="none" w:sz="0" w:space="0" w:color="000000"/>
                <w:right w:val="none" w:sz="0" w:space="0" w:color="000000"/>
              </w:pBdr>
              <w:spacing w:before="100" w:after="100"/>
              <w:ind w:left="100" w:right="100"/>
              <w:jc w:val="right"/>
              <w:rPr>
                <w:rFonts w:ascii="Helvetica" w:eastAsia="Helvetica" w:hAnsi="Helvetica" w:cs="Helvetica"/>
                <w:color w:val="000000"/>
                <w:sz w:val="22"/>
                <w:szCs w:val="22"/>
              </w:rPr>
            </w:pPr>
            <w:r>
              <w:rPr>
                <w:rFonts w:ascii="Helvetica" w:eastAsia="Helvetica" w:hAnsi="Helvetica" w:cs="Helvetica"/>
                <w:color w:val="000000"/>
                <w:sz w:val="22"/>
                <w:szCs w:val="22"/>
              </w:rPr>
              <w:t>0.742</w:t>
            </w:r>
          </w:p>
        </w:tc>
      </w:tr>
    </w:tbl>
    <w:p w14:paraId="27BFD119" w14:textId="46677831" w:rsidR="00227881" w:rsidRDefault="00000000">
      <w:pPr>
        <w:pStyle w:val="FirstParagraph"/>
      </w:pPr>
      <w:r>
        <w:t>At the optimal cutoff, GBWT &gt; 3.75 mm yielded sensitivity 0.64 and specificity 0.92, with PPV 0.8889 and NPV 0.7188. The platelet count-to-spleen diameter ratio cutoff ≤ 1,204.00 yielded sensitivity 0.68 and specificity 0.92, with PPV 0.8947 and NPV 0.7419.</w:t>
      </w:r>
      <w:bookmarkEnd w:id="2"/>
    </w:p>
    <w:sectPr w:rsidR="0022788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F92F1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8548799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7881"/>
    <w:rsid w:val="00227881"/>
    <w:rsid w:val="00584678"/>
    <w:rsid w:val="00605D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275FC"/>
  <w15:docId w15:val="{4F026715-7A4B-4442-8A9E-94360980B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542</Words>
  <Characters>3091</Characters>
  <Application>Microsoft Office Word</Application>
  <DocSecurity>0</DocSecurity>
  <Lines>25</Lines>
  <Paragraphs>7</Paragraphs>
  <ScaleCrop>false</ScaleCrop>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Gall bladder wall thickening and platelet count to spleen diameter ratio as noninvasive predictors of oesophageal varices (OV) in patients with liver cirrhosis</dc:title>
  <dc:creator>Osama Ahmed Ibrahim</dc:creator>
  <cp:keywords/>
  <cp:lastModifiedBy>Osama Ibrahim</cp:lastModifiedBy>
  <cp:revision>2</cp:revision>
  <dcterms:created xsi:type="dcterms:W3CDTF">2026-04-28T16:21:00Z</dcterms:created>
  <dcterms:modified xsi:type="dcterms:W3CDTF">2026-04-28T16:26:00Z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word_document</vt:lpwstr>
  </property>
</Properties>
</file>