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01F5B"/>
            <w:vAlign w:val="center"/>
          </w:tcPr>
          <w:p>
            <w:pPr>
              <w:spacing w:before="600"/>
              <w:jc w:val="center"/>
            </w:pPr>
            <w:r>
              <w:rPr>
                <w:b/>
                <w:color w:val="FFFFFF"/>
                <w:sz w:val="44"/>
              </w:rPr>
              <w:t>KEYSTONE BANK LIMITED</w:t>
            </w:r>
          </w:p>
          <w:p>
            <w:pPr>
              <w:jc w:val="center"/>
            </w:pPr>
            <w:r>
              <w:rPr>
                <w:color w:val="BFD7FF"/>
                <w:sz w:val="24"/>
              </w:rPr>
              <w:t>FIRS e-Invoice Compliance System</w:t>
            </w:r>
          </w:p>
          <w:p>
            <w:pPr>
              <w:jc w:val="center"/>
            </w:pPr>
            <w:r>
              <w:rPr>
                <w:color w:val="FFFFFF"/>
                <w:sz w:val="8"/>
              </w:rPr>
              <w:t xml:space="preserve"> </w:t>
            </w:r>
          </w:p>
          <w:p>
            <w:pPr>
              <w:spacing w:after="600"/>
            </w:pPr>
          </w:p>
        </w:tc>
      </w:tr>
    </w:tbl>
    <w:p/>
    <w:p>
      <w:pPr>
        <w:spacing w:before="40" w:after="40"/>
        <w:jc w:val="center"/>
      </w:pPr>
      <w:r>
        <w:rPr>
          <w:b/>
          <w:color w:val="003087"/>
          <w:sz w:val="44"/>
        </w:rPr>
        <w:t>SYSTEM DESIGN SPECIFICATION</w:t>
      </w:r>
    </w:p>
    <w:p>
      <w:pPr>
        <w:spacing w:before="40" w:after="40"/>
        <w:jc w:val="center"/>
      </w:pPr>
      <w:r>
        <w:rPr>
          <w:b w:val="0"/>
          <w:color w:val="111827"/>
          <w:sz w:val="10"/>
        </w:rPr>
        <w:t xml:space="preserve"> </w:t>
      </w:r>
    </w:p>
    <w:p>
      <w:pPr>
        <w:spacing w:before="40" w:after="40"/>
        <w:jc w:val="center"/>
      </w:pPr>
      <w:r>
        <w:rPr>
          <w:b w:val="0"/>
          <w:color w:val="6B7280"/>
          <w:sz w:val="20"/>
        </w:rPr>
        <w:t>Architecture  ·  Components  ·  Data Models  ·  Security  ·  APIs  ·  Flows</w:t>
      </w:r>
    </w:p>
    <w:p/>
    <w:tbl>
      <w:tblPr>
        <w:tblW w:type="auto" w:w="0"/>
        <w:tblLook w:firstColumn="1" w:firstRow="1" w:lastColumn="0" w:lastRow="0" w:noHBand="0" w:noVBand="1" w:val="04A0"/>
      </w:tblPr>
      <w:tblGrid>
        <w:gridCol w:w="3168"/>
        <w:gridCol w:w="5760"/>
      </w:tblGrid>
      <w:tr>
        <w:tc>
          <w:tcPr>
            <w:tcW w:type="dxa" w:w="4707"/>
            <w:shd w:val="clear" w:color="auto" w:fill="F3F4F6"/>
            <w:vAlign w:val="center"/>
          </w:tcPr>
          <w:p>
            <w:pPr>
              <w:jc w:val="left"/>
            </w:pPr>
            <w:r>
              <w:rPr>
                <w:b/>
                <w:i w:val="0"/>
                <w:color w:val="001F5B"/>
                <w:sz w:val="19"/>
              </w:rPr>
              <w:t>Document Title</w:t>
            </w:r>
          </w:p>
        </w:tc>
        <w:tc>
          <w:tcPr>
            <w:tcW w:type="dxa" w:w="4707"/>
            <w:vAlign w:val="center"/>
          </w:tcPr>
          <w:p>
            <w:pPr>
              <w:jc w:val="left"/>
            </w:pPr>
            <w:r>
              <w:rPr>
                <w:b w:val="0"/>
                <w:i w:val="0"/>
                <w:color w:val="111827"/>
                <w:sz w:val="19"/>
              </w:rPr>
              <w:t>System Design Specification</w:t>
            </w:r>
          </w:p>
        </w:tc>
      </w:tr>
      <w:tr>
        <w:tc>
          <w:tcPr>
            <w:tcW w:type="dxa" w:w="4707"/>
            <w:shd w:val="clear" w:color="auto" w:fill="F3F4F6"/>
            <w:vAlign w:val="center"/>
          </w:tcPr>
          <w:p>
            <w:pPr>
              <w:jc w:val="left"/>
            </w:pPr>
            <w:r>
              <w:rPr>
                <w:b/>
                <w:i w:val="0"/>
                <w:color w:val="001F5B"/>
                <w:sz w:val="19"/>
              </w:rPr>
              <w:t>Document Ref</w:t>
            </w:r>
          </w:p>
        </w:tc>
        <w:tc>
          <w:tcPr>
            <w:tcW w:type="dxa" w:w="4707"/>
            <w:vAlign w:val="center"/>
          </w:tcPr>
          <w:p>
            <w:pPr>
              <w:jc w:val="left"/>
            </w:pPr>
            <w:r>
              <w:rPr>
                <w:b w:val="0"/>
                <w:i w:val="0"/>
                <w:color w:val="111827"/>
                <w:sz w:val="19"/>
              </w:rPr>
              <w:t>KBL-FIRS-SDS-001</w:t>
            </w:r>
          </w:p>
        </w:tc>
      </w:tr>
      <w:tr>
        <w:tc>
          <w:tcPr>
            <w:tcW w:type="dxa" w:w="4707"/>
            <w:shd w:val="clear" w:color="auto" w:fill="F3F4F6"/>
            <w:vAlign w:val="center"/>
          </w:tcPr>
          <w:p>
            <w:pPr>
              <w:jc w:val="left"/>
            </w:pPr>
            <w:r>
              <w:rPr>
                <w:b/>
                <w:i w:val="0"/>
                <w:color w:val="001F5B"/>
                <w:sz w:val="19"/>
              </w:rPr>
              <w:t>Version</w:t>
            </w:r>
          </w:p>
        </w:tc>
        <w:tc>
          <w:tcPr>
            <w:tcW w:type="dxa" w:w="4707"/>
            <w:vAlign w:val="center"/>
          </w:tcPr>
          <w:p>
            <w:pPr>
              <w:jc w:val="left"/>
            </w:pPr>
            <w:r>
              <w:rPr>
                <w:b w:val="0"/>
                <w:i w:val="0"/>
                <w:color w:val="111827"/>
                <w:sz w:val="19"/>
              </w:rPr>
              <w:t>1.0</w:t>
            </w:r>
          </w:p>
        </w:tc>
      </w:tr>
      <w:tr>
        <w:tc>
          <w:tcPr>
            <w:tcW w:type="dxa" w:w="4707"/>
            <w:shd w:val="clear" w:color="auto" w:fill="F3F4F6"/>
            <w:vAlign w:val="center"/>
          </w:tcPr>
          <w:p>
            <w:pPr>
              <w:jc w:val="left"/>
            </w:pPr>
            <w:r>
              <w:rPr>
                <w:b/>
                <w:i w:val="0"/>
                <w:color w:val="001F5B"/>
                <w:sz w:val="19"/>
              </w:rPr>
              <w:t>Date</w:t>
            </w:r>
          </w:p>
        </w:tc>
        <w:tc>
          <w:tcPr>
            <w:tcW w:type="dxa" w:w="4707"/>
            <w:vAlign w:val="center"/>
          </w:tcPr>
          <w:p>
            <w:pPr>
              <w:jc w:val="left"/>
            </w:pPr>
            <w:r>
              <w:rPr>
                <w:b w:val="0"/>
                <w:i w:val="0"/>
                <w:color w:val="111827"/>
                <w:sz w:val="19"/>
              </w:rPr>
              <w:t>05 August 2026</w:t>
            </w:r>
          </w:p>
        </w:tc>
      </w:tr>
      <w:tr>
        <w:tc>
          <w:tcPr>
            <w:tcW w:type="dxa" w:w="4707"/>
            <w:shd w:val="clear" w:color="auto" w:fill="F3F4F6"/>
            <w:vAlign w:val="center"/>
          </w:tcPr>
          <w:p>
            <w:pPr>
              <w:jc w:val="left"/>
            </w:pPr>
            <w:r>
              <w:rPr>
                <w:b/>
                <w:i w:val="0"/>
                <w:color w:val="001F5B"/>
                <w:sz w:val="19"/>
              </w:rPr>
              <w:t>System Name</w:t>
            </w:r>
          </w:p>
        </w:tc>
        <w:tc>
          <w:tcPr>
            <w:tcW w:type="dxa" w:w="4707"/>
            <w:vAlign w:val="center"/>
          </w:tcPr>
          <w:p>
            <w:pPr>
              <w:jc w:val="left"/>
            </w:pPr>
            <w:r>
              <w:rPr>
                <w:b w:val="0"/>
                <w:i w:val="0"/>
                <w:color w:val="111827"/>
                <w:sz w:val="19"/>
              </w:rPr>
              <w:t>FIRS e-Invoice Compliance System</w:t>
            </w:r>
          </w:p>
        </w:tc>
      </w:tr>
      <w:tr>
        <w:tc>
          <w:tcPr>
            <w:tcW w:type="dxa" w:w="4707"/>
            <w:shd w:val="clear" w:color="auto" w:fill="F3F4F6"/>
            <w:vAlign w:val="center"/>
          </w:tcPr>
          <w:p>
            <w:pPr>
              <w:jc w:val="left"/>
            </w:pPr>
            <w:r>
              <w:rPr>
                <w:b/>
                <w:i w:val="0"/>
                <w:color w:val="001F5B"/>
                <w:sz w:val="19"/>
              </w:rPr>
              <w:t>Technology Stack</w:t>
            </w:r>
          </w:p>
        </w:tc>
        <w:tc>
          <w:tcPr>
            <w:tcW w:type="dxa" w:w="4707"/>
            <w:vAlign w:val="center"/>
          </w:tcPr>
          <w:p>
            <w:pPr>
              <w:jc w:val="left"/>
            </w:pPr>
            <w:r>
              <w:rPr>
                <w:b w:val="0"/>
                <w:i w:val="0"/>
                <w:color w:val="111827"/>
                <w:sz w:val="19"/>
              </w:rPr>
              <w:t>Python 3.x · Flask · SQL Server · APScheduler · TLS 1.2+</w:t>
            </w:r>
          </w:p>
        </w:tc>
      </w:tr>
      <w:tr>
        <w:tc>
          <w:tcPr>
            <w:tcW w:type="dxa" w:w="4707"/>
            <w:shd w:val="clear" w:color="auto" w:fill="F3F4F6"/>
            <w:vAlign w:val="center"/>
          </w:tcPr>
          <w:p>
            <w:pPr>
              <w:jc w:val="left"/>
            </w:pPr>
            <w:r>
              <w:rPr>
                <w:b/>
                <w:i w:val="0"/>
                <w:color w:val="001F5B"/>
                <w:sz w:val="19"/>
              </w:rPr>
              <w:t>Environments</w:t>
            </w:r>
          </w:p>
        </w:tc>
        <w:tc>
          <w:tcPr>
            <w:tcW w:type="dxa" w:w="4707"/>
            <w:vAlign w:val="center"/>
          </w:tcPr>
          <w:p>
            <w:pPr>
              <w:jc w:val="left"/>
            </w:pPr>
            <w:r>
              <w:rPr>
                <w:b w:val="0"/>
                <w:i w:val="0"/>
                <w:color w:val="111827"/>
                <w:sz w:val="19"/>
              </w:rPr>
              <w:t>PREPROD (10.40.24.41)  →  PRODUCTION</w:t>
            </w:r>
          </w:p>
        </w:tc>
      </w:tr>
      <w:tr>
        <w:tc>
          <w:tcPr>
            <w:tcW w:type="dxa" w:w="4707"/>
            <w:shd w:val="clear" w:color="auto" w:fill="F3F4F6"/>
            <w:vAlign w:val="center"/>
          </w:tcPr>
          <w:p>
            <w:pPr>
              <w:jc w:val="left"/>
            </w:pPr>
            <w:r>
              <w:rPr>
                <w:b/>
                <w:i w:val="0"/>
                <w:color w:val="001F5B"/>
                <w:sz w:val="19"/>
              </w:rPr>
              <w:t>Database</w:t>
            </w:r>
          </w:p>
        </w:tc>
        <w:tc>
          <w:tcPr>
            <w:tcW w:type="dxa" w:w="4707"/>
            <w:vAlign w:val="center"/>
          </w:tcPr>
          <w:p>
            <w:pPr>
              <w:jc w:val="left"/>
            </w:pPr>
            <w:r>
              <w:rPr>
                <w:b w:val="0"/>
                <w:i w:val="0"/>
                <w:color w:val="111827"/>
                <w:sz w:val="19"/>
              </w:rPr>
              <w:t>Microsoft SQL Server 2019  |  FIRSINVOICEDB</w:t>
            </w:r>
          </w:p>
        </w:tc>
      </w:tr>
      <w:tr>
        <w:tc>
          <w:tcPr>
            <w:tcW w:type="dxa" w:w="4707"/>
            <w:shd w:val="clear" w:color="auto" w:fill="F3F4F6"/>
            <w:vAlign w:val="center"/>
          </w:tcPr>
          <w:p>
            <w:pPr>
              <w:jc w:val="left"/>
            </w:pPr>
            <w:r>
              <w:rPr>
                <w:b/>
                <w:i w:val="0"/>
                <w:color w:val="001F5B"/>
                <w:sz w:val="19"/>
              </w:rPr>
              <w:t>API Integration</w:t>
            </w:r>
          </w:p>
        </w:tc>
        <w:tc>
          <w:tcPr>
            <w:tcW w:type="dxa" w:w="4707"/>
            <w:vAlign w:val="center"/>
          </w:tcPr>
          <w:p>
            <w:pPr>
              <w:jc w:val="left"/>
            </w:pPr>
            <w:r>
              <w:rPr>
                <w:b w:val="0"/>
                <w:i w:val="0"/>
                <w:color w:val="111827"/>
                <w:sz w:val="19"/>
              </w:rPr>
              <w:t>Cryptware Systems Ltd — FIRS NRS Gateway</w:t>
            </w:r>
          </w:p>
        </w:tc>
      </w:tr>
      <w:tr>
        <w:tc>
          <w:tcPr>
            <w:tcW w:type="dxa" w:w="4707"/>
            <w:shd w:val="clear" w:color="auto" w:fill="F3F4F6"/>
            <w:vAlign w:val="center"/>
          </w:tcPr>
          <w:p>
            <w:pPr>
              <w:jc w:val="left"/>
            </w:pPr>
            <w:r>
              <w:rPr>
                <w:b/>
                <w:i w:val="0"/>
                <w:color w:val="001F5B"/>
                <w:sz w:val="19"/>
              </w:rPr>
              <w:t>Classification</w:t>
            </w:r>
          </w:p>
        </w:tc>
        <w:tc>
          <w:tcPr>
            <w:tcW w:type="dxa" w:w="4707"/>
            <w:vAlign w:val="center"/>
          </w:tcPr>
          <w:p>
            <w:pPr>
              <w:jc w:val="left"/>
            </w:pPr>
            <w:r>
              <w:rPr>
                <w:b w:val="0"/>
                <w:i w:val="0"/>
                <w:color w:val="111827"/>
                <w:sz w:val="19"/>
              </w:rPr>
              <w:t>CONFIDENTIAL — Architecture Team &amp; Project Stakeholders</w:t>
            </w:r>
          </w:p>
        </w:tc>
      </w:tr>
      <w:tr>
        <w:tc>
          <w:tcPr>
            <w:tcW w:type="dxa" w:w="4707"/>
            <w:shd w:val="clear" w:color="auto" w:fill="F3F4F6"/>
            <w:vAlign w:val="center"/>
          </w:tcPr>
          <w:p>
            <w:pPr>
              <w:jc w:val="left"/>
            </w:pPr>
            <w:r>
              <w:rPr>
                <w:b/>
                <w:i w:val="0"/>
                <w:color w:val="001F5B"/>
                <w:sz w:val="19"/>
              </w:rPr>
              <w:t>Prepared by</w:t>
            </w:r>
          </w:p>
        </w:tc>
        <w:tc>
          <w:tcPr>
            <w:tcW w:type="dxa" w:w="4707"/>
            <w:vAlign w:val="center"/>
          </w:tcPr>
          <w:p>
            <w:pPr>
              <w:jc w:val="left"/>
            </w:pPr>
            <w:r>
              <w:rPr>
                <w:b w:val="0"/>
                <w:i w:val="0"/>
                <w:color w:val="111827"/>
                <w:sz w:val="19"/>
              </w:rPr>
              <w:t>Cryptware Systems Ltd</w:t>
            </w:r>
          </w:p>
        </w:tc>
      </w:tr>
    </w:tbl>
    <w:p>
      <w:r>
        <w:br w:type="page"/>
      </w:r>
    </w:p>
    <w:p>
      <w:pPr>
        <w:spacing w:before="320" w:after="100"/>
        <w:pBdr>
          <w:bottom w:val="single" w:sz="8" w:space="2" w:color="003087"/>
        </w:pBdr>
      </w:pPr>
      <w:r>
        <w:rPr>
          <w:b/>
          <w:color w:val="003087"/>
          <w:sz w:val="26"/>
        </w:rPr>
        <w:t>Table of Contents</w:t>
      </w:r>
    </w:p>
    <w:tbl>
      <w:tblPr>
        <w:tblW w:type="auto" w:w="0"/>
        <w:tblLook w:firstColumn="1" w:firstRow="1" w:lastColumn="0" w:lastRow="0" w:noHBand="0" w:noVBand="1" w:val="04A0"/>
      </w:tblPr>
      <w:tblGrid>
        <w:gridCol w:w="648"/>
        <w:gridCol w:w="8640"/>
        <w:gridCol w:w="360"/>
      </w:tblGrid>
      <w:tr>
        <w:tc>
          <w:tcPr>
            <w:tcW w:type="dxa" w:w="3138"/>
            <w:vAlign w:val="center"/>
          </w:tcPr>
          <w:p>
            <w:pPr>
              <w:jc w:val="left"/>
            </w:pPr>
            <w:r>
              <w:rPr>
                <w:b/>
                <w:i w:val="0"/>
                <w:color w:val="003087"/>
                <w:sz w:val="19"/>
              </w:rPr>
              <w:t>1</w:t>
            </w:r>
          </w:p>
        </w:tc>
        <w:tc>
          <w:tcPr>
            <w:tcW w:type="dxa" w:w="3138"/>
            <w:vAlign w:val="center"/>
          </w:tcPr>
          <w:p>
            <w:pPr>
              <w:jc w:val="left"/>
            </w:pPr>
            <w:r>
              <w:rPr>
                <w:b/>
                <w:i w:val="0"/>
                <w:color w:val="003087"/>
                <w:sz w:val="19"/>
              </w:rPr>
              <w:t>Executive Summary</w:t>
            </w:r>
          </w:p>
        </w:tc>
        <w:tc>
          <w:tcPr>
            <w:tcW w:type="dxa" w:w="3138"/>
            <w:vAlign w:val="center"/>
          </w:tcPr>
          <w:p>
            <w:pPr>
              <w:jc w:val="right"/>
            </w:pPr>
            <w:r>
              <w:rPr>
                <w:b w:val="0"/>
                <w:i w:val="0"/>
                <w:color w:val="111827"/>
                <w:sz w:val="19"/>
              </w:rPr>
              <w:t>3</w:t>
            </w:r>
          </w:p>
        </w:tc>
      </w:tr>
      <w:tr>
        <w:tc>
          <w:tcPr>
            <w:tcW w:type="dxa" w:w="3138"/>
            <w:vAlign w:val="center"/>
          </w:tcPr>
          <w:p>
            <w:pPr>
              <w:jc w:val="left"/>
            </w:pPr>
            <w:r>
              <w:rPr>
                <w:b/>
                <w:i w:val="0"/>
                <w:color w:val="003087"/>
                <w:sz w:val="19"/>
              </w:rPr>
              <w:t>2</w:t>
            </w:r>
          </w:p>
        </w:tc>
        <w:tc>
          <w:tcPr>
            <w:tcW w:type="dxa" w:w="3138"/>
            <w:vAlign w:val="center"/>
          </w:tcPr>
          <w:p>
            <w:pPr>
              <w:jc w:val="left"/>
            </w:pPr>
            <w:r>
              <w:rPr>
                <w:b/>
                <w:i w:val="0"/>
                <w:color w:val="003087"/>
                <w:sz w:val="19"/>
              </w:rPr>
              <w:t>System Overview &amp; Business Context</w:t>
            </w:r>
          </w:p>
        </w:tc>
        <w:tc>
          <w:tcPr>
            <w:tcW w:type="dxa" w:w="3138"/>
            <w:vAlign w:val="center"/>
          </w:tcPr>
          <w:p>
            <w:pPr>
              <w:jc w:val="right"/>
            </w:pPr>
            <w:r>
              <w:rPr>
                <w:b w:val="0"/>
                <w:i w:val="0"/>
                <w:color w:val="111827"/>
                <w:sz w:val="19"/>
              </w:rPr>
              <w:t>3</w:t>
            </w:r>
          </w:p>
        </w:tc>
      </w:tr>
      <w:tr>
        <w:tc>
          <w:tcPr>
            <w:tcW w:type="dxa" w:w="3138"/>
            <w:vAlign w:val="center"/>
          </w:tcPr>
          <w:p>
            <w:pPr>
              <w:jc w:val="left"/>
            </w:pPr>
            <w:r>
              <w:rPr>
                <w:b/>
                <w:i w:val="0"/>
                <w:color w:val="003087"/>
                <w:sz w:val="19"/>
              </w:rPr>
              <w:t>3</w:t>
            </w:r>
          </w:p>
        </w:tc>
        <w:tc>
          <w:tcPr>
            <w:tcW w:type="dxa" w:w="3138"/>
            <w:vAlign w:val="center"/>
          </w:tcPr>
          <w:p>
            <w:pPr>
              <w:jc w:val="left"/>
            </w:pPr>
            <w:r>
              <w:rPr>
                <w:b/>
                <w:i w:val="0"/>
                <w:color w:val="003087"/>
                <w:sz w:val="19"/>
              </w:rPr>
              <w:t>High-Level Architecture</w:t>
            </w:r>
          </w:p>
        </w:tc>
        <w:tc>
          <w:tcPr>
            <w:tcW w:type="dxa" w:w="3138"/>
            <w:vAlign w:val="center"/>
          </w:tcPr>
          <w:p>
            <w:pPr>
              <w:jc w:val="right"/>
            </w:pPr>
            <w:r>
              <w:rPr>
                <w:b w:val="0"/>
                <w:i w:val="0"/>
                <w:color w:val="111827"/>
                <w:sz w:val="19"/>
              </w:rPr>
              <w:t>4</w:t>
            </w:r>
          </w:p>
        </w:tc>
      </w:tr>
      <w:tr>
        <w:tc>
          <w:tcPr>
            <w:tcW w:type="dxa" w:w="3138"/>
            <w:vAlign w:val="center"/>
          </w:tcPr>
          <w:p>
            <w:pPr>
              <w:jc w:val="left"/>
            </w:pPr>
            <w:r>
              <w:rPr>
                <w:b/>
                <w:i w:val="0"/>
                <w:color w:val="003087"/>
                <w:sz w:val="19"/>
              </w:rPr>
              <w:t>4</w:t>
            </w:r>
          </w:p>
        </w:tc>
        <w:tc>
          <w:tcPr>
            <w:tcW w:type="dxa" w:w="3138"/>
            <w:vAlign w:val="center"/>
          </w:tcPr>
          <w:p>
            <w:pPr>
              <w:jc w:val="left"/>
            </w:pPr>
            <w:r>
              <w:rPr>
                <w:b/>
                <w:i w:val="0"/>
                <w:color w:val="003087"/>
                <w:sz w:val="19"/>
              </w:rPr>
              <w:t>Technology Stack</w:t>
            </w:r>
          </w:p>
        </w:tc>
        <w:tc>
          <w:tcPr>
            <w:tcW w:type="dxa" w:w="3138"/>
            <w:vAlign w:val="center"/>
          </w:tcPr>
          <w:p>
            <w:pPr>
              <w:jc w:val="right"/>
            </w:pPr>
            <w:r>
              <w:rPr>
                <w:b w:val="0"/>
                <w:i w:val="0"/>
                <w:color w:val="111827"/>
                <w:sz w:val="19"/>
              </w:rPr>
              <w:t>5</w:t>
            </w:r>
          </w:p>
        </w:tc>
      </w:tr>
      <w:tr>
        <w:tc>
          <w:tcPr>
            <w:tcW w:type="dxa" w:w="3138"/>
            <w:vAlign w:val="center"/>
          </w:tcPr>
          <w:p>
            <w:pPr>
              <w:jc w:val="left"/>
            </w:pPr>
            <w:r>
              <w:rPr>
                <w:b/>
                <w:i w:val="0"/>
                <w:color w:val="003087"/>
                <w:sz w:val="19"/>
              </w:rPr>
              <w:t>5</w:t>
            </w:r>
          </w:p>
        </w:tc>
        <w:tc>
          <w:tcPr>
            <w:tcW w:type="dxa" w:w="3138"/>
            <w:vAlign w:val="center"/>
          </w:tcPr>
          <w:p>
            <w:pPr>
              <w:jc w:val="left"/>
            </w:pPr>
            <w:r>
              <w:rPr>
                <w:b/>
                <w:i w:val="0"/>
                <w:color w:val="003087"/>
                <w:sz w:val="19"/>
              </w:rPr>
              <w:t>Component Design</w:t>
            </w:r>
          </w:p>
        </w:tc>
        <w:tc>
          <w:tcPr>
            <w:tcW w:type="dxa" w:w="3138"/>
            <w:vAlign w:val="center"/>
          </w:tcPr>
          <w:p>
            <w:pPr>
              <w:jc w:val="right"/>
            </w:pPr>
            <w:r>
              <w:rPr>
                <w:b w:val="0"/>
                <w:i w:val="0"/>
                <w:color w:val="111827"/>
                <w:sz w:val="19"/>
              </w:rPr>
              <w:t>6</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5.1  Dashboard Web Application (Flask)</w:t>
            </w:r>
          </w:p>
        </w:tc>
        <w:tc>
          <w:tcPr>
            <w:tcW w:type="dxa" w:w="3138"/>
            <w:vAlign w:val="center"/>
          </w:tcPr>
          <w:p>
            <w:pPr>
              <w:jc w:val="right"/>
            </w:pPr>
            <w:r>
              <w:rPr>
                <w:b w:val="0"/>
                <w:i w:val="0"/>
                <w:color w:val="111827"/>
                <w:sz w:val="19"/>
              </w:rPr>
              <w:t>6</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5.2  Invoice Scheduler (APScheduler)</w:t>
            </w:r>
          </w:p>
        </w:tc>
        <w:tc>
          <w:tcPr>
            <w:tcW w:type="dxa" w:w="3138"/>
            <w:vAlign w:val="center"/>
          </w:tcPr>
          <w:p>
            <w:pPr>
              <w:jc w:val="right"/>
            </w:pPr>
            <w:r>
              <w:rPr>
                <w:b w:val="0"/>
                <w:i w:val="0"/>
                <w:color w:val="111827"/>
                <w:sz w:val="19"/>
              </w:rPr>
              <w:t>8</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5.3  Configuration Module</w:t>
            </w:r>
          </w:p>
        </w:tc>
        <w:tc>
          <w:tcPr>
            <w:tcW w:type="dxa" w:w="3138"/>
            <w:vAlign w:val="center"/>
          </w:tcPr>
          <w:p>
            <w:pPr>
              <w:jc w:val="right"/>
            </w:pPr>
            <w:r>
              <w:rPr>
                <w:b w:val="0"/>
                <w:i w:val="0"/>
                <w:color w:val="111827"/>
                <w:sz w:val="19"/>
              </w:rPr>
              <w:t>9</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5.4  SSL / TLS Layer</w:t>
            </w:r>
          </w:p>
        </w:tc>
        <w:tc>
          <w:tcPr>
            <w:tcW w:type="dxa" w:w="3138"/>
            <w:vAlign w:val="center"/>
          </w:tcPr>
          <w:p>
            <w:pPr>
              <w:jc w:val="right"/>
            </w:pPr>
            <w:r>
              <w:rPr>
                <w:b w:val="0"/>
                <w:i w:val="0"/>
                <w:color w:val="111827"/>
                <w:sz w:val="19"/>
              </w:rPr>
              <w:t>9</w:t>
            </w:r>
          </w:p>
        </w:tc>
      </w:tr>
      <w:tr>
        <w:tc>
          <w:tcPr>
            <w:tcW w:type="dxa" w:w="3138"/>
            <w:vAlign w:val="center"/>
          </w:tcPr>
          <w:p>
            <w:pPr>
              <w:jc w:val="left"/>
            </w:pPr>
            <w:r>
              <w:rPr>
                <w:b/>
                <w:i w:val="0"/>
                <w:color w:val="003087"/>
                <w:sz w:val="19"/>
              </w:rPr>
              <w:t>6</w:t>
            </w:r>
          </w:p>
        </w:tc>
        <w:tc>
          <w:tcPr>
            <w:tcW w:type="dxa" w:w="3138"/>
            <w:vAlign w:val="center"/>
          </w:tcPr>
          <w:p>
            <w:pPr>
              <w:jc w:val="left"/>
            </w:pPr>
            <w:r>
              <w:rPr>
                <w:b/>
                <w:i w:val="0"/>
                <w:color w:val="003087"/>
                <w:sz w:val="19"/>
              </w:rPr>
              <w:t>Database Design</w:t>
            </w:r>
          </w:p>
        </w:tc>
        <w:tc>
          <w:tcPr>
            <w:tcW w:type="dxa" w:w="3138"/>
            <w:vAlign w:val="center"/>
          </w:tcPr>
          <w:p>
            <w:pPr>
              <w:jc w:val="right"/>
            </w:pPr>
            <w:r>
              <w:rPr>
                <w:b w:val="0"/>
                <w:i w:val="0"/>
                <w:color w:val="111827"/>
                <w:sz w:val="19"/>
              </w:rPr>
              <w:t>10</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6.1  dbo.REPORT — Invoice Data Table</w:t>
            </w:r>
          </w:p>
        </w:tc>
        <w:tc>
          <w:tcPr>
            <w:tcW w:type="dxa" w:w="3138"/>
            <w:vAlign w:val="center"/>
          </w:tcPr>
          <w:p>
            <w:pPr>
              <w:jc w:val="right"/>
            </w:pPr>
            <w:r>
              <w:rPr>
                <w:b w:val="0"/>
                <w:i w:val="0"/>
                <w:color w:val="111827"/>
                <w:sz w:val="19"/>
              </w:rPr>
              <w:t>10</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6.2  dbo.FIRS_USERS — User Account Table</w:t>
            </w:r>
          </w:p>
        </w:tc>
        <w:tc>
          <w:tcPr>
            <w:tcW w:type="dxa" w:w="3138"/>
            <w:vAlign w:val="center"/>
          </w:tcPr>
          <w:p>
            <w:pPr>
              <w:jc w:val="right"/>
            </w:pPr>
            <w:r>
              <w:rPr>
                <w:b w:val="0"/>
                <w:i w:val="0"/>
                <w:color w:val="111827"/>
                <w:sz w:val="19"/>
              </w:rPr>
              <w:t>11</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6.3  Entity Relationship</w:t>
            </w:r>
          </w:p>
        </w:tc>
        <w:tc>
          <w:tcPr>
            <w:tcW w:type="dxa" w:w="3138"/>
            <w:vAlign w:val="center"/>
          </w:tcPr>
          <w:p>
            <w:pPr>
              <w:jc w:val="right"/>
            </w:pPr>
            <w:r>
              <w:rPr>
                <w:b w:val="0"/>
                <w:i w:val="0"/>
                <w:color w:val="111827"/>
                <w:sz w:val="19"/>
              </w:rPr>
              <w:t>12</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6.4  Indexes &amp; Performance</w:t>
            </w:r>
          </w:p>
        </w:tc>
        <w:tc>
          <w:tcPr>
            <w:tcW w:type="dxa" w:w="3138"/>
            <w:vAlign w:val="center"/>
          </w:tcPr>
          <w:p>
            <w:pPr>
              <w:jc w:val="right"/>
            </w:pPr>
            <w:r>
              <w:rPr>
                <w:b w:val="0"/>
                <w:i w:val="0"/>
                <w:color w:val="111827"/>
                <w:sz w:val="19"/>
              </w:rPr>
              <w:t>12</w:t>
            </w:r>
          </w:p>
        </w:tc>
      </w:tr>
      <w:tr>
        <w:tc>
          <w:tcPr>
            <w:tcW w:type="dxa" w:w="3138"/>
            <w:vAlign w:val="center"/>
          </w:tcPr>
          <w:p>
            <w:pPr>
              <w:jc w:val="left"/>
            </w:pPr>
            <w:r>
              <w:rPr>
                <w:b/>
                <w:i w:val="0"/>
                <w:color w:val="003087"/>
                <w:sz w:val="19"/>
              </w:rPr>
              <w:t>7</w:t>
            </w:r>
          </w:p>
        </w:tc>
        <w:tc>
          <w:tcPr>
            <w:tcW w:type="dxa" w:w="3138"/>
            <w:vAlign w:val="center"/>
          </w:tcPr>
          <w:p>
            <w:pPr>
              <w:jc w:val="left"/>
            </w:pPr>
            <w:r>
              <w:rPr>
                <w:b/>
                <w:i w:val="0"/>
                <w:color w:val="003087"/>
                <w:sz w:val="19"/>
              </w:rPr>
              <w:t>API Design — Internal Endpoints</w:t>
            </w:r>
          </w:p>
        </w:tc>
        <w:tc>
          <w:tcPr>
            <w:tcW w:type="dxa" w:w="3138"/>
            <w:vAlign w:val="center"/>
          </w:tcPr>
          <w:p>
            <w:pPr>
              <w:jc w:val="right"/>
            </w:pPr>
            <w:r>
              <w:rPr>
                <w:b w:val="0"/>
                <w:i w:val="0"/>
                <w:color w:val="111827"/>
                <w:sz w:val="19"/>
              </w:rPr>
              <w:t>13</w:t>
            </w:r>
          </w:p>
        </w:tc>
      </w:tr>
      <w:tr>
        <w:tc>
          <w:tcPr>
            <w:tcW w:type="dxa" w:w="3138"/>
            <w:vAlign w:val="center"/>
          </w:tcPr>
          <w:p>
            <w:pPr>
              <w:jc w:val="left"/>
            </w:pPr>
            <w:r>
              <w:rPr>
                <w:b/>
                <w:i w:val="0"/>
                <w:color w:val="003087"/>
                <w:sz w:val="19"/>
              </w:rPr>
              <w:t>8</w:t>
            </w:r>
          </w:p>
        </w:tc>
        <w:tc>
          <w:tcPr>
            <w:tcW w:type="dxa" w:w="3138"/>
            <w:vAlign w:val="center"/>
          </w:tcPr>
          <w:p>
            <w:pPr>
              <w:jc w:val="left"/>
            </w:pPr>
            <w:r>
              <w:rPr>
                <w:b/>
                <w:i w:val="0"/>
                <w:color w:val="003087"/>
                <w:sz w:val="19"/>
              </w:rPr>
              <w:t>External API Integration — Cryptware FIRS Gateway</w:t>
            </w:r>
          </w:p>
        </w:tc>
        <w:tc>
          <w:tcPr>
            <w:tcW w:type="dxa" w:w="3138"/>
            <w:vAlign w:val="center"/>
          </w:tcPr>
          <w:p>
            <w:pPr>
              <w:jc w:val="right"/>
            </w:pPr>
            <w:r>
              <w:rPr>
                <w:b w:val="0"/>
                <w:i w:val="0"/>
                <w:color w:val="111827"/>
                <w:sz w:val="19"/>
              </w:rPr>
              <w:t>16</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8.1  Authentication</w:t>
            </w:r>
          </w:p>
        </w:tc>
        <w:tc>
          <w:tcPr>
            <w:tcW w:type="dxa" w:w="3138"/>
            <w:vAlign w:val="center"/>
          </w:tcPr>
          <w:p>
            <w:pPr>
              <w:jc w:val="right"/>
            </w:pPr>
            <w:r>
              <w:rPr>
                <w:b w:val="0"/>
                <w:i w:val="0"/>
                <w:color w:val="111827"/>
                <w:sz w:val="19"/>
              </w:rPr>
              <w:t>16</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8.2  Invoice Submission Payload</w:t>
            </w:r>
          </w:p>
        </w:tc>
        <w:tc>
          <w:tcPr>
            <w:tcW w:type="dxa" w:w="3138"/>
            <w:vAlign w:val="center"/>
          </w:tcPr>
          <w:p>
            <w:pPr>
              <w:jc w:val="right"/>
            </w:pPr>
            <w:r>
              <w:rPr>
                <w:b w:val="0"/>
                <w:i w:val="0"/>
                <w:color w:val="111827"/>
                <w:sz w:val="19"/>
              </w:rPr>
              <w:t>16</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8.3  API Response Handling</w:t>
            </w:r>
          </w:p>
        </w:tc>
        <w:tc>
          <w:tcPr>
            <w:tcW w:type="dxa" w:w="3138"/>
            <w:vAlign w:val="center"/>
          </w:tcPr>
          <w:p>
            <w:pPr>
              <w:jc w:val="right"/>
            </w:pPr>
            <w:r>
              <w:rPr>
                <w:b w:val="0"/>
                <w:i w:val="0"/>
                <w:color w:val="111827"/>
                <w:sz w:val="19"/>
              </w:rPr>
              <w:t>17</w:t>
            </w:r>
          </w:p>
        </w:tc>
      </w:tr>
      <w:tr>
        <w:tc>
          <w:tcPr>
            <w:tcW w:type="dxa" w:w="3138"/>
            <w:vAlign w:val="center"/>
          </w:tcPr>
          <w:p>
            <w:pPr>
              <w:jc w:val="left"/>
            </w:pPr>
            <w:r>
              <w:rPr>
                <w:b/>
                <w:i w:val="0"/>
                <w:color w:val="003087"/>
                <w:sz w:val="19"/>
              </w:rPr>
              <w:t>9</w:t>
            </w:r>
          </w:p>
        </w:tc>
        <w:tc>
          <w:tcPr>
            <w:tcW w:type="dxa" w:w="3138"/>
            <w:vAlign w:val="center"/>
          </w:tcPr>
          <w:p>
            <w:pPr>
              <w:jc w:val="left"/>
            </w:pPr>
            <w:r>
              <w:rPr>
                <w:b/>
                <w:i w:val="0"/>
                <w:color w:val="003087"/>
                <w:sz w:val="19"/>
              </w:rPr>
              <w:t>Authentication &amp; Session Design</w:t>
            </w:r>
          </w:p>
        </w:tc>
        <w:tc>
          <w:tcPr>
            <w:tcW w:type="dxa" w:w="3138"/>
            <w:vAlign w:val="center"/>
          </w:tcPr>
          <w:p>
            <w:pPr>
              <w:jc w:val="right"/>
            </w:pPr>
            <w:r>
              <w:rPr>
                <w:b w:val="0"/>
                <w:i w:val="0"/>
                <w:color w:val="111827"/>
                <w:sz w:val="19"/>
              </w:rPr>
              <w:t>18</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9.1  Login Flow</w:t>
            </w:r>
          </w:p>
        </w:tc>
        <w:tc>
          <w:tcPr>
            <w:tcW w:type="dxa" w:w="3138"/>
            <w:vAlign w:val="center"/>
          </w:tcPr>
          <w:p>
            <w:pPr>
              <w:jc w:val="right"/>
            </w:pPr>
            <w:r>
              <w:rPr>
                <w:b w:val="0"/>
                <w:i w:val="0"/>
                <w:color w:val="111827"/>
                <w:sz w:val="19"/>
              </w:rPr>
              <w:t>18</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9.2  Password Storage (PBKDF2)</w:t>
            </w:r>
          </w:p>
        </w:tc>
        <w:tc>
          <w:tcPr>
            <w:tcW w:type="dxa" w:w="3138"/>
            <w:vAlign w:val="center"/>
          </w:tcPr>
          <w:p>
            <w:pPr>
              <w:jc w:val="right"/>
            </w:pPr>
            <w:r>
              <w:rPr>
                <w:b w:val="0"/>
                <w:i w:val="0"/>
                <w:color w:val="111827"/>
                <w:sz w:val="19"/>
              </w:rPr>
              <w:t>18</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9.3  Session Management</w:t>
            </w:r>
          </w:p>
        </w:tc>
        <w:tc>
          <w:tcPr>
            <w:tcW w:type="dxa" w:w="3138"/>
            <w:vAlign w:val="center"/>
          </w:tcPr>
          <w:p>
            <w:pPr>
              <w:jc w:val="right"/>
            </w:pPr>
            <w:r>
              <w:rPr>
                <w:b w:val="0"/>
                <w:i w:val="0"/>
                <w:color w:val="111827"/>
                <w:sz w:val="19"/>
              </w:rPr>
              <w:t>19</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9.4  Rate Limiting</w:t>
            </w:r>
          </w:p>
        </w:tc>
        <w:tc>
          <w:tcPr>
            <w:tcW w:type="dxa" w:w="3138"/>
            <w:vAlign w:val="center"/>
          </w:tcPr>
          <w:p>
            <w:pPr>
              <w:jc w:val="right"/>
            </w:pPr>
            <w:r>
              <w:rPr>
                <w:b w:val="0"/>
                <w:i w:val="0"/>
                <w:color w:val="111827"/>
                <w:sz w:val="19"/>
              </w:rPr>
              <w:t>19</w:t>
            </w:r>
          </w:p>
        </w:tc>
      </w:tr>
      <w:tr>
        <w:tc>
          <w:tcPr>
            <w:tcW w:type="dxa" w:w="3138"/>
            <w:vAlign w:val="center"/>
          </w:tcPr>
          <w:p>
            <w:pPr>
              <w:jc w:val="left"/>
            </w:pPr>
            <w:r>
              <w:rPr>
                <w:b/>
                <w:i w:val="0"/>
                <w:color w:val="003087"/>
                <w:sz w:val="19"/>
              </w:rPr>
              <w:t>10</w:t>
            </w:r>
          </w:p>
        </w:tc>
        <w:tc>
          <w:tcPr>
            <w:tcW w:type="dxa" w:w="3138"/>
            <w:vAlign w:val="center"/>
          </w:tcPr>
          <w:p>
            <w:pPr>
              <w:jc w:val="left"/>
            </w:pPr>
            <w:r>
              <w:rPr>
                <w:b/>
                <w:i w:val="0"/>
                <w:color w:val="003087"/>
                <w:sz w:val="19"/>
              </w:rPr>
              <w:t>Role-Based Access Control (RBAC)</w:t>
            </w:r>
          </w:p>
        </w:tc>
        <w:tc>
          <w:tcPr>
            <w:tcW w:type="dxa" w:w="3138"/>
            <w:vAlign w:val="center"/>
          </w:tcPr>
          <w:p>
            <w:pPr>
              <w:jc w:val="right"/>
            </w:pPr>
            <w:r>
              <w:rPr>
                <w:b w:val="0"/>
                <w:i w:val="0"/>
                <w:color w:val="111827"/>
                <w:sz w:val="19"/>
              </w:rPr>
              <w:t>20</w:t>
            </w:r>
          </w:p>
        </w:tc>
      </w:tr>
      <w:tr>
        <w:tc>
          <w:tcPr>
            <w:tcW w:type="dxa" w:w="3138"/>
            <w:vAlign w:val="center"/>
          </w:tcPr>
          <w:p>
            <w:pPr>
              <w:jc w:val="left"/>
            </w:pPr>
            <w:r>
              <w:rPr>
                <w:b/>
                <w:i w:val="0"/>
                <w:color w:val="003087"/>
                <w:sz w:val="19"/>
              </w:rPr>
              <w:t>11</w:t>
            </w:r>
          </w:p>
        </w:tc>
        <w:tc>
          <w:tcPr>
            <w:tcW w:type="dxa" w:w="3138"/>
            <w:vAlign w:val="center"/>
          </w:tcPr>
          <w:p>
            <w:pPr>
              <w:jc w:val="left"/>
            </w:pPr>
            <w:r>
              <w:rPr>
                <w:b/>
                <w:i w:val="0"/>
                <w:color w:val="003087"/>
                <w:sz w:val="19"/>
              </w:rPr>
              <w:t>Data Flow Diagrams</w:t>
            </w:r>
          </w:p>
        </w:tc>
        <w:tc>
          <w:tcPr>
            <w:tcW w:type="dxa" w:w="3138"/>
            <w:vAlign w:val="center"/>
          </w:tcPr>
          <w:p>
            <w:pPr>
              <w:jc w:val="right"/>
            </w:pPr>
            <w:r>
              <w:rPr>
                <w:b w:val="0"/>
                <w:i w:val="0"/>
                <w:color w:val="111827"/>
                <w:sz w:val="19"/>
              </w:rPr>
              <w:t>21</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11.1  Invoice Auto-Submit Flow (Scheduler)</w:t>
            </w:r>
          </w:p>
        </w:tc>
        <w:tc>
          <w:tcPr>
            <w:tcW w:type="dxa" w:w="3138"/>
            <w:vAlign w:val="center"/>
          </w:tcPr>
          <w:p>
            <w:pPr>
              <w:jc w:val="right"/>
            </w:pPr>
            <w:r>
              <w:rPr>
                <w:b w:val="0"/>
                <w:i w:val="0"/>
                <w:color w:val="111827"/>
                <w:sz w:val="19"/>
              </w:rPr>
              <w:t>21</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11.2  Manual Post Flow (Dashboard)</w:t>
            </w:r>
          </w:p>
        </w:tc>
        <w:tc>
          <w:tcPr>
            <w:tcW w:type="dxa" w:w="3138"/>
            <w:vAlign w:val="center"/>
          </w:tcPr>
          <w:p>
            <w:pPr>
              <w:jc w:val="right"/>
            </w:pPr>
            <w:r>
              <w:rPr>
                <w:b w:val="0"/>
                <w:i w:val="0"/>
                <w:color w:val="111827"/>
                <w:sz w:val="19"/>
              </w:rPr>
              <w:t>22</w:t>
            </w:r>
          </w:p>
        </w:tc>
      </w:tr>
      <w:tr>
        <w:tc>
          <w:tcPr>
            <w:tcW w:type="dxa" w:w="3138"/>
            <w:vAlign w:val="center"/>
          </w:tcPr>
          <w:p>
            <w:pPr>
              <w:jc w:val="left"/>
            </w:pPr>
            <w:r>
              <w:rPr>
                <w:b w:val="0"/>
                <w:i w:val="0"/>
                <w:color w:val="6B7280"/>
                <w:sz w:val="19"/>
              </w:rPr>
            </w:r>
          </w:p>
        </w:tc>
        <w:tc>
          <w:tcPr>
            <w:tcW w:type="dxa" w:w="3138"/>
            <w:vAlign w:val="center"/>
          </w:tcPr>
          <w:p>
            <w:pPr>
              <w:jc w:val="left"/>
            </w:pPr>
            <w:r>
              <w:rPr>
                <w:b w:val="0"/>
                <w:i/>
                <w:color w:val="6B7280"/>
                <w:sz w:val="19"/>
              </w:rPr>
              <w:t>11.3  Authentication Flow</w:t>
            </w:r>
          </w:p>
        </w:tc>
        <w:tc>
          <w:tcPr>
            <w:tcW w:type="dxa" w:w="3138"/>
            <w:vAlign w:val="center"/>
          </w:tcPr>
          <w:p>
            <w:pPr>
              <w:jc w:val="right"/>
            </w:pPr>
            <w:r>
              <w:rPr>
                <w:b w:val="0"/>
                <w:i w:val="0"/>
                <w:color w:val="111827"/>
                <w:sz w:val="19"/>
              </w:rPr>
              <w:t>22</w:t>
            </w:r>
          </w:p>
        </w:tc>
      </w:tr>
      <w:tr>
        <w:tc>
          <w:tcPr>
            <w:tcW w:type="dxa" w:w="3138"/>
            <w:vAlign w:val="center"/>
          </w:tcPr>
          <w:p>
            <w:pPr>
              <w:jc w:val="left"/>
            </w:pPr>
            <w:r>
              <w:rPr>
                <w:b/>
                <w:i w:val="0"/>
                <w:color w:val="003087"/>
                <w:sz w:val="19"/>
              </w:rPr>
              <w:t>12</w:t>
            </w:r>
          </w:p>
        </w:tc>
        <w:tc>
          <w:tcPr>
            <w:tcW w:type="dxa" w:w="3138"/>
            <w:vAlign w:val="center"/>
          </w:tcPr>
          <w:p>
            <w:pPr>
              <w:jc w:val="left"/>
            </w:pPr>
            <w:r>
              <w:rPr>
                <w:b/>
                <w:i w:val="0"/>
                <w:color w:val="003087"/>
                <w:sz w:val="19"/>
              </w:rPr>
              <w:t>Security Design</w:t>
            </w:r>
          </w:p>
        </w:tc>
        <w:tc>
          <w:tcPr>
            <w:tcW w:type="dxa" w:w="3138"/>
            <w:vAlign w:val="center"/>
          </w:tcPr>
          <w:p>
            <w:pPr>
              <w:jc w:val="right"/>
            </w:pPr>
            <w:r>
              <w:rPr>
                <w:b w:val="0"/>
                <w:i w:val="0"/>
                <w:color w:val="111827"/>
                <w:sz w:val="19"/>
              </w:rPr>
              <w:t>23</w:t>
            </w:r>
          </w:p>
        </w:tc>
      </w:tr>
      <w:tr>
        <w:tc>
          <w:tcPr>
            <w:tcW w:type="dxa" w:w="3138"/>
            <w:vAlign w:val="center"/>
          </w:tcPr>
          <w:p>
            <w:pPr>
              <w:jc w:val="left"/>
            </w:pPr>
            <w:r>
              <w:rPr>
                <w:b/>
                <w:i w:val="0"/>
                <w:color w:val="003087"/>
                <w:sz w:val="19"/>
              </w:rPr>
              <w:t>13</w:t>
            </w:r>
          </w:p>
        </w:tc>
        <w:tc>
          <w:tcPr>
            <w:tcW w:type="dxa" w:w="3138"/>
            <w:vAlign w:val="center"/>
          </w:tcPr>
          <w:p>
            <w:pPr>
              <w:jc w:val="left"/>
            </w:pPr>
            <w:r>
              <w:rPr>
                <w:b/>
                <w:i w:val="0"/>
                <w:color w:val="003087"/>
                <w:sz w:val="19"/>
              </w:rPr>
              <w:t>Error Handling Strategy</w:t>
            </w:r>
          </w:p>
        </w:tc>
        <w:tc>
          <w:tcPr>
            <w:tcW w:type="dxa" w:w="3138"/>
            <w:vAlign w:val="center"/>
          </w:tcPr>
          <w:p>
            <w:pPr>
              <w:jc w:val="right"/>
            </w:pPr>
            <w:r>
              <w:rPr>
                <w:b w:val="0"/>
                <w:i w:val="0"/>
                <w:color w:val="111827"/>
                <w:sz w:val="19"/>
              </w:rPr>
              <w:t>25</w:t>
            </w:r>
          </w:p>
        </w:tc>
      </w:tr>
      <w:tr>
        <w:tc>
          <w:tcPr>
            <w:tcW w:type="dxa" w:w="3138"/>
            <w:vAlign w:val="center"/>
          </w:tcPr>
          <w:p>
            <w:pPr>
              <w:jc w:val="left"/>
            </w:pPr>
            <w:r>
              <w:rPr>
                <w:b/>
                <w:i w:val="0"/>
                <w:color w:val="003087"/>
                <w:sz w:val="19"/>
              </w:rPr>
              <w:t>14</w:t>
            </w:r>
          </w:p>
        </w:tc>
        <w:tc>
          <w:tcPr>
            <w:tcW w:type="dxa" w:w="3138"/>
            <w:vAlign w:val="center"/>
          </w:tcPr>
          <w:p>
            <w:pPr>
              <w:jc w:val="left"/>
            </w:pPr>
            <w:r>
              <w:rPr>
                <w:b/>
                <w:i w:val="0"/>
                <w:color w:val="003087"/>
                <w:sz w:val="19"/>
              </w:rPr>
              <w:t>Performance &amp; Scalability</w:t>
            </w:r>
          </w:p>
        </w:tc>
        <w:tc>
          <w:tcPr>
            <w:tcW w:type="dxa" w:w="3138"/>
            <w:vAlign w:val="center"/>
          </w:tcPr>
          <w:p>
            <w:pPr>
              <w:jc w:val="right"/>
            </w:pPr>
            <w:r>
              <w:rPr>
                <w:b w:val="0"/>
                <w:i w:val="0"/>
                <w:color w:val="111827"/>
                <w:sz w:val="19"/>
              </w:rPr>
              <w:t>26</w:t>
            </w:r>
          </w:p>
        </w:tc>
      </w:tr>
      <w:tr>
        <w:tc>
          <w:tcPr>
            <w:tcW w:type="dxa" w:w="3138"/>
            <w:vAlign w:val="center"/>
          </w:tcPr>
          <w:p>
            <w:pPr>
              <w:jc w:val="left"/>
            </w:pPr>
            <w:r>
              <w:rPr>
                <w:b/>
                <w:i w:val="0"/>
                <w:color w:val="003087"/>
                <w:sz w:val="19"/>
              </w:rPr>
              <w:t>15</w:t>
            </w:r>
          </w:p>
        </w:tc>
        <w:tc>
          <w:tcPr>
            <w:tcW w:type="dxa" w:w="3138"/>
            <w:vAlign w:val="center"/>
          </w:tcPr>
          <w:p>
            <w:pPr>
              <w:jc w:val="left"/>
            </w:pPr>
            <w:r>
              <w:rPr>
                <w:b/>
                <w:i w:val="0"/>
                <w:color w:val="003087"/>
                <w:sz w:val="19"/>
              </w:rPr>
              <w:t>Logging &amp; Observability</w:t>
            </w:r>
          </w:p>
        </w:tc>
        <w:tc>
          <w:tcPr>
            <w:tcW w:type="dxa" w:w="3138"/>
            <w:vAlign w:val="center"/>
          </w:tcPr>
          <w:p>
            <w:pPr>
              <w:jc w:val="right"/>
            </w:pPr>
            <w:r>
              <w:rPr>
                <w:b w:val="0"/>
                <w:i w:val="0"/>
                <w:color w:val="111827"/>
                <w:sz w:val="19"/>
              </w:rPr>
              <w:t>27</w:t>
            </w:r>
          </w:p>
        </w:tc>
      </w:tr>
      <w:tr>
        <w:tc>
          <w:tcPr>
            <w:tcW w:type="dxa" w:w="3138"/>
            <w:vAlign w:val="center"/>
          </w:tcPr>
          <w:p>
            <w:pPr>
              <w:jc w:val="left"/>
            </w:pPr>
            <w:r>
              <w:rPr>
                <w:b/>
                <w:i w:val="0"/>
                <w:color w:val="003087"/>
                <w:sz w:val="19"/>
              </w:rPr>
              <w:t>16</w:t>
            </w:r>
          </w:p>
        </w:tc>
        <w:tc>
          <w:tcPr>
            <w:tcW w:type="dxa" w:w="3138"/>
            <w:vAlign w:val="center"/>
          </w:tcPr>
          <w:p>
            <w:pPr>
              <w:jc w:val="left"/>
            </w:pPr>
            <w:r>
              <w:rPr>
                <w:b/>
                <w:i w:val="0"/>
                <w:color w:val="003087"/>
                <w:sz w:val="19"/>
              </w:rPr>
              <w:t>Compliance &amp; Regulatory Considerations</w:t>
            </w:r>
          </w:p>
        </w:tc>
        <w:tc>
          <w:tcPr>
            <w:tcW w:type="dxa" w:w="3138"/>
            <w:vAlign w:val="center"/>
          </w:tcPr>
          <w:p>
            <w:pPr>
              <w:jc w:val="right"/>
            </w:pPr>
            <w:r>
              <w:rPr>
                <w:b w:val="0"/>
                <w:i w:val="0"/>
                <w:color w:val="111827"/>
                <w:sz w:val="19"/>
              </w:rPr>
              <w:t>28</w:t>
            </w:r>
          </w:p>
        </w:tc>
      </w:tr>
      <w:tr>
        <w:tc>
          <w:tcPr>
            <w:tcW w:type="dxa" w:w="3138"/>
            <w:vAlign w:val="center"/>
          </w:tcPr>
          <w:p>
            <w:pPr>
              <w:jc w:val="left"/>
            </w:pPr>
            <w:r>
              <w:rPr>
                <w:b/>
                <w:i w:val="0"/>
                <w:color w:val="003087"/>
                <w:sz w:val="19"/>
              </w:rPr>
              <w:t>17</w:t>
            </w:r>
          </w:p>
        </w:tc>
        <w:tc>
          <w:tcPr>
            <w:tcW w:type="dxa" w:w="3138"/>
            <w:vAlign w:val="center"/>
          </w:tcPr>
          <w:p>
            <w:pPr>
              <w:jc w:val="left"/>
            </w:pPr>
            <w:r>
              <w:rPr>
                <w:b/>
                <w:i w:val="0"/>
                <w:color w:val="003087"/>
                <w:sz w:val="19"/>
              </w:rPr>
              <w:t>Design Decisions &amp; Rationale</w:t>
            </w:r>
          </w:p>
        </w:tc>
        <w:tc>
          <w:tcPr>
            <w:tcW w:type="dxa" w:w="3138"/>
            <w:vAlign w:val="center"/>
          </w:tcPr>
          <w:p>
            <w:pPr>
              <w:jc w:val="right"/>
            </w:pPr>
            <w:r>
              <w:rPr>
                <w:b w:val="0"/>
                <w:i w:val="0"/>
                <w:color w:val="111827"/>
                <w:sz w:val="19"/>
              </w:rPr>
              <w:t>29</w:t>
            </w:r>
          </w:p>
        </w:tc>
      </w:tr>
      <w:tr>
        <w:tc>
          <w:tcPr>
            <w:tcW w:type="dxa" w:w="3138"/>
            <w:vAlign w:val="center"/>
          </w:tcPr>
          <w:p>
            <w:pPr>
              <w:jc w:val="left"/>
            </w:pPr>
            <w:r>
              <w:rPr>
                <w:b/>
                <w:i w:val="0"/>
                <w:color w:val="003087"/>
                <w:sz w:val="19"/>
              </w:rPr>
              <w:t>18</w:t>
            </w:r>
          </w:p>
        </w:tc>
        <w:tc>
          <w:tcPr>
            <w:tcW w:type="dxa" w:w="3138"/>
            <w:vAlign w:val="center"/>
          </w:tcPr>
          <w:p>
            <w:pPr>
              <w:jc w:val="left"/>
            </w:pPr>
            <w:r>
              <w:rPr>
                <w:b/>
                <w:i w:val="0"/>
                <w:color w:val="003087"/>
                <w:sz w:val="19"/>
              </w:rPr>
              <w:t>Glossary</w:t>
            </w:r>
          </w:p>
        </w:tc>
        <w:tc>
          <w:tcPr>
            <w:tcW w:type="dxa" w:w="3138"/>
            <w:vAlign w:val="center"/>
          </w:tcPr>
          <w:p>
            <w:pPr>
              <w:jc w:val="right"/>
            </w:pPr>
            <w:r>
              <w:rPr>
                <w:b w:val="0"/>
                <w:i w:val="0"/>
                <w:color w:val="111827"/>
                <w:sz w:val="19"/>
              </w:rPr>
              <w:t>30</w:t>
            </w:r>
          </w:p>
        </w:tc>
      </w:tr>
    </w:tbl>
    <w:p>
      <w:r>
        <w:br w:type="page"/>
      </w:r>
    </w:p>
    <w:p>
      <w:pPr>
        <w:spacing w:before="320" w:after="100"/>
        <w:pBdr>
          <w:bottom w:val="single" w:sz="8" w:space="2" w:color="003087"/>
        </w:pBdr>
      </w:pPr>
      <w:r>
        <w:rPr>
          <w:b/>
          <w:color w:val="003087"/>
          <w:sz w:val="26"/>
        </w:rPr>
        <w:t>1. Executive Summary</w:t>
      </w:r>
    </w:p>
    <w:p>
      <w:pPr>
        <w:spacing w:before="40" w:after="60"/>
      </w:pPr>
      <w:r>
        <w:rPr>
          <w:b w:val="0"/>
          <w:i w:val="0"/>
          <w:color w:val="111827"/>
          <w:sz w:val="19"/>
        </w:rPr>
        <w:t>The Keystone Bank FIRS e-Invoice Compliance System is a purpose-built software solution that automates the bank's obligation under the Federal Inland Revenue Service (FIRS) electronic invoicing mandate in Nigeria. The system extracts invoice data from the bank's core banking SQL Server database, transforms it into the FIRS-mandated JSON payload format, and submits it to the national FIRS gateway via the Cryptware Systems Ltd API integration layer. Upon successful submission, the system receives and stores a unique Invoice Reference Number (IRN) and a QR code URL for each invoice — the two artefacts that constitute FIRS compliance evidence.</w:t>
      </w:r>
    </w:p>
    <w:p>
      <w:pPr>
        <w:spacing w:before="40" w:after="60"/>
      </w:pPr>
      <w:r>
        <w:rPr>
          <w:b w:val="0"/>
          <w:i w:val="0"/>
          <w:color w:val="111827"/>
          <w:sz w:val="19"/>
        </w:rPr>
        <w:t>The system is composed of two independent runtime processes: a Flask-based HTTPS web dashboard that provides human operators with visibility and control, and a background APScheduler process that automatically processes pending invoices every five minutes without human intervention. Both processes share a single SQL Server database and a single configuration file, ensuring consistency without duplication.</w:t>
      </w:r>
    </w:p>
    <w:p>
      <w:pPr>
        <w:spacing w:before="40" w:after="60"/>
      </w:pPr>
      <w:r>
        <w:rPr>
          <w:b w:val="0"/>
          <w:i w:val="0"/>
          <w:color w:val="111827"/>
          <w:sz w:val="19"/>
        </w:rPr>
        <w:t>Security is implemented at multiple layers: TLS 1.2+ encryption for all web traffic, PBKDF2-SHA256 password hashing, Flask server-side session management with a 15-minute inactivity timeout, IP-based rate limiting with progressive lockout, and role-based access control enforcing four distinct privilege levels across all application routes.</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Attribute</w:t>
            </w:r>
          </w:p>
        </w:tc>
        <w:tc>
          <w:tcPr>
            <w:tcW w:type="dxa" w:w="4707"/>
            <w:shd w:val="clear" w:color="auto" w:fill="003087"/>
            <w:vAlign w:val="center"/>
          </w:tcPr>
          <w:p>
            <w:pPr>
              <w:jc w:val="center"/>
            </w:pPr>
            <w:r>
              <w:rPr>
                <w:b/>
                <w:i w:val="0"/>
                <w:color w:val="FFFFFF"/>
                <w:sz w:val="18"/>
              </w:rPr>
              <w:t>Value</w:t>
            </w:r>
          </w:p>
        </w:tc>
      </w:tr>
      <w:tr>
        <w:tc>
          <w:tcPr>
            <w:tcW w:type="dxa" w:w="4707"/>
            <w:shd w:val="clear" w:color="auto" w:fill="F3F4F6"/>
            <w:vAlign w:val="center"/>
          </w:tcPr>
          <w:p>
            <w:pPr>
              <w:jc w:val="left"/>
            </w:pPr>
            <w:r>
              <w:rPr>
                <w:b/>
                <w:i w:val="0"/>
                <w:color w:val="001F5B"/>
                <w:sz w:val="18"/>
              </w:rPr>
              <w:t>Solution Type</w:t>
            </w:r>
          </w:p>
        </w:tc>
        <w:tc>
          <w:tcPr>
            <w:tcW w:type="dxa" w:w="4707"/>
            <w:shd w:val="clear" w:color="auto" w:fill="FFFFFF"/>
            <w:vAlign w:val="center"/>
          </w:tcPr>
          <w:p>
            <w:pPr>
              <w:jc w:val="left"/>
            </w:pPr>
            <w:r>
              <w:rPr>
                <w:b w:val="0"/>
                <w:i w:val="0"/>
                <w:color w:val="111827"/>
                <w:sz w:val="18"/>
              </w:rPr>
              <w:t>Web Dashboard + Background Automation Service</w:t>
            </w:r>
          </w:p>
        </w:tc>
      </w:tr>
      <w:tr>
        <w:tc>
          <w:tcPr>
            <w:tcW w:type="dxa" w:w="4707"/>
            <w:shd w:val="clear" w:color="auto" w:fill="F3F4F6"/>
            <w:vAlign w:val="center"/>
          </w:tcPr>
          <w:p>
            <w:pPr>
              <w:jc w:val="left"/>
            </w:pPr>
            <w:r>
              <w:rPr>
                <w:b/>
                <w:i w:val="0"/>
                <w:color w:val="001F5B"/>
                <w:sz w:val="18"/>
              </w:rPr>
              <w:t>Primary Language</w:t>
            </w:r>
          </w:p>
        </w:tc>
        <w:tc>
          <w:tcPr>
            <w:tcW w:type="dxa" w:w="4707"/>
            <w:shd w:val="clear" w:color="auto" w:fill="FFFFFF"/>
            <w:vAlign w:val="center"/>
          </w:tcPr>
          <w:p>
            <w:pPr>
              <w:jc w:val="left"/>
            </w:pPr>
            <w:r>
              <w:rPr>
                <w:b w:val="0"/>
                <w:i w:val="0"/>
                <w:color w:val="111827"/>
                <w:sz w:val="18"/>
              </w:rPr>
              <w:t>Python 3.9+</w:t>
            </w:r>
          </w:p>
        </w:tc>
      </w:tr>
      <w:tr>
        <w:tc>
          <w:tcPr>
            <w:tcW w:type="dxa" w:w="4707"/>
            <w:shd w:val="clear" w:color="auto" w:fill="F3F4F6"/>
            <w:vAlign w:val="center"/>
          </w:tcPr>
          <w:p>
            <w:pPr>
              <w:jc w:val="left"/>
            </w:pPr>
            <w:r>
              <w:rPr>
                <w:b/>
                <w:i w:val="0"/>
                <w:color w:val="001F5B"/>
                <w:sz w:val="18"/>
              </w:rPr>
              <w:t>Web Framework</w:t>
            </w:r>
          </w:p>
        </w:tc>
        <w:tc>
          <w:tcPr>
            <w:tcW w:type="dxa" w:w="4707"/>
            <w:shd w:val="clear" w:color="auto" w:fill="FFFFFF"/>
            <w:vAlign w:val="center"/>
          </w:tcPr>
          <w:p>
            <w:pPr>
              <w:jc w:val="left"/>
            </w:pPr>
            <w:r>
              <w:rPr>
                <w:b w:val="0"/>
                <w:i w:val="0"/>
                <w:color w:val="111827"/>
                <w:sz w:val="18"/>
              </w:rPr>
              <w:t>Flask 3.x (Werkzeug WSGI)</w:t>
            </w:r>
          </w:p>
        </w:tc>
      </w:tr>
      <w:tr>
        <w:tc>
          <w:tcPr>
            <w:tcW w:type="dxa" w:w="4707"/>
            <w:shd w:val="clear" w:color="auto" w:fill="F3F4F6"/>
            <w:vAlign w:val="center"/>
          </w:tcPr>
          <w:p>
            <w:pPr>
              <w:jc w:val="left"/>
            </w:pPr>
            <w:r>
              <w:rPr>
                <w:b/>
                <w:i w:val="0"/>
                <w:color w:val="001F5B"/>
                <w:sz w:val="18"/>
              </w:rPr>
              <w:t>Database</w:t>
            </w:r>
          </w:p>
        </w:tc>
        <w:tc>
          <w:tcPr>
            <w:tcW w:type="dxa" w:w="4707"/>
            <w:shd w:val="clear" w:color="auto" w:fill="FFFFFF"/>
            <w:vAlign w:val="center"/>
          </w:tcPr>
          <w:p>
            <w:pPr>
              <w:jc w:val="left"/>
            </w:pPr>
            <w:r>
              <w:rPr>
                <w:b w:val="0"/>
                <w:i w:val="0"/>
                <w:color w:val="111827"/>
                <w:sz w:val="18"/>
              </w:rPr>
              <w:t>Microsoft SQL Server 2019 — FIRSINVOICEDB</w:t>
            </w:r>
          </w:p>
        </w:tc>
      </w:tr>
      <w:tr>
        <w:tc>
          <w:tcPr>
            <w:tcW w:type="dxa" w:w="4707"/>
            <w:shd w:val="clear" w:color="auto" w:fill="F3F4F6"/>
            <w:vAlign w:val="center"/>
          </w:tcPr>
          <w:p>
            <w:pPr>
              <w:jc w:val="left"/>
            </w:pPr>
            <w:r>
              <w:rPr>
                <w:b/>
                <w:i w:val="0"/>
                <w:color w:val="001F5B"/>
                <w:sz w:val="18"/>
              </w:rPr>
              <w:t>API Gateway</w:t>
            </w:r>
          </w:p>
        </w:tc>
        <w:tc>
          <w:tcPr>
            <w:tcW w:type="dxa" w:w="4707"/>
            <w:shd w:val="clear" w:color="auto" w:fill="FFFFFF"/>
            <w:vAlign w:val="center"/>
          </w:tcPr>
          <w:p>
            <w:pPr>
              <w:jc w:val="left"/>
            </w:pPr>
            <w:r>
              <w:rPr>
                <w:b w:val="0"/>
                <w:i w:val="0"/>
                <w:color w:val="111827"/>
                <w:sz w:val="18"/>
              </w:rPr>
              <w:t>Cryptware Systems Ltd — FIRS NRS Integration</w:t>
            </w:r>
          </w:p>
        </w:tc>
      </w:tr>
      <w:tr>
        <w:tc>
          <w:tcPr>
            <w:tcW w:type="dxa" w:w="4707"/>
            <w:shd w:val="clear" w:color="auto" w:fill="F3F4F6"/>
            <w:vAlign w:val="center"/>
          </w:tcPr>
          <w:p>
            <w:pPr>
              <w:jc w:val="left"/>
            </w:pPr>
            <w:r>
              <w:rPr>
                <w:b/>
                <w:i w:val="0"/>
                <w:color w:val="001F5B"/>
                <w:sz w:val="18"/>
              </w:rPr>
              <w:t>Deployment Target</w:t>
            </w:r>
          </w:p>
        </w:tc>
        <w:tc>
          <w:tcPr>
            <w:tcW w:type="dxa" w:w="4707"/>
            <w:shd w:val="clear" w:color="auto" w:fill="FFFFFF"/>
            <w:vAlign w:val="center"/>
          </w:tcPr>
          <w:p>
            <w:pPr>
              <w:jc w:val="left"/>
            </w:pPr>
            <w:r>
              <w:rPr>
                <w:b w:val="0"/>
                <w:i w:val="0"/>
                <w:color w:val="111827"/>
                <w:sz w:val="18"/>
              </w:rPr>
              <w:t>Windows Server 2019 — KBL-FIRS-SVR (10.40.24.41)</w:t>
            </w:r>
          </w:p>
        </w:tc>
      </w:tr>
      <w:tr>
        <w:tc>
          <w:tcPr>
            <w:tcW w:type="dxa" w:w="4707"/>
            <w:shd w:val="clear" w:color="auto" w:fill="F3F4F6"/>
            <w:vAlign w:val="center"/>
          </w:tcPr>
          <w:p>
            <w:pPr>
              <w:jc w:val="left"/>
            </w:pPr>
            <w:r>
              <w:rPr>
                <w:b/>
                <w:i w:val="0"/>
                <w:color w:val="001F5B"/>
                <w:sz w:val="18"/>
              </w:rPr>
              <w:t>Compliance Scope</w:t>
            </w:r>
          </w:p>
        </w:tc>
        <w:tc>
          <w:tcPr>
            <w:tcW w:type="dxa" w:w="4707"/>
            <w:shd w:val="clear" w:color="auto" w:fill="FFFFFF"/>
            <w:vAlign w:val="center"/>
          </w:tcPr>
          <w:p>
            <w:pPr>
              <w:jc w:val="left"/>
            </w:pPr>
            <w:r>
              <w:rPr>
                <w:b w:val="0"/>
                <w:i w:val="0"/>
                <w:color w:val="111827"/>
                <w:sz w:val="18"/>
              </w:rPr>
              <w:t>Nigeria FIRS e-Invoice Mandate — NRS Portal</w:t>
            </w:r>
          </w:p>
        </w:tc>
      </w:tr>
    </w:tbl>
    <w:p>
      <w:pPr>
        <w:spacing w:after="80"/>
      </w:pPr>
    </w:p>
    <w:p>
      <w:r>
        <w:br w:type="page"/>
      </w:r>
    </w:p>
    <w:p>
      <w:pPr>
        <w:spacing w:before="320" w:after="100"/>
        <w:pBdr>
          <w:bottom w:val="single" w:sz="8" w:space="2" w:color="003087"/>
        </w:pBdr>
      </w:pPr>
      <w:r>
        <w:rPr>
          <w:b/>
          <w:color w:val="003087"/>
          <w:sz w:val="26"/>
        </w:rPr>
        <w:t>2. System Overview &amp; Business Context</w:t>
      </w:r>
    </w:p>
    <w:p>
      <w:pPr>
        <w:spacing w:before="220" w:after="60"/>
      </w:pPr>
      <w:r>
        <w:rPr>
          <w:b/>
          <w:color w:val="001F5B"/>
          <w:sz w:val="22"/>
        </w:rPr>
        <w:t>2.1  Business Problem</w:t>
      </w:r>
    </w:p>
    <w:p>
      <w:pPr>
        <w:spacing w:before="40" w:after="60"/>
      </w:pPr>
      <w:r>
        <w:rPr>
          <w:b w:val="0"/>
          <w:i w:val="0"/>
          <w:color w:val="111827"/>
          <w:sz w:val="19"/>
        </w:rPr>
        <w:t>The Federal Inland Revenue Service (FIRS) of Nigeria mandates that all organisations above a defined revenue threshold electronically report invoices issued for taxable services. Keystone Bank issues a large volume of service invoices (trade finance fees, account maintenance, wire transfer fees, etc.) across multiple currencies. Prior to this system, invoice reporting was a manual, error-prone, and time-consuming process that posed a compliance risk.</w:t>
      </w:r>
    </w:p>
    <w:p>
      <w:pPr>
        <w:spacing w:before="40" w:after="60"/>
      </w:pPr>
      <w:r>
        <w:rPr>
          <w:b w:val="0"/>
          <w:i w:val="0"/>
          <w:color w:val="111827"/>
          <w:sz w:val="19"/>
        </w:rPr>
        <w:t>The system eliminates this risk by continuously monitoring the bank's invoice database, automatically submitting qualifying invoices, and maintaining a verifiable audit trail of every submission — including the government-assigned IRN and QR code.</w:t>
      </w:r>
    </w:p>
    <w:p>
      <w:pPr>
        <w:spacing w:before="220" w:after="60"/>
      </w:pPr>
      <w:r>
        <w:rPr>
          <w:b/>
          <w:color w:val="001F5B"/>
          <w:sz w:val="22"/>
        </w:rPr>
        <w:t>2.2  System Boundaries</w:t>
      </w:r>
    </w:p>
    <w:tbl>
      <w:tblPr>
        <w:tblStyle w:val="TableGrid"/>
        <w:tblW w:type="auto" w:w="0"/>
        <w:jc w:val="left"/>
        <w:tblLook w:firstColumn="1" w:firstRow="1" w:lastColumn="0" w:lastRow="0" w:noHBand="0" w:noVBand="1" w:val="04A0"/>
      </w:tblPr>
      <w:tblGrid>
        <w:gridCol w:w="2304"/>
        <w:gridCol w:w="7344"/>
      </w:tblGrid>
      <w:tr>
        <w:tc>
          <w:tcPr>
            <w:tcW w:type="dxa" w:w="4707"/>
            <w:shd w:val="clear" w:color="auto" w:fill="F3F4F6"/>
            <w:vAlign w:val="center"/>
          </w:tcPr>
          <w:p>
            <w:pPr>
              <w:jc w:val="left"/>
            </w:pPr>
            <w:r>
              <w:rPr>
                <w:b/>
                <w:i w:val="0"/>
                <w:color w:val="001F5B"/>
                <w:sz w:val="18"/>
              </w:rPr>
              <w:t>IN SCOPE</w:t>
            </w:r>
          </w:p>
        </w:tc>
        <w:tc>
          <w:tcPr>
            <w:tcW w:type="dxa" w:w="4707"/>
            <w:shd w:val="clear" w:color="auto" w:fill="FFFFFF"/>
            <w:vAlign w:val="center"/>
          </w:tcPr>
          <w:p>
            <w:pPr>
              <w:jc w:val="left"/>
            </w:pPr>
            <w:r>
              <w:rPr>
                <w:b w:val="0"/>
                <w:i w:val="0"/>
                <w:color w:val="111827"/>
                <w:sz w:val="18"/>
              </w:rPr>
              <w:t>Invoice data extraction from dbo.REPORT</w:t>
            </w:r>
          </w:p>
        </w:tc>
      </w:tr>
      <w:tr>
        <w:tc>
          <w:tcPr>
            <w:tcW w:type="dxa" w:w="4707"/>
            <w:shd w:val="clear" w:color="auto" w:fill="F3F4F6"/>
            <w:vAlign w:val="center"/>
          </w:tcPr>
          <w:p>
            <w:pPr>
              <w:jc w:val="left"/>
            </w:pPr>
            <w:r>
              <w:rPr>
                <w:b/>
                <w:i w:val="0"/>
                <w:color w:val="001F5B"/>
                <w:sz w:val="18"/>
              </w:rPr>
              <w:t>IN SCOPE</w:t>
            </w:r>
          </w:p>
        </w:tc>
        <w:tc>
          <w:tcPr>
            <w:tcW w:type="dxa" w:w="4707"/>
            <w:shd w:val="clear" w:color="auto" w:fill="FFFFFF"/>
            <w:vAlign w:val="center"/>
          </w:tcPr>
          <w:p>
            <w:pPr>
              <w:jc w:val="left"/>
            </w:pPr>
            <w:r>
              <w:rPr>
                <w:b w:val="0"/>
                <w:i w:val="0"/>
                <w:color w:val="111827"/>
                <w:sz w:val="18"/>
              </w:rPr>
              <w:t>FIRS API submission via Cryptware gateway</w:t>
            </w:r>
          </w:p>
        </w:tc>
      </w:tr>
      <w:tr>
        <w:tc>
          <w:tcPr>
            <w:tcW w:type="dxa" w:w="4707"/>
            <w:shd w:val="clear" w:color="auto" w:fill="F3F4F6"/>
            <w:vAlign w:val="center"/>
          </w:tcPr>
          <w:p>
            <w:pPr>
              <w:jc w:val="left"/>
            </w:pPr>
            <w:r>
              <w:rPr>
                <w:b/>
                <w:i w:val="0"/>
                <w:color w:val="001F5B"/>
                <w:sz w:val="18"/>
              </w:rPr>
              <w:t>IN SCOPE</w:t>
            </w:r>
          </w:p>
        </w:tc>
        <w:tc>
          <w:tcPr>
            <w:tcW w:type="dxa" w:w="4707"/>
            <w:shd w:val="clear" w:color="auto" w:fill="FFFFFF"/>
            <w:vAlign w:val="center"/>
          </w:tcPr>
          <w:p>
            <w:pPr>
              <w:jc w:val="left"/>
            </w:pPr>
            <w:r>
              <w:rPr>
                <w:b w:val="0"/>
                <w:i w:val="0"/>
                <w:color w:val="111827"/>
                <w:sz w:val="18"/>
              </w:rPr>
              <w:t>IRN and QR code storage in SQL Server</w:t>
            </w:r>
          </w:p>
        </w:tc>
      </w:tr>
      <w:tr>
        <w:tc>
          <w:tcPr>
            <w:tcW w:type="dxa" w:w="4707"/>
            <w:shd w:val="clear" w:color="auto" w:fill="F3F4F6"/>
            <w:vAlign w:val="center"/>
          </w:tcPr>
          <w:p>
            <w:pPr>
              <w:jc w:val="left"/>
            </w:pPr>
            <w:r>
              <w:rPr>
                <w:b/>
                <w:i w:val="0"/>
                <w:color w:val="001F5B"/>
                <w:sz w:val="18"/>
              </w:rPr>
              <w:t>IN SCOPE</w:t>
            </w:r>
          </w:p>
        </w:tc>
        <w:tc>
          <w:tcPr>
            <w:tcW w:type="dxa" w:w="4707"/>
            <w:shd w:val="clear" w:color="auto" w:fill="FFFFFF"/>
            <w:vAlign w:val="center"/>
          </w:tcPr>
          <w:p>
            <w:pPr>
              <w:jc w:val="left"/>
            </w:pPr>
            <w:r>
              <w:rPr>
                <w:b w:val="0"/>
                <w:i w:val="0"/>
                <w:color w:val="111827"/>
                <w:sz w:val="18"/>
              </w:rPr>
              <w:t>Compliance dashboard — view, filter, post, print, PDF, export</w:t>
            </w:r>
          </w:p>
        </w:tc>
      </w:tr>
      <w:tr>
        <w:tc>
          <w:tcPr>
            <w:tcW w:type="dxa" w:w="4707"/>
            <w:shd w:val="clear" w:color="auto" w:fill="F3F4F6"/>
            <w:vAlign w:val="center"/>
          </w:tcPr>
          <w:p>
            <w:pPr>
              <w:jc w:val="left"/>
            </w:pPr>
            <w:r>
              <w:rPr>
                <w:b/>
                <w:i w:val="0"/>
                <w:color w:val="001F5B"/>
                <w:sz w:val="18"/>
              </w:rPr>
              <w:t>IN SCOPE</w:t>
            </w:r>
          </w:p>
        </w:tc>
        <w:tc>
          <w:tcPr>
            <w:tcW w:type="dxa" w:w="4707"/>
            <w:shd w:val="clear" w:color="auto" w:fill="FFFFFF"/>
            <w:vAlign w:val="center"/>
          </w:tcPr>
          <w:p>
            <w:pPr>
              <w:jc w:val="left"/>
            </w:pPr>
            <w:r>
              <w:rPr>
                <w:b w:val="0"/>
                <w:i w:val="0"/>
                <w:color w:val="111827"/>
                <w:sz w:val="18"/>
              </w:rPr>
              <w:t>User authentication, RBAC, session management</w:t>
            </w:r>
          </w:p>
        </w:tc>
      </w:tr>
      <w:tr>
        <w:tc>
          <w:tcPr>
            <w:tcW w:type="dxa" w:w="4707"/>
            <w:shd w:val="clear" w:color="auto" w:fill="F3F4F6"/>
            <w:vAlign w:val="center"/>
          </w:tcPr>
          <w:p>
            <w:pPr>
              <w:jc w:val="left"/>
            </w:pPr>
            <w:r>
              <w:rPr>
                <w:b/>
                <w:i w:val="0"/>
                <w:color w:val="001F5B"/>
                <w:sz w:val="18"/>
              </w:rPr>
              <w:t>IN SCOPE</w:t>
            </w:r>
          </w:p>
        </w:tc>
        <w:tc>
          <w:tcPr>
            <w:tcW w:type="dxa" w:w="4707"/>
            <w:shd w:val="clear" w:color="auto" w:fill="FFFFFF"/>
            <w:vAlign w:val="center"/>
          </w:tcPr>
          <w:p>
            <w:pPr>
              <w:jc w:val="left"/>
            </w:pPr>
            <w:r>
              <w:rPr>
                <w:b w:val="0"/>
                <w:i w:val="0"/>
                <w:color w:val="111827"/>
                <w:sz w:val="18"/>
              </w:rPr>
              <w:t>CFO-level reporting and Excel export</w:t>
            </w:r>
          </w:p>
        </w:tc>
      </w:tr>
      <w:tr>
        <w:tc>
          <w:tcPr>
            <w:tcW w:type="dxa" w:w="4707"/>
            <w:shd w:val="clear" w:color="auto" w:fill="F3F4F6"/>
            <w:vAlign w:val="center"/>
          </w:tcPr>
          <w:p>
            <w:pPr>
              <w:jc w:val="left"/>
            </w:pPr>
            <w:r>
              <w:rPr>
                <w:b/>
                <w:i w:val="0"/>
                <w:color w:val="001F5B"/>
                <w:sz w:val="18"/>
              </w:rPr>
              <w:t>OUT OF SCOPE</w:t>
            </w:r>
          </w:p>
        </w:tc>
        <w:tc>
          <w:tcPr>
            <w:tcW w:type="dxa" w:w="4707"/>
            <w:shd w:val="clear" w:color="auto" w:fill="FFFFFF"/>
            <w:vAlign w:val="center"/>
          </w:tcPr>
          <w:p>
            <w:pPr>
              <w:jc w:val="left"/>
            </w:pPr>
            <w:r>
              <w:rPr>
                <w:b w:val="0"/>
                <w:i w:val="0"/>
                <w:color w:val="111827"/>
                <w:sz w:val="18"/>
              </w:rPr>
              <w:t>Invoice creation or ERP data entry — invoices come from upstream systems</w:t>
            </w:r>
          </w:p>
        </w:tc>
      </w:tr>
      <w:tr>
        <w:tc>
          <w:tcPr>
            <w:tcW w:type="dxa" w:w="4707"/>
            <w:shd w:val="clear" w:color="auto" w:fill="F3F4F6"/>
            <w:vAlign w:val="center"/>
          </w:tcPr>
          <w:p>
            <w:pPr>
              <w:jc w:val="left"/>
            </w:pPr>
            <w:r>
              <w:rPr>
                <w:b/>
                <w:i w:val="0"/>
                <w:color w:val="001F5B"/>
                <w:sz w:val="18"/>
              </w:rPr>
              <w:t>OUT OF SCOPE</w:t>
            </w:r>
          </w:p>
        </w:tc>
        <w:tc>
          <w:tcPr>
            <w:tcW w:type="dxa" w:w="4707"/>
            <w:shd w:val="clear" w:color="auto" w:fill="FFFFFF"/>
            <w:vAlign w:val="center"/>
          </w:tcPr>
          <w:p>
            <w:pPr>
              <w:jc w:val="left"/>
            </w:pPr>
            <w:r>
              <w:rPr>
                <w:b w:val="0"/>
                <w:i w:val="0"/>
                <w:color w:val="111827"/>
                <w:sz w:val="18"/>
              </w:rPr>
              <w:t>Direct FIRS portal login — Cryptware handles gateway authentication</w:t>
            </w:r>
          </w:p>
        </w:tc>
      </w:tr>
      <w:tr>
        <w:tc>
          <w:tcPr>
            <w:tcW w:type="dxa" w:w="4707"/>
            <w:shd w:val="clear" w:color="auto" w:fill="F3F4F6"/>
            <w:vAlign w:val="center"/>
          </w:tcPr>
          <w:p>
            <w:pPr>
              <w:jc w:val="left"/>
            </w:pPr>
            <w:r>
              <w:rPr>
                <w:b/>
                <w:i w:val="0"/>
                <w:color w:val="001F5B"/>
                <w:sz w:val="18"/>
              </w:rPr>
              <w:t>OUT OF SCOPE</w:t>
            </w:r>
          </w:p>
        </w:tc>
        <w:tc>
          <w:tcPr>
            <w:tcW w:type="dxa" w:w="4707"/>
            <w:shd w:val="clear" w:color="auto" w:fill="FFFFFF"/>
            <w:vAlign w:val="center"/>
          </w:tcPr>
          <w:p>
            <w:pPr>
              <w:jc w:val="left"/>
            </w:pPr>
            <w:r>
              <w:rPr>
                <w:b w:val="0"/>
                <w:i w:val="0"/>
                <w:color w:val="111827"/>
                <w:sz w:val="18"/>
              </w:rPr>
              <w:t>Payment processing or banking transaction execution</w:t>
            </w:r>
          </w:p>
        </w:tc>
      </w:tr>
      <w:tr>
        <w:tc>
          <w:tcPr>
            <w:tcW w:type="dxa" w:w="4707"/>
            <w:shd w:val="clear" w:color="auto" w:fill="F3F4F6"/>
            <w:vAlign w:val="center"/>
          </w:tcPr>
          <w:p>
            <w:pPr>
              <w:jc w:val="left"/>
            </w:pPr>
            <w:r>
              <w:rPr>
                <w:b/>
                <w:i w:val="0"/>
                <w:color w:val="001F5B"/>
                <w:sz w:val="18"/>
              </w:rPr>
              <w:t>OUT OF SCOPE</w:t>
            </w:r>
          </w:p>
        </w:tc>
        <w:tc>
          <w:tcPr>
            <w:tcW w:type="dxa" w:w="4707"/>
            <w:shd w:val="clear" w:color="auto" w:fill="FFFFFF"/>
            <w:vAlign w:val="center"/>
          </w:tcPr>
          <w:p>
            <w:pPr>
              <w:jc w:val="left"/>
            </w:pPr>
            <w:r>
              <w:rPr>
                <w:b w:val="0"/>
                <w:i w:val="0"/>
                <w:color w:val="111827"/>
                <w:sz w:val="18"/>
              </w:rPr>
              <w:t>Core banking system integration design</w:t>
            </w:r>
          </w:p>
        </w:tc>
      </w:tr>
    </w:tbl>
    <w:p>
      <w:pPr>
        <w:spacing w:after="80"/>
      </w:pPr>
    </w:p>
    <w:p>
      <w:pPr>
        <w:spacing w:before="220" w:after="60"/>
      </w:pPr>
      <w:r>
        <w:rPr>
          <w:b/>
          <w:color w:val="001F5B"/>
          <w:sz w:val="22"/>
        </w:rPr>
        <w:t>2.3  Stakeholders</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Stakeholder</w:t>
            </w:r>
          </w:p>
        </w:tc>
        <w:tc>
          <w:tcPr>
            <w:tcW w:type="dxa" w:w="4707"/>
            <w:shd w:val="clear" w:color="auto" w:fill="003087"/>
            <w:vAlign w:val="center"/>
          </w:tcPr>
          <w:p>
            <w:pPr>
              <w:jc w:val="center"/>
            </w:pPr>
            <w:r>
              <w:rPr>
                <w:b/>
                <w:i w:val="0"/>
                <w:color w:val="FFFFFF"/>
                <w:sz w:val="18"/>
              </w:rPr>
              <w:t>Role / Interest</w:t>
            </w:r>
          </w:p>
        </w:tc>
      </w:tr>
      <w:tr>
        <w:tc>
          <w:tcPr>
            <w:tcW w:type="dxa" w:w="4707"/>
            <w:shd w:val="clear" w:color="auto" w:fill="F3F4F6"/>
            <w:vAlign w:val="center"/>
          </w:tcPr>
          <w:p>
            <w:pPr>
              <w:jc w:val="left"/>
            </w:pPr>
            <w:r>
              <w:rPr>
                <w:b/>
                <w:i w:val="0"/>
                <w:color w:val="001F5B"/>
                <w:sz w:val="18"/>
              </w:rPr>
              <w:t>Finance / CFO</w:t>
            </w:r>
          </w:p>
        </w:tc>
        <w:tc>
          <w:tcPr>
            <w:tcW w:type="dxa" w:w="4707"/>
            <w:shd w:val="clear" w:color="auto" w:fill="FFFFFF"/>
            <w:vAlign w:val="center"/>
          </w:tcPr>
          <w:p>
            <w:pPr>
              <w:jc w:val="left"/>
            </w:pPr>
            <w:r>
              <w:rPr>
                <w:b w:val="0"/>
                <w:i w:val="0"/>
                <w:color w:val="111827"/>
                <w:sz w:val="18"/>
              </w:rPr>
              <w:t>Primary consumers of the Report module. Require accurate VAT and submission totals.</w:t>
            </w:r>
          </w:p>
        </w:tc>
      </w:tr>
      <w:tr>
        <w:tc>
          <w:tcPr>
            <w:tcW w:type="dxa" w:w="4707"/>
            <w:shd w:val="clear" w:color="auto" w:fill="F3F4F6"/>
            <w:vAlign w:val="center"/>
          </w:tcPr>
          <w:p>
            <w:pPr>
              <w:jc w:val="left"/>
            </w:pPr>
            <w:r>
              <w:rPr>
                <w:b/>
                <w:i w:val="0"/>
                <w:color w:val="001F5B"/>
                <w:sz w:val="18"/>
              </w:rPr>
              <w:t>Operations (Operators)</w:t>
            </w:r>
          </w:p>
        </w:tc>
        <w:tc>
          <w:tcPr>
            <w:tcW w:type="dxa" w:w="4707"/>
            <w:shd w:val="clear" w:color="auto" w:fill="FFFFFF"/>
            <w:vAlign w:val="center"/>
          </w:tcPr>
          <w:p>
            <w:pPr>
              <w:jc w:val="left"/>
            </w:pPr>
            <w:r>
              <w:rPr>
                <w:b w:val="0"/>
                <w:i w:val="0"/>
                <w:color w:val="111827"/>
                <w:sz w:val="18"/>
              </w:rPr>
              <w:t>Day-to-day users: monitor pending invoices, manually re-post failed submissions.</w:t>
            </w:r>
          </w:p>
        </w:tc>
      </w:tr>
      <w:tr>
        <w:tc>
          <w:tcPr>
            <w:tcW w:type="dxa" w:w="4707"/>
            <w:shd w:val="clear" w:color="auto" w:fill="F3F4F6"/>
            <w:vAlign w:val="center"/>
          </w:tcPr>
          <w:p>
            <w:pPr>
              <w:jc w:val="left"/>
            </w:pPr>
            <w:r>
              <w:rPr>
                <w:b/>
                <w:i w:val="0"/>
                <w:color w:val="001F5B"/>
                <w:sz w:val="18"/>
              </w:rPr>
              <w:t>IT / Infrastructure</w:t>
            </w:r>
          </w:p>
        </w:tc>
        <w:tc>
          <w:tcPr>
            <w:tcW w:type="dxa" w:w="4707"/>
            <w:shd w:val="clear" w:color="auto" w:fill="FFFFFF"/>
            <w:vAlign w:val="center"/>
          </w:tcPr>
          <w:p>
            <w:pPr>
              <w:jc w:val="left"/>
            </w:pPr>
            <w:r>
              <w:rPr>
                <w:b w:val="0"/>
                <w:i w:val="0"/>
                <w:color w:val="111827"/>
                <w:sz w:val="18"/>
              </w:rPr>
              <w:t>Responsible for server, network, firewall, service monitoring, and backups.</w:t>
            </w:r>
          </w:p>
        </w:tc>
      </w:tr>
      <w:tr>
        <w:tc>
          <w:tcPr>
            <w:tcW w:type="dxa" w:w="4707"/>
            <w:shd w:val="clear" w:color="auto" w:fill="F3F4F6"/>
            <w:vAlign w:val="center"/>
          </w:tcPr>
          <w:p>
            <w:pPr>
              <w:jc w:val="left"/>
            </w:pPr>
            <w:r>
              <w:rPr>
                <w:b/>
                <w:i w:val="0"/>
                <w:color w:val="001F5B"/>
                <w:sz w:val="18"/>
              </w:rPr>
              <w:t>Information Security</w:t>
            </w:r>
          </w:p>
        </w:tc>
        <w:tc>
          <w:tcPr>
            <w:tcW w:type="dxa" w:w="4707"/>
            <w:shd w:val="clear" w:color="auto" w:fill="FFFFFF"/>
            <w:vAlign w:val="center"/>
          </w:tcPr>
          <w:p>
            <w:pPr>
              <w:jc w:val="left"/>
            </w:pPr>
            <w:r>
              <w:rPr>
                <w:b w:val="0"/>
                <w:i w:val="0"/>
                <w:color w:val="111827"/>
                <w:sz w:val="18"/>
              </w:rPr>
              <w:t>Responsible for access control, VAPT compliance, and credential management.</w:t>
            </w:r>
          </w:p>
        </w:tc>
      </w:tr>
      <w:tr>
        <w:tc>
          <w:tcPr>
            <w:tcW w:type="dxa" w:w="4707"/>
            <w:shd w:val="clear" w:color="auto" w:fill="F3F4F6"/>
            <w:vAlign w:val="center"/>
          </w:tcPr>
          <w:p>
            <w:pPr>
              <w:jc w:val="left"/>
            </w:pPr>
            <w:r>
              <w:rPr>
                <w:b/>
                <w:i w:val="0"/>
                <w:color w:val="001F5B"/>
                <w:sz w:val="18"/>
              </w:rPr>
              <w:t>Cryptware Systems Ltd</w:t>
            </w:r>
          </w:p>
        </w:tc>
        <w:tc>
          <w:tcPr>
            <w:tcW w:type="dxa" w:w="4707"/>
            <w:shd w:val="clear" w:color="auto" w:fill="FFFFFF"/>
            <w:vAlign w:val="center"/>
          </w:tcPr>
          <w:p>
            <w:pPr>
              <w:jc w:val="left"/>
            </w:pPr>
            <w:r>
              <w:rPr>
                <w:b w:val="0"/>
                <w:i w:val="0"/>
                <w:color w:val="111827"/>
                <w:sz w:val="18"/>
              </w:rPr>
              <w:t>API gateway provider. Manages FIRS NRS integration credentials and support.</w:t>
            </w:r>
          </w:p>
        </w:tc>
      </w:tr>
      <w:tr>
        <w:tc>
          <w:tcPr>
            <w:tcW w:type="dxa" w:w="4707"/>
            <w:shd w:val="clear" w:color="auto" w:fill="F3F4F6"/>
            <w:vAlign w:val="center"/>
          </w:tcPr>
          <w:p>
            <w:pPr>
              <w:jc w:val="left"/>
            </w:pPr>
            <w:r>
              <w:rPr>
                <w:b/>
                <w:i w:val="0"/>
                <w:color w:val="001F5B"/>
                <w:sz w:val="18"/>
              </w:rPr>
              <w:t>FIRS (Regulator)</w:t>
            </w:r>
          </w:p>
        </w:tc>
        <w:tc>
          <w:tcPr>
            <w:tcW w:type="dxa" w:w="4707"/>
            <w:shd w:val="clear" w:color="auto" w:fill="FFFFFF"/>
            <w:vAlign w:val="center"/>
          </w:tcPr>
          <w:p>
            <w:pPr>
              <w:jc w:val="left"/>
            </w:pPr>
            <w:r>
              <w:rPr>
                <w:b w:val="0"/>
                <w:i w:val="0"/>
                <w:color w:val="111827"/>
                <w:sz w:val="18"/>
              </w:rPr>
              <w:t>Receives submitted invoices and issues IRNs. External to this system.</w:t>
            </w:r>
          </w:p>
        </w:tc>
      </w:tr>
    </w:tbl>
    <w:p>
      <w:pPr>
        <w:spacing w:after="80"/>
      </w:pPr>
    </w:p>
    <w:p>
      <w:r>
        <w:br w:type="page"/>
      </w:r>
    </w:p>
    <w:p>
      <w:pPr>
        <w:spacing w:before="320" w:after="100"/>
        <w:pBdr>
          <w:bottom w:val="single" w:sz="8" w:space="2" w:color="003087"/>
        </w:pBdr>
      </w:pPr>
      <w:r>
        <w:rPr>
          <w:b/>
          <w:color w:val="003087"/>
          <w:sz w:val="26"/>
        </w:rPr>
        <w:t>3. High-Level Architecture</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Data Flow / Sequence</w:t>
              <w:br/>
            </w:r>
            <w:r>
              <w:rPr>
                <w:rFonts w:ascii="Courier New" w:hAnsi="Courier New"/>
                <w:color w:val="111827"/>
                <w:sz w:val="16"/>
              </w:rPr>
              <w:t>┌─────────────────────────────────────────────────────────────────────┐</w:t>
              <w:br/>
              <w:t>│                    KEYSTONE BANK INTERNAL NETWORK                   │</w:t>
              <w:br/>
              <w:t>│                         (10.40.x.x subnet)                          │</w:t>
              <w:br/>
              <w:t>│                                                                      │</w:t>
              <w:br/>
              <w:t>│  ┌──────────────┐   HTTPS :5443    ┌──────────────────────────────┐ │</w:t>
              <w:br/>
              <w:t>│  │   Browser    │ ◄──────────────► │   FIRS Dashboard (Flask)     │ │</w:t>
              <w:br/>
              <w:t>│  │  Chrome/Edge │   HTTP :5000     │   dashboard.py               │ │</w:t>
              <w:br/>
              <w:t>│  │  (Staff)     │   (→ redirect)   │   Port 5443 HTTPS            │ │</w:t>
              <w:br/>
              <w:t>│  └──────────────┘                  │   Port 5000 HTTP→HTTPS       │ │</w:t>
              <w:br/>
              <w:t>│                                    └──────────┬───────────────────┘ │</w:t>
              <w:br/>
              <w:t>│                                               │ pymssql TCP:1433    │</w:t>
              <w:br/>
              <w:t>│                                               ▼                     │</w:t>
              <w:br/>
              <w:t>│  ┌──────────────────────────────┐   ┌─────────────────────────┐    │</w:t>
              <w:br/>
              <w:t>│  │  Invoice Scheduler           │   │  SQL Server             │    │</w:t>
              <w:br/>
              <w:t>│  │  invoice_scheduler_pymssql   │──►│  KBL-FIRS-SVR           │    │</w:t>
              <w:br/>
              <w:t>│  │  APScheduler · 5 min cycle   │   │  FIRSINVOICEDB          │    │</w:t>
              <w:br/>
              <w:t>│  └──────────────┬───────────────┘   │  · dbo.REPORT           │    │</w:t>
              <w:br/>
              <w:t>│                 │ pymssql TCP:1433   │  · dbo.FIRS_USERS       │    │</w:t>
              <w:br/>
              <w:t>│                 └───────────────────►│                         │    │</w:t>
              <w:br/>
              <w:t>│                                    └─────────────────────────┘    │</w:t>
              <w:br/>
              <w:t>└──────────────────────────────┬──────────────────────────────────────┘</w:t>
              <w:br/>
              <w:t xml:space="preserve">                               │ HTTPS (TLS 1.2+) outbound :443</w:t>
              <w:br/>
              <w:t xml:space="preserve">                               ▼</w:t>
              <w:br/>
              <w:t xml:space="preserve">              ┌────────────────────────────────┐</w:t>
              <w:br/>
              <w:t xml:space="preserve">              │  Cryptware FIRS API Gateway     │</w:t>
              <w:br/>
              <w:t xml:space="preserve">              │  preprod-api.cryptware...com    │</w:t>
              <w:br/>
              <w:t xml:space="preserve">              │  (PREPROD)  /  api.cryptware... │</w:t>
              <w:br/>
              <w:t xml:space="preserve">              │  (PRODUCTION)                   │</w:t>
              <w:br/>
              <w:t xml:space="preserve">              └──────────────┬─────────────────┘</w:t>
              <w:br/>
              <w:t xml:space="preserve">                             │</w:t>
              <w:br/>
              <w:t xml:space="preserve">                             ▼</w:t>
              <w:br/>
              <w:t xml:space="preserve">              ┌────────────────────────────────┐</w:t>
              <w:br/>
              <w:t xml:space="preserve">              │  FIRS NRS Portal               │</w:t>
              <w:br/>
              <w:t xml:space="preserve">              │  Federal Inland Revenue Service │</w:t>
              <w:br/>
              <w:t xml:space="preserve">              │  Issues IRN + QR Code URL       │</w:t>
              <w:br/>
              <w:t xml:space="preserve">              └────────────────────────────────┘</w:t>
            </w:r>
          </w:p>
        </w:tc>
      </w:tr>
    </w:tbl>
    <w:p>
      <w:pPr>
        <w:spacing w:after="60"/>
      </w:pPr>
    </w:p>
    <w:p>
      <w:pPr>
        <w:spacing w:before="220" w:after="60"/>
      </w:pPr>
      <w:r>
        <w:rPr>
          <w:b/>
          <w:color w:val="001F5B"/>
          <w:sz w:val="22"/>
        </w:rPr>
        <w:t>3.1  Architecture Pattern</w:t>
      </w:r>
    </w:p>
    <w:p>
      <w:pPr>
        <w:spacing w:before="40" w:after="60"/>
      </w:pPr>
      <w:r>
        <w:rPr>
          <w:b w:val="0"/>
          <w:i w:val="0"/>
          <w:color w:val="111827"/>
          <w:sz w:val="19"/>
        </w:rPr>
        <w:t>The system uses a Two-Tier architecture with a separation between the presentation/business logic tier (Flask + APScheduler on the application server) and the data tier (SQL Server). There is no application-level caching layer — all reads go directly to SQL Server, which is appropriate given the low-concurrency nature of the compliance use case (fewer than 20 simultaneous users expected).</w:t>
      </w:r>
    </w:p>
    <w:p>
      <w:pPr>
        <w:spacing w:before="40" w:after="60"/>
      </w:pPr>
      <w:r>
        <w:rPr>
          <w:b w:val="0"/>
          <w:i w:val="0"/>
          <w:color w:val="111827"/>
          <w:sz w:val="19"/>
        </w:rPr>
        <w:t>The Flask application follows a monolithic single-file design (dashboard.py) rather than a Blueprint-based microservice split. This was a deliberate decision to minimise deployment complexity on a Windows Server environment where the ops team has no containerisation infrastructure. All route handlers, decorators, and business logic live in a single module that is easy to read, modify, and restart without a build pipeline.</w:t>
      </w:r>
    </w:p>
    <w:p>
      <w:r>
        <w:br w:type="page"/>
      </w:r>
    </w:p>
    <w:p>
      <w:pPr>
        <w:spacing w:before="320" w:after="100"/>
        <w:pBdr>
          <w:bottom w:val="single" w:sz="8" w:space="2" w:color="003087"/>
        </w:pBdr>
      </w:pPr>
      <w:r>
        <w:rPr>
          <w:b/>
          <w:color w:val="003087"/>
          <w:sz w:val="26"/>
        </w:rPr>
        <w:t>4. Technology Stack</w:t>
      </w:r>
    </w:p>
    <w:tbl>
      <w:tblPr>
        <w:tblStyle w:val="TableGrid"/>
        <w:tblW w:type="auto" w:w="0"/>
        <w:jc w:val="left"/>
        <w:tblLook w:firstColumn="1" w:firstRow="1" w:lastColumn="0" w:lastRow="0" w:noHBand="0" w:noVBand="1" w:val="04A0"/>
      </w:tblPr>
      <w:tblGrid>
        <w:gridCol w:w="1872"/>
        <w:gridCol w:w="2304"/>
        <w:gridCol w:w="2160"/>
        <w:gridCol w:w="3312"/>
      </w:tblGrid>
      <w:tr>
        <w:tc>
          <w:tcPr>
            <w:tcW w:type="dxa" w:w="2354"/>
            <w:shd w:val="clear" w:color="auto" w:fill="003087"/>
            <w:vAlign w:val="center"/>
          </w:tcPr>
          <w:p>
            <w:pPr>
              <w:jc w:val="center"/>
            </w:pPr>
            <w:r>
              <w:rPr>
                <w:b/>
                <w:i w:val="0"/>
                <w:color w:val="FFFFFF"/>
                <w:sz w:val="18"/>
              </w:rPr>
              <w:t>Layer</w:t>
            </w:r>
          </w:p>
        </w:tc>
        <w:tc>
          <w:tcPr>
            <w:tcW w:type="dxa" w:w="2354"/>
            <w:shd w:val="clear" w:color="auto" w:fill="003087"/>
            <w:vAlign w:val="center"/>
          </w:tcPr>
          <w:p>
            <w:pPr>
              <w:jc w:val="center"/>
            </w:pPr>
            <w:r>
              <w:rPr>
                <w:b/>
                <w:i w:val="0"/>
                <w:color w:val="FFFFFF"/>
                <w:sz w:val="18"/>
              </w:rPr>
              <w:t>Technology</w:t>
            </w:r>
          </w:p>
        </w:tc>
        <w:tc>
          <w:tcPr>
            <w:tcW w:type="dxa" w:w="2354"/>
            <w:shd w:val="clear" w:color="auto" w:fill="003087"/>
            <w:vAlign w:val="center"/>
          </w:tcPr>
          <w:p>
            <w:pPr>
              <w:jc w:val="center"/>
            </w:pPr>
            <w:r>
              <w:rPr>
                <w:b/>
                <w:i w:val="0"/>
                <w:color w:val="FFFFFF"/>
                <w:sz w:val="18"/>
              </w:rPr>
              <w:t>Version</w:t>
            </w:r>
          </w:p>
        </w:tc>
        <w:tc>
          <w:tcPr>
            <w:tcW w:type="dxa" w:w="2354"/>
            <w:shd w:val="clear" w:color="auto" w:fill="003087"/>
            <w:vAlign w:val="center"/>
          </w:tcPr>
          <w:p>
            <w:pPr>
              <w:jc w:val="center"/>
            </w:pPr>
            <w:r>
              <w:rPr>
                <w:b/>
                <w:i w:val="0"/>
                <w:color w:val="FFFFFF"/>
                <w:sz w:val="18"/>
              </w:rPr>
              <w:t>Purpose</w:t>
            </w:r>
          </w:p>
        </w:tc>
      </w:tr>
      <w:tr>
        <w:tc>
          <w:tcPr>
            <w:tcW w:type="dxa" w:w="2354"/>
            <w:shd w:val="clear" w:color="auto" w:fill="FFFFFF"/>
            <w:vAlign w:val="center"/>
          </w:tcPr>
          <w:p>
            <w:pPr>
              <w:jc w:val="left"/>
            </w:pPr>
            <w:r>
              <w:rPr>
                <w:b/>
                <w:i w:val="0"/>
                <w:color w:val="001F5B"/>
                <w:sz w:val="18"/>
              </w:rPr>
              <w:t>Web Framework</w:t>
            </w:r>
          </w:p>
        </w:tc>
        <w:tc>
          <w:tcPr>
            <w:tcW w:type="dxa" w:w="2354"/>
            <w:shd w:val="clear" w:color="auto" w:fill="FFFFFF"/>
            <w:vAlign w:val="center"/>
          </w:tcPr>
          <w:p>
            <w:pPr>
              <w:jc w:val="left"/>
            </w:pPr>
            <w:r>
              <w:rPr>
                <w:b w:val="0"/>
                <w:i w:val="0"/>
                <w:color w:val="111827"/>
                <w:sz w:val="18"/>
              </w:rPr>
              <w:t>Flask</w:t>
            </w:r>
          </w:p>
        </w:tc>
        <w:tc>
          <w:tcPr>
            <w:tcW w:type="dxa" w:w="2354"/>
            <w:shd w:val="clear" w:color="auto" w:fill="FFFFFF"/>
            <w:vAlign w:val="center"/>
          </w:tcPr>
          <w:p>
            <w:pPr>
              <w:jc w:val="left"/>
            </w:pPr>
            <w:r>
              <w:rPr>
                <w:b w:val="0"/>
                <w:i w:val="0"/>
                <w:color w:val="6D28D9"/>
                <w:sz w:val="18"/>
              </w:rPr>
              <w:t>3.x</w:t>
            </w:r>
          </w:p>
        </w:tc>
        <w:tc>
          <w:tcPr>
            <w:tcW w:type="dxa" w:w="2354"/>
            <w:shd w:val="clear" w:color="auto" w:fill="FFFFFF"/>
            <w:vAlign w:val="center"/>
          </w:tcPr>
          <w:p>
            <w:pPr>
              <w:jc w:val="left"/>
            </w:pPr>
            <w:r>
              <w:rPr>
                <w:b w:val="0"/>
                <w:i w:val="0"/>
                <w:color w:val="111827"/>
                <w:sz w:val="18"/>
              </w:rPr>
              <w:t>HTTP routing, Jinja2 templates, session management, context processors</w:t>
            </w:r>
          </w:p>
        </w:tc>
      </w:tr>
      <w:tr>
        <w:tc>
          <w:tcPr>
            <w:tcW w:type="dxa" w:w="2354"/>
            <w:shd w:val="clear" w:color="auto" w:fill="F3F4F6"/>
            <w:vAlign w:val="center"/>
          </w:tcPr>
          <w:p>
            <w:pPr>
              <w:jc w:val="left"/>
            </w:pPr>
            <w:r>
              <w:rPr>
                <w:b/>
                <w:i w:val="0"/>
                <w:color w:val="001F5B"/>
                <w:sz w:val="18"/>
              </w:rPr>
              <w:t>WSGI Server</w:t>
            </w:r>
          </w:p>
        </w:tc>
        <w:tc>
          <w:tcPr>
            <w:tcW w:type="dxa" w:w="2354"/>
            <w:shd w:val="clear" w:color="auto" w:fill="F3F4F6"/>
            <w:vAlign w:val="center"/>
          </w:tcPr>
          <w:p>
            <w:pPr>
              <w:jc w:val="left"/>
            </w:pPr>
            <w:r>
              <w:rPr>
                <w:b w:val="0"/>
                <w:i w:val="0"/>
                <w:color w:val="111827"/>
                <w:sz w:val="18"/>
              </w:rPr>
              <w:t>Werkzeug</w:t>
            </w:r>
          </w:p>
        </w:tc>
        <w:tc>
          <w:tcPr>
            <w:tcW w:type="dxa" w:w="2354"/>
            <w:shd w:val="clear" w:color="auto" w:fill="F3F4F6"/>
            <w:vAlign w:val="center"/>
          </w:tcPr>
          <w:p>
            <w:pPr>
              <w:jc w:val="left"/>
            </w:pPr>
            <w:r>
              <w:rPr>
                <w:b w:val="0"/>
                <w:i w:val="0"/>
                <w:color w:val="6D28D9"/>
                <w:sz w:val="18"/>
              </w:rPr>
              <w:t>3.x</w:t>
            </w:r>
          </w:p>
        </w:tc>
        <w:tc>
          <w:tcPr>
            <w:tcW w:type="dxa" w:w="2354"/>
            <w:shd w:val="clear" w:color="auto" w:fill="F3F4F6"/>
            <w:vAlign w:val="center"/>
          </w:tcPr>
          <w:p>
            <w:pPr>
              <w:jc w:val="left"/>
            </w:pPr>
            <w:r>
              <w:rPr>
                <w:b w:val="0"/>
                <w:i w:val="0"/>
                <w:color w:val="111827"/>
                <w:sz w:val="18"/>
              </w:rPr>
              <w:t>Development WSGI server with SSL context support for self-hosted TLS</w:t>
            </w:r>
          </w:p>
        </w:tc>
      </w:tr>
      <w:tr>
        <w:tc>
          <w:tcPr>
            <w:tcW w:type="dxa" w:w="2354"/>
            <w:shd w:val="clear" w:color="auto" w:fill="FFFFFF"/>
            <w:vAlign w:val="center"/>
          </w:tcPr>
          <w:p>
            <w:pPr>
              <w:jc w:val="left"/>
            </w:pPr>
            <w:r>
              <w:rPr>
                <w:b/>
                <w:i w:val="0"/>
                <w:color w:val="001F5B"/>
                <w:sz w:val="18"/>
              </w:rPr>
              <w:t>HTTP Redirect</w:t>
            </w:r>
          </w:p>
        </w:tc>
        <w:tc>
          <w:tcPr>
            <w:tcW w:type="dxa" w:w="2354"/>
            <w:shd w:val="clear" w:color="auto" w:fill="FFFFFF"/>
            <w:vAlign w:val="center"/>
          </w:tcPr>
          <w:p>
            <w:pPr>
              <w:jc w:val="left"/>
            </w:pPr>
            <w:r>
              <w:rPr>
                <w:b w:val="0"/>
                <w:i w:val="0"/>
                <w:color w:val="111827"/>
                <w:sz w:val="18"/>
              </w:rPr>
              <w:t>wsgiref</w:t>
            </w:r>
          </w:p>
        </w:tc>
        <w:tc>
          <w:tcPr>
            <w:tcW w:type="dxa" w:w="2354"/>
            <w:shd w:val="clear" w:color="auto" w:fill="FFFFFF"/>
            <w:vAlign w:val="center"/>
          </w:tcPr>
          <w:p>
            <w:pPr>
              <w:jc w:val="left"/>
            </w:pPr>
            <w:r>
              <w:rPr>
                <w:b w:val="0"/>
                <w:i w:val="0"/>
                <w:color w:val="6D28D9"/>
                <w:sz w:val="18"/>
              </w:rPr>
              <w:t>stdlib</w:t>
            </w:r>
          </w:p>
        </w:tc>
        <w:tc>
          <w:tcPr>
            <w:tcW w:type="dxa" w:w="2354"/>
            <w:shd w:val="clear" w:color="auto" w:fill="FFFFFF"/>
            <w:vAlign w:val="center"/>
          </w:tcPr>
          <w:p>
            <w:pPr>
              <w:jc w:val="left"/>
            </w:pPr>
            <w:r>
              <w:rPr>
                <w:b w:val="0"/>
                <w:i w:val="0"/>
                <w:color w:val="111827"/>
                <w:sz w:val="18"/>
              </w:rPr>
              <w:t>Lightweight WSGI server serving 301 redirects from HTTP :5000 to HTTPS :5443</w:t>
            </w:r>
          </w:p>
        </w:tc>
      </w:tr>
      <w:tr>
        <w:tc>
          <w:tcPr>
            <w:tcW w:type="dxa" w:w="2354"/>
            <w:shd w:val="clear" w:color="auto" w:fill="F3F4F6"/>
            <w:vAlign w:val="center"/>
          </w:tcPr>
          <w:p>
            <w:pPr>
              <w:jc w:val="left"/>
            </w:pPr>
            <w:r>
              <w:rPr>
                <w:b/>
                <w:i w:val="0"/>
                <w:color w:val="001F5B"/>
                <w:sz w:val="18"/>
              </w:rPr>
              <w:t>Database Driver</w:t>
            </w:r>
          </w:p>
        </w:tc>
        <w:tc>
          <w:tcPr>
            <w:tcW w:type="dxa" w:w="2354"/>
            <w:shd w:val="clear" w:color="auto" w:fill="F3F4F6"/>
            <w:vAlign w:val="center"/>
          </w:tcPr>
          <w:p>
            <w:pPr>
              <w:jc w:val="left"/>
            </w:pPr>
            <w:r>
              <w:rPr>
                <w:b w:val="0"/>
                <w:i w:val="0"/>
                <w:color w:val="111827"/>
                <w:sz w:val="18"/>
              </w:rPr>
              <w:t>pymssql</w:t>
            </w:r>
          </w:p>
        </w:tc>
        <w:tc>
          <w:tcPr>
            <w:tcW w:type="dxa" w:w="2354"/>
            <w:shd w:val="clear" w:color="auto" w:fill="F3F4F6"/>
            <w:vAlign w:val="center"/>
          </w:tcPr>
          <w:p>
            <w:pPr>
              <w:jc w:val="left"/>
            </w:pPr>
            <w:r>
              <w:rPr>
                <w:b w:val="0"/>
                <w:i w:val="0"/>
                <w:color w:val="6D28D9"/>
                <w:sz w:val="18"/>
              </w:rPr>
              <w:t>2.x</w:t>
            </w:r>
          </w:p>
        </w:tc>
        <w:tc>
          <w:tcPr>
            <w:tcW w:type="dxa" w:w="2354"/>
            <w:shd w:val="clear" w:color="auto" w:fill="F3F4F6"/>
            <w:vAlign w:val="center"/>
          </w:tcPr>
          <w:p>
            <w:pPr>
              <w:jc w:val="left"/>
            </w:pPr>
            <w:r>
              <w:rPr>
                <w:b w:val="0"/>
                <w:i w:val="0"/>
                <w:color w:val="111827"/>
                <w:sz w:val="18"/>
              </w:rPr>
              <w:t>Python DB-API 2.0 driver for Microsoft SQL Server using FreeTDS</w:t>
            </w:r>
          </w:p>
        </w:tc>
      </w:tr>
      <w:tr>
        <w:tc>
          <w:tcPr>
            <w:tcW w:type="dxa" w:w="2354"/>
            <w:shd w:val="clear" w:color="auto" w:fill="FFFFFF"/>
            <w:vAlign w:val="center"/>
          </w:tcPr>
          <w:p>
            <w:pPr>
              <w:jc w:val="left"/>
            </w:pPr>
            <w:r>
              <w:rPr>
                <w:b/>
                <w:i w:val="0"/>
                <w:color w:val="001F5B"/>
                <w:sz w:val="18"/>
              </w:rPr>
              <w:t>Password Hashing</w:t>
            </w:r>
          </w:p>
        </w:tc>
        <w:tc>
          <w:tcPr>
            <w:tcW w:type="dxa" w:w="2354"/>
            <w:shd w:val="clear" w:color="auto" w:fill="FFFFFF"/>
            <w:vAlign w:val="center"/>
          </w:tcPr>
          <w:p>
            <w:pPr>
              <w:jc w:val="left"/>
            </w:pPr>
            <w:r>
              <w:rPr>
                <w:b w:val="0"/>
                <w:i w:val="0"/>
                <w:color w:val="111827"/>
                <w:sz w:val="18"/>
              </w:rPr>
              <w:t>Werkzeug Security</w:t>
            </w:r>
          </w:p>
        </w:tc>
        <w:tc>
          <w:tcPr>
            <w:tcW w:type="dxa" w:w="2354"/>
            <w:shd w:val="clear" w:color="auto" w:fill="FFFFFF"/>
            <w:vAlign w:val="center"/>
          </w:tcPr>
          <w:p>
            <w:pPr>
              <w:jc w:val="left"/>
            </w:pPr>
            <w:r>
              <w:rPr>
                <w:b w:val="0"/>
                <w:i w:val="0"/>
                <w:color w:val="6D28D9"/>
                <w:sz w:val="18"/>
              </w:rPr>
              <w:t>3.x</w:t>
            </w:r>
          </w:p>
        </w:tc>
        <w:tc>
          <w:tcPr>
            <w:tcW w:type="dxa" w:w="2354"/>
            <w:shd w:val="clear" w:color="auto" w:fill="FFFFFF"/>
            <w:vAlign w:val="center"/>
          </w:tcPr>
          <w:p>
            <w:pPr>
              <w:jc w:val="left"/>
            </w:pPr>
            <w:r>
              <w:rPr>
                <w:b w:val="0"/>
                <w:i w:val="0"/>
                <w:color w:val="111827"/>
                <w:sz w:val="18"/>
              </w:rPr>
              <w:t>PBKDF2-SHA256 with random salt — generate_password_hash / check_password_hash</w:t>
            </w:r>
          </w:p>
        </w:tc>
      </w:tr>
      <w:tr>
        <w:tc>
          <w:tcPr>
            <w:tcW w:type="dxa" w:w="2354"/>
            <w:shd w:val="clear" w:color="auto" w:fill="F3F4F6"/>
            <w:vAlign w:val="center"/>
          </w:tcPr>
          <w:p>
            <w:pPr>
              <w:jc w:val="left"/>
            </w:pPr>
            <w:r>
              <w:rPr>
                <w:b/>
                <w:i w:val="0"/>
                <w:color w:val="001F5B"/>
                <w:sz w:val="18"/>
              </w:rPr>
              <w:t>Scheduler</w:t>
            </w:r>
          </w:p>
        </w:tc>
        <w:tc>
          <w:tcPr>
            <w:tcW w:type="dxa" w:w="2354"/>
            <w:shd w:val="clear" w:color="auto" w:fill="F3F4F6"/>
            <w:vAlign w:val="center"/>
          </w:tcPr>
          <w:p>
            <w:pPr>
              <w:jc w:val="left"/>
            </w:pPr>
            <w:r>
              <w:rPr>
                <w:b w:val="0"/>
                <w:i w:val="0"/>
                <w:color w:val="111827"/>
                <w:sz w:val="18"/>
              </w:rPr>
              <w:t>APScheduler</w:t>
            </w:r>
          </w:p>
        </w:tc>
        <w:tc>
          <w:tcPr>
            <w:tcW w:type="dxa" w:w="2354"/>
            <w:shd w:val="clear" w:color="auto" w:fill="F3F4F6"/>
            <w:vAlign w:val="center"/>
          </w:tcPr>
          <w:p>
            <w:pPr>
              <w:jc w:val="left"/>
            </w:pPr>
            <w:r>
              <w:rPr>
                <w:b w:val="0"/>
                <w:i w:val="0"/>
                <w:color w:val="6D28D9"/>
                <w:sz w:val="18"/>
              </w:rPr>
              <w:t>3.x</w:t>
            </w:r>
          </w:p>
        </w:tc>
        <w:tc>
          <w:tcPr>
            <w:tcW w:type="dxa" w:w="2354"/>
            <w:shd w:val="clear" w:color="auto" w:fill="F3F4F6"/>
            <w:vAlign w:val="center"/>
          </w:tcPr>
          <w:p>
            <w:pPr>
              <w:jc w:val="left"/>
            </w:pPr>
            <w:r>
              <w:rPr>
                <w:b w:val="0"/>
                <w:i w:val="0"/>
                <w:color w:val="111827"/>
                <w:sz w:val="18"/>
              </w:rPr>
              <w:t>BlockingScheduler — 5-minute interval invoice submission job</w:t>
            </w:r>
          </w:p>
        </w:tc>
      </w:tr>
      <w:tr>
        <w:tc>
          <w:tcPr>
            <w:tcW w:type="dxa" w:w="2354"/>
            <w:shd w:val="clear" w:color="auto" w:fill="FFFFFF"/>
            <w:vAlign w:val="center"/>
          </w:tcPr>
          <w:p>
            <w:pPr>
              <w:jc w:val="left"/>
            </w:pPr>
            <w:r>
              <w:rPr>
                <w:b/>
                <w:i w:val="0"/>
                <w:color w:val="001F5B"/>
                <w:sz w:val="18"/>
              </w:rPr>
              <w:t>HTTP Client</w:t>
            </w:r>
          </w:p>
        </w:tc>
        <w:tc>
          <w:tcPr>
            <w:tcW w:type="dxa" w:w="2354"/>
            <w:shd w:val="clear" w:color="auto" w:fill="FFFFFF"/>
            <w:vAlign w:val="center"/>
          </w:tcPr>
          <w:p>
            <w:pPr>
              <w:jc w:val="left"/>
            </w:pPr>
            <w:r>
              <w:rPr>
                <w:b w:val="0"/>
                <w:i w:val="0"/>
                <w:color w:val="111827"/>
                <w:sz w:val="18"/>
              </w:rPr>
              <w:t>requests</w:t>
            </w:r>
          </w:p>
        </w:tc>
        <w:tc>
          <w:tcPr>
            <w:tcW w:type="dxa" w:w="2354"/>
            <w:shd w:val="clear" w:color="auto" w:fill="FFFFFF"/>
            <w:vAlign w:val="center"/>
          </w:tcPr>
          <w:p>
            <w:pPr>
              <w:jc w:val="left"/>
            </w:pPr>
            <w:r>
              <w:rPr>
                <w:b w:val="0"/>
                <w:i w:val="0"/>
                <w:color w:val="6D28D9"/>
                <w:sz w:val="18"/>
              </w:rPr>
              <w:t>2.x</w:t>
            </w:r>
          </w:p>
        </w:tc>
        <w:tc>
          <w:tcPr>
            <w:tcW w:type="dxa" w:w="2354"/>
            <w:shd w:val="clear" w:color="auto" w:fill="FFFFFF"/>
            <w:vAlign w:val="center"/>
          </w:tcPr>
          <w:p>
            <w:pPr>
              <w:jc w:val="left"/>
            </w:pPr>
            <w:r>
              <w:rPr>
                <w:b w:val="0"/>
                <w:i w:val="0"/>
                <w:color w:val="111827"/>
                <w:sz w:val="18"/>
              </w:rPr>
              <w:t>Outbound HTTPS POST to Cryptware FIRS API</w:t>
            </w:r>
          </w:p>
        </w:tc>
      </w:tr>
      <w:tr>
        <w:tc>
          <w:tcPr>
            <w:tcW w:type="dxa" w:w="2354"/>
            <w:shd w:val="clear" w:color="auto" w:fill="F3F4F6"/>
            <w:vAlign w:val="center"/>
          </w:tcPr>
          <w:p>
            <w:pPr>
              <w:jc w:val="left"/>
            </w:pPr>
            <w:r>
              <w:rPr>
                <w:b/>
                <w:i w:val="0"/>
                <w:color w:val="001F5B"/>
                <w:sz w:val="18"/>
              </w:rPr>
              <w:t>TLS Certificates</w:t>
            </w:r>
          </w:p>
        </w:tc>
        <w:tc>
          <w:tcPr>
            <w:tcW w:type="dxa" w:w="2354"/>
            <w:shd w:val="clear" w:color="auto" w:fill="F3F4F6"/>
            <w:vAlign w:val="center"/>
          </w:tcPr>
          <w:p>
            <w:pPr>
              <w:jc w:val="left"/>
            </w:pPr>
            <w:r>
              <w:rPr>
                <w:b w:val="0"/>
                <w:i w:val="0"/>
                <w:color w:val="111827"/>
                <w:sz w:val="18"/>
              </w:rPr>
              <w:t>cryptography</w:t>
            </w:r>
          </w:p>
        </w:tc>
        <w:tc>
          <w:tcPr>
            <w:tcW w:type="dxa" w:w="2354"/>
            <w:shd w:val="clear" w:color="auto" w:fill="F3F4F6"/>
            <w:vAlign w:val="center"/>
          </w:tcPr>
          <w:p>
            <w:pPr>
              <w:jc w:val="left"/>
            </w:pPr>
            <w:r>
              <w:rPr>
                <w:b w:val="0"/>
                <w:i w:val="0"/>
                <w:color w:val="6D28D9"/>
                <w:sz w:val="18"/>
              </w:rPr>
              <w:t>41+</w:t>
            </w:r>
          </w:p>
        </w:tc>
        <w:tc>
          <w:tcPr>
            <w:tcW w:type="dxa" w:w="2354"/>
            <w:shd w:val="clear" w:color="auto" w:fill="F3F4F6"/>
            <w:vAlign w:val="center"/>
          </w:tcPr>
          <w:p>
            <w:pPr>
              <w:jc w:val="left"/>
            </w:pPr>
            <w:r>
              <w:rPr>
                <w:b w:val="0"/>
                <w:i w:val="0"/>
                <w:color w:val="111827"/>
                <w:sz w:val="18"/>
              </w:rPr>
              <w:t>RSA 2048-bit self-signed X.509 certificate generation with SAN</w:t>
            </w:r>
          </w:p>
        </w:tc>
      </w:tr>
      <w:tr>
        <w:tc>
          <w:tcPr>
            <w:tcW w:type="dxa" w:w="2354"/>
            <w:shd w:val="clear" w:color="auto" w:fill="FFFFFF"/>
            <w:vAlign w:val="center"/>
          </w:tcPr>
          <w:p>
            <w:pPr>
              <w:jc w:val="left"/>
            </w:pPr>
            <w:r>
              <w:rPr>
                <w:b/>
                <w:i w:val="0"/>
                <w:color w:val="001F5B"/>
                <w:sz w:val="18"/>
              </w:rPr>
              <w:t>Excel Export</w:t>
            </w:r>
          </w:p>
        </w:tc>
        <w:tc>
          <w:tcPr>
            <w:tcW w:type="dxa" w:w="2354"/>
            <w:shd w:val="clear" w:color="auto" w:fill="FFFFFF"/>
            <w:vAlign w:val="center"/>
          </w:tcPr>
          <w:p>
            <w:pPr>
              <w:jc w:val="left"/>
            </w:pPr>
            <w:r>
              <w:rPr>
                <w:b w:val="0"/>
                <w:i w:val="0"/>
                <w:color w:val="111827"/>
                <w:sz w:val="18"/>
              </w:rPr>
              <w:t>openpyxl</w:t>
            </w:r>
          </w:p>
        </w:tc>
        <w:tc>
          <w:tcPr>
            <w:tcW w:type="dxa" w:w="2354"/>
            <w:shd w:val="clear" w:color="auto" w:fill="FFFFFF"/>
            <w:vAlign w:val="center"/>
          </w:tcPr>
          <w:p>
            <w:pPr>
              <w:jc w:val="left"/>
            </w:pPr>
            <w:r>
              <w:rPr>
                <w:b w:val="0"/>
                <w:i w:val="0"/>
                <w:color w:val="6D28D9"/>
                <w:sz w:val="18"/>
              </w:rPr>
              <w:t>3.x</w:t>
            </w:r>
          </w:p>
        </w:tc>
        <w:tc>
          <w:tcPr>
            <w:tcW w:type="dxa" w:w="2354"/>
            <w:shd w:val="clear" w:color="auto" w:fill="FFFFFF"/>
            <w:vAlign w:val="center"/>
          </w:tcPr>
          <w:p>
            <w:pPr>
              <w:jc w:val="left"/>
            </w:pPr>
            <w:r>
              <w:rPr>
                <w:b w:val="0"/>
                <w:i w:val="0"/>
                <w:color w:val="111827"/>
                <w:sz w:val="18"/>
              </w:rPr>
              <w:t>Multi-sheet .xlsx workbook generation for invoice and CFO report exports</w:t>
            </w:r>
          </w:p>
        </w:tc>
      </w:tr>
      <w:tr>
        <w:tc>
          <w:tcPr>
            <w:tcW w:type="dxa" w:w="2354"/>
            <w:shd w:val="clear" w:color="auto" w:fill="F3F4F6"/>
            <w:vAlign w:val="center"/>
          </w:tcPr>
          <w:p>
            <w:pPr>
              <w:jc w:val="left"/>
            </w:pPr>
            <w:r>
              <w:rPr>
                <w:b/>
                <w:i w:val="0"/>
                <w:color w:val="001F5B"/>
                <w:sz w:val="18"/>
              </w:rPr>
              <w:t>Frontend JS</w:t>
            </w:r>
          </w:p>
        </w:tc>
        <w:tc>
          <w:tcPr>
            <w:tcW w:type="dxa" w:w="2354"/>
            <w:shd w:val="clear" w:color="auto" w:fill="F3F4F6"/>
            <w:vAlign w:val="center"/>
          </w:tcPr>
          <w:p>
            <w:pPr>
              <w:jc w:val="left"/>
            </w:pPr>
            <w:r>
              <w:rPr>
                <w:b w:val="0"/>
                <w:i w:val="0"/>
                <w:color w:val="111827"/>
                <w:sz w:val="18"/>
              </w:rPr>
              <w:t>DataTables</w:t>
            </w:r>
          </w:p>
        </w:tc>
        <w:tc>
          <w:tcPr>
            <w:tcW w:type="dxa" w:w="2354"/>
            <w:shd w:val="clear" w:color="auto" w:fill="F3F4F6"/>
            <w:vAlign w:val="center"/>
          </w:tcPr>
          <w:p>
            <w:pPr>
              <w:jc w:val="left"/>
            </w:pPr>
            <w:r>
              <w:rPr>
                <w:b w:val="0"/>
                <w:i w:val="0"/>
                <w:color w:val="6D28D9"/>
                <w:sz w:val="18"/>
              </w:rPr>
              <w:t>1.13</w:t>
            </w:r>
          </w:p>
        </w:tc>
        <w:tc>
          <w:tcPr>
            <w:tcW w:type="dxa" w:w="2354"/>
            <w:shd w:val="clear" w:color="auto" w:fill="F3F4F6"/>
            <w:vAlign w:val="center"/>
          </w:tcPr>
          <w:p>
            <w:pPr>
              <w:jc w:val="left"/>
            </w:pPr>
            <w:r>
              <w:rPr>
                <w:b w:val="0"/>
                <w:i w:val="0"/>
                <w:color w:val="111827"/>
                <w:sz w:val="18"/>
              </w:rPr>
              <w:t>Server-side paginated table for invoice list — Ajax JSON API</w:t>
            </w:r>
          </w:p>
        </w:tc>
      </w:tr>
      <w:tr>
        <w:tc>
          <w:tcPr>
            <w:tcW w:type="dxa" w:w="2354"/>
            <w:shd w:val="clear" w:color="auto" w:fill="FFFFFF"/>
            <w:vAlign w:val="center"/>
          </w:tcPr>
          <w:p>
            <w:pPr>
              <w:jc w:val="left"/>
            </w:pPr>
            <w:r>
              <w:rPr>
                <w:b/>
                <w:i w:val="0"/>
                <w:color w:val="001F5B"/>
                <w:sz w:val="18"/>
              </w:rPr>
              <w:t>Frontend CSS</w:t>
            </w:r>
          </w:p>
        </w:tc>
        <w:tc>
          <w:tcPr>
            <w:tcW w:type="dxa" w:w="2354"/>
            <w:shd w:val="clear" w:color="auto" w:fill="FFFFFF"/>
            <w:vAlign w:val="center"/>
          </w:tcPr>
          <w:p>
            <w:pPr>
              <w:jc w:val="left"/>
            </w:pPr>
            <w:r>
              <w:rPr>
                <w:b w:val="0"/>
                <w:i w:val="0"/>
                <w:color w:val="111827"/>
                <w:sz w:val="18"/>
              </w:rPr>
              <w:t>Bootstrap</w:t>
            </w:r>
          </w:p>
        </w:tc>
        <w:tc>
          <w:tcPr>
            <w:tcW w:type="dxa" w:w="2354"/>
            <w:shd w:val="clear" w:color="auto" w:fill="FFFFFF"/>
            <w:vAlign w:val="center"/>
          </w:tcPr>
          <w:p>
            <w:pPr>
              <w:jc w:val="left"/>
            </w:pPr>
            <w:r>
              <w:rPr>
                <w:b w:val="0"/>
                <w:i w:val="0"/>
                <w:color w:val="6D28D9"/>
                <w:sz w:val="18"/>
              </w:rPr>
              <w:t>5.3</w:t>
            </w:r>
          </w:p>
        </w:tc>
        <w:tc>
          <w:tcPr>
            <w:tcW w:type="dxa" w:w="2354"/>
            <w:shd w:val="clear" w:color="auto" w:fill="FFFFFF"/>
            <w:vAlign w:val="center"/>
          </w:tcPr>
          <w:p>
            <w:pPr>
              <w:jc w:val="left"/>
            </w:pPr>
            <w:r>
              <w:rPr>
                <w:b w:val="0"/>
                <w:i w:val="0"/>
                <w:color w:val="111827"/>
                <w:sz w:val="18"/>
              </w:rPr>
              <w:t>Responsive layout, modals (session timeout, user management), badges</w:t>
            </w:r>
          </w:p>
        </w:tc>
      </w:tr>
      <w:tr>
        <w:tc>
          <w:tcPr>
            <w:tcW w:type="dxa" w:w="2354"/>
            <w:shd w:val="clear" w:color="auto" w:fill="F3F4F6"/>
            <w:vAlign w:val="center"/>
          </w:tcPr>
          <w:p>
            <w:pPr>
              <w:jc w:val="left"/>
            </w:pPr>
            <w:r>
              <w:rPr>
                <w:b/>
                <w:i w:val="0"/>
                <w:color w:val="001F5B"/>
                <w:sz w:val="18"/>
              </w:rPr>
              <w:t>Frontend Charts</w:t>
            </w:r>
          </w:p>
        </w:tc>
        <w:tc>
          <w:tcPr>
            <w:tcW w:type="dxa" w:w="2354"/>
            <w:shd w:val="clear" w:color="auto" w:fill="F3F4F6"/>
            <w:vAlign w:val="center"/>
          </w:tcPr>
          <w:p>
            <w:pPr>
              <w:jc w:val="left"/>
            </w:pPr>
            <w:r>
              <w:rPr>
                <w:b w:val="0"/>
                <w:i w:val="0"/>
                <w:color w:val="111827"/>
                <w:sz w:val="18"/>
              </w:rPr>
              <w:t>Chart.js</w:t>
            </w:r>
          </w:p>
        </w:tc>
        <w:tc>
          <w:tcPr>
            <w:tcW w:type="dxa" w:w="2354"/>
            <w:shd w:val="clear" w:color="auto" w:fill="F3F4F6"/>
            <w:vAlign w:val="center"/>
          </w:tcPr>
          <w:p>
            <w:pPr>
              <w:jc w:val="left"/>
            </w:pPr>
            <w:r>
              <w:rPr>
                <w:b w:val="0"/>
                <w:i w:val="0"/>
                <w:color w:val="6D28D9"/>
                <w:sz w:val="18"/>
              </w:rPr>
              <w:t>4.x</w:t>
            </w:r>
          </w:p>
        </w:tc>
        <w:tc>
          <w:tcPr>
            <w:tcW w:type="dxa" w:w="2354"/>
            <w:shd w:val="clear" w:color="auto" w:fill="F3F4F6"/>
            <w:vAlign w:val="center"/>
          </w:tcPr>
          <w:p>
            <w:pPr>
              <w:jc w:val="left"/>
            </w:pPr>
            <w:r>
              <w:rPr>
                <w:b w:val="0"/>
                <w:i w:val="0"/>
                <w:color w:val="111827"/>
                <w:sz w:val="18"/>
              </w:rPr>
              <w:t>Bar/line combo charts for invoice trends and CFO report visualisation</w:t>
            </w:r>
          </w:p>
        </w:tc>
      </w:tr>
      <w:tr>
        <w:tc>
          <w:tcPr>
            <w:tcW w:type="dxa" w:w="2354"/>
            <w:shd w:val="clear" w:color="auto" w:fill="FFFFFF"/>
            <w:vAlign w:val="center"/>
          </w:tcPr>
          <w:p>
            <w:pPr>
              <w:jc w:val="left"/>
            </w:pPr>
            <w:r>
              <w:rPr>
                <w:b/>
                <w:i w:val="0"/>
                <w:color w:val="001F5B"/>
                <w:sz w:val="18"/>
              </w:rPr>
              <w:t>Database</w:t>
            </w:r>
          </w:p>
        </w:tc>
        <w:tc>
          <w:tcPr>
            <w:tcW w:type="dxa" w:w="2354"/>
            <w:shd w:val="clear" w:color="auto" w:fill="FFFFFF"/>
            <w:vAlign w:val="center"/>
          </w:tcPr>
          <w:p>
            <w:pPr>
              <w:jc w:val="left"/>
            </w:pPr>
            <w:r>
              <w:rPr>
                <w:b w:val="0"/>
                <w:i w:val="0"/>
                <w:color w:val="111827"/>
                <w:sz w:val="18"/>
              </w:rPr>
              <w:t>SQL Server</w:t>
            </w:r>
          </w:p>
        </w:tc>
        <w:tc>
          <w:tcPr>
            <w:tcW w:type="dxa" w:w="2354"/>
            <w:shd w:val="clear" w:color="auto" w:fill="FFFFFF"/>
            <w:vAlign w:val="center"/>
          </w:tcPr>
          <w:p>
            <w:pPr>
              <w:jc w:val="left"/>
            </w:pPr>
            <w:r>
              <w:rPr>
                <w:b w:val="0"/>
                <w:i w:val="0"/>
                <w:color w:val="6D28D9"/>
                <w:sz w:val="18"/>
              </w:rPr>
              <w:t>2019</w:t>
            </w:r>
          </w:p>
        </w:tc>
        <w:tc>
          <w:tcPr>
            <w:tcW w:type="dxa" w:w="2354"/>
            <w:shd w:val="clear" w:color="auto" w:fill="FFFFFF"/>
            <w:vAlign w:val="center"/>
          </w:tcPr>
          <w:p>
            <w:pPr>
              <w:jc w:val="left"/>
            </w:pPr>
            <w:r>
              <w:rPr>
                <w:b w:val="0"/>
                <w:i w:val="0"/>
                <w:color w:val="111827"/>
                <w:sz w:val="18"/>
              </w:rPr>
              <w:t>Relational data store — dbo.REPORT (invoices), dbo.FIRS_USERS (auth)</w:t>
            </w:r>
          </w:p>
        </w:tc>
      </w:tr>
    </w:tbl>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5 — Component Design</w:t>
            </w:r>
          </w:p>
          <w:p>
            <w:pPr>
              <w:spacing w:before="0" w:after="100"/>
              <w:jc w:val="left"/>
            </w:pPr>
            <w:r>
              <w:rPr>
                <w:color w:val="BFD7FF"/>
                <w:sz w:val="17"/>
              </w:rPr>
              <w:t xml:space="preserve">  Dashboard · Scheduler · Configuration · SSL Layer</w:t>
            </w:r>
          </w:p>
        </w:tc>
      </w:tr>
    </w:tbl>
    <w:p>
      <w:pPr>
        <w:spacing w:after="80"/>
      </w:pPr>
    </w:p>
    <w:p>
      <w:pPr>
        <w:spacing w:before="320" w:after="100"/>
        <w:pBdr>
          <w:bottom w:val="single" w:sz="8" w:space="2" w:color="003087"/>
        </w:pBdr>
      </w:pPr>
      <w:r>
        <w:rPr>
          <w:b/>
          <w:color w:val="003087"/>
          <w:sz w:val="26"/>
        </w:rPr>
        <w:t>5. Component Design</w:t>
      </w:r>
    </w:p>
    <w:p>
      <w:pPr>
        <w:spacing w:before="220" w:after="60"/>
      </w:pPr>
      <w:r>
        <w:rPr>
          <w:b/>
          <w:color w:val="001F5B"/>
          <w:sz w:val="22"/>
        </w:rPr>
        <w:t>5.1  Dashboard Web Application  (dashboard.py)</w:t>
      </w:r>
    </w:p>
    <w:p>
      <w:pPr>
        <w:spacing w:before="40" w:after="60"/>
      </w:pPr>
      <w:r>
        <w:rPr>
          <w:b w:val="0"/>
          <w:i w:val="0"/>
          <w:color w:val="111827"/>
          <w:sz w:val="19"/>
        </w:rPr>
        <w:t>The dashboard is a Flask web application that serves as the primary human interface to the FIRS compliance system. It operates exclusively over HTTPS on port 5443 and runs a companion HTTP-to-HTTPS redirect service on port 5000 using a daemon thread backed by wsgiref. When the ssl/ directory contains a valid certificate and key pair, Flask is started with ssl_context=(cert_path, key_path) and debug=False to prevent the Werkzeug reloader from interfering with the multi-threaded startup sequence.</w:t>
      </w:r>
    </w:p>
    <w:p>
      <w:pPr>
        <w:spacing w:before="140" w:after="40"/>
      </w:pPr>
      <w:r>
        <w:rPr>
          <w:b/>
          <w:color w:val="003087"/>
          <w:sz w:val="20"/>
        </w:rPr>
        <w:t>5.1.1  Application Initialisation</w:t>
      </w:r>
    </w:p>
    <w:p>
      <w:pPr>
        <w:spacing w:before="40" w:after="60"/>
      </w:pPr>
      <w:r>
        <w:rPr>
          <w:b w:val="0"/>
          <w:i w:val="0"/>
          <w:color w:val="111827"/>
          <w:sz w:val="19"/>
        </w:rPr>
        <w:t>On startup, the application performs the following sequence in order:</w:t>
      </w:r>
    </w:p>
    <w:p>
      <w:pPr>
        <w:pStyle w:val="ListBullet"/>
        <w:spacing w:before="20" w:after="20"/>
      </w:pPr>
      <w:r>
        <w:rPr>
          <w:sz w:val="19"/>
        </w:rPr>
        <w:t>Loads config.json from the working directory into a Python dict</w:t>
      </w:r>
    </w:p>
    <w:p>
      <w:pPr>
        <w:pStyle w:val="ListBullet"/>
        <w:spacing w:before="20" w:after="20"/>
      </w:pPr>
      <w:r>
        <w:rPr>
          <w:sz w:val="19"/>
        </w:rPr>
        <w:t>Sets app.secret_key from config or falls back to a hardcoded default (PREPROD only)</w:t>
      </w:r>
    </w:p>
    <w:p>
      <w:pPr>
        <w:pStyle w:val="ListBullet"/>
        <w:spacing w:before="20" w:after="20"/>
      </w:pPr>
      <w:r>
        <w:rPr>
          <w:sz w:val="19"/>
        </w:rPr>
        <w:t>Sets app.config["PERMANENT_SESSION_LIFETIME"] to timedelta(minutes=15)</w:t>
      </w:r>
    </w:p>
    <w:p>
      <w:pPr>
        <w:pStyle w:val="ListBullet"/>
        <w:spacing w:before="20" w:after="20"/>
      </w:pPr>
      <w:r>
        <w:rPr>
          <w:sz w:val="19"/>
        </w:rPr>
        <w:t>Registers the before_request hook _check_session_timeout()</w:t>
      </w:r>
    </w:p>
    <w:p>
      <w:pPr>
        <w:pStyle w:val="ListBullet"/>
        <w:spacing w:before="20" w:after="20"/>
      </w:pPr>
      <w:r>
        <w:rPr>
          <w:sz w:val="19"/>
        </w:rPr>
        <w:t>Registers the context processor inject_globals() that exposes current_user, current_role, and ROLES to all templates</w:t>
      </w:r>
    </w:p>
    <w:p>
      <w:pPr>
        <w:pStyle w:val="ListBullet"/>
        <w:spacing w:before="20" w:after="20"/>
      </w:pPr>
      <w:r>
        <w:rPr>
          <w:sz w:val="19"/>
        </w:rPr>
        <w:t>Detects ssl/server.crt — if found, starts the HTTP redirect daemon thread and invokes app.run() with ssl_context</w:t>
      </w:r>
    </w:p>
    <w:p>
      <w:pPr>
        <w:pStyle w:val="ListBullet"/>
        <w:spacing w:before="20" w:after="20"/>
      </w:pPr>
      <w:r>
        <w:rPr>
          <w:sz w:val="19"/>
        </w:rPr>
        <w:t>If no SSL files found: starts on HTTP port 5000 only (development mode)</w:t>
      </w:r>
    </w:p>
    <w:p>
      <w:pPr>
        <w:spacing w:before="140" w:after="40"/>
      </w:pPr>
      <w:r>
        <w:rPr>
          <w:b/>
          <w:color w:val="003087"/>
          <w:sz w:val="20"/>
        </w:rPr>
        <w:t>5.1.2  Route Architecture</w:t>
      </w:r>
    </w:p>
    <w:p>
      <w:pPr>
        <w:spacing w:before="40" w:after="60"/>
      </w:pPr>
      <w:r>
        <w:rPr>
          <w:b w:val="0"/>
          <w:i w:val="0"/>
          <w:color w:val="111827"/>
          <w:sz w:val="19"/>
        </w:rPr>
        <w:t>Routes are grouped into six functional areas:</w:t>
      </w:r>
    </w:p>
    <w:tbl>
      <w:tblPr>
        <w:tblStyle w:val="TableGrid"/>
        <w:tblW w:type="auto" w:w="0"/>
        <w:jc w:val="left"/>
        <w:tblLook w:firstColumn="1" w:firstRow="1" w:lastColumn="0" w:lastRow="0" w:noHBand="0" w:noVBand="1" w:val="04A0"/>
      </w:tblPr>
      <w:tblGrid>
        <w:gridCol w:w="2592"/>
        <w:gridCol w:w="7056"/>
      </w:tblGrid>
      <w:tr>
        <w:tc>
          <w:tcPr>
            <w:tcW w:type="dxa" w:w="4707"/>
            <w:shd w:val="clear" w:color="auto" w:fill="F3F4F6"/>
            <w:vAlign w:val="center"/>
          </w:tcPr>
          <w:p>
            <w:pPr>
              <w:jc w:val="left"/>
            </w:pPr>
            <w:r>
              <w:rPr>
                <w:b/>
                <w:i w:val="0"/>
                <w:color w:val="001F5B"/>
                <w:sz w:val="18"/>
              </w:rPr>
              <w:t>Authentication</w:t>
            </w:r>
          </w:p>
        </w:tc>
        <w:tc>
          <w:tcPr>
            <w:tcW w:type="dxa" w:w="4707"/>
            <w:shd w:val="clear" w:color="auto" w:fill="FFFFFF"/>
            <w:vAlign w:val="center"/>
          </w:tcPr>
          <w:p>
            <w:pPr>
              <w:jc w:val="left"/>
            </w:pPr>
            <w:r>
              <w:rPr>
                <w:b w:val="0"/>
                <w:i w:val="0"/>
                <w:color w:val="111827"/>
                <w:sz w:val="18"/>
              </w:rPr>
              <w:t>/login  |  /logout  |  /api/ping</w:t>
            </w:r>
          </w:p>
        </w:tc>
      </w:tr>
      <w:tr>
        <w:tc>
          <w:tcPr>
            <w:tcW w:type="dxa" w:w="4707"/>
            <w:shd w:val="clear" w:color="auto" w:fill="F3F4F6"/>
            <w:vAlign w:val="center"/>
          </w:tcPr>
          <w:p>
            <w:pPr>
              <w:jc w:val="left"/>
            </w:pPr>
            <w:r>
              <w:rPr>
                <w:b/>
                <w:i w:val="0"/>
                <w:color w:val="001F5B"/>
                <w:sz w:val="18"/>
              </w:rPr>
              <w:t>Home Dashboard</w:t>
            </w:r>
          </w:p>
        </w:tc>
        <w:tc>
          <w:tcPr>
            <w:tcW w:type="dxa" w:w="4707"/>
            <w:shd w:val="clear" w:color="auto" w:fill="FFFFFF"/>
            <w:vAlign w:val="center"/>
          </w:tcPr>
          <w:p>
            <w:pPr>
              <w:jc w:val="left"/>
            </w:pPr>
            <w:r>
              <w:rPr>
                <w:b w:val="0"/>
                <w:i w:val="0"/>
                <w:color w:val="111827"/>
                <w:sz w:val="18"/>
              </w:rPr>
              <w:t>/ (index)  — KPI cards, recent activity, trend chart</w:t>
            </w:r>
          </w:p>
        </w:tc>
      </w:tr>
      <w:tr>
        <w:tc>
          <w:tcPr>
            <w:tcW w:type="dxa" w:w="4707"/>
            <w:shd w:val="clear" w:color="auto" w:fill="F3F4F6"/>
            <w:vAlign w:val="center"/>
          </w:tcPr>
          <w:p>
            <w:pPr>
              <w:jc w:val="left"/>
            </w:pPr>
            <w:r>
              <w:rPr>
                <w:b/>
                <w:i w:val="0"/>
                <w:color w:val="001F5B"/>
                <w:sz w:val="18"/>
              </w:rPr>
              <w:t>Invoice Module</w:t>
            </w:r>
          </w:p>
        </w:tc>
        <w:tc>
          <w:tcPr>
            <w:tcW w:type="dxa" w:w="4707"/>
            <w:shd w:val="clear" w:color="auto" w:fill="FFFFFF"/>
            <w:vAlign w:val="center"/>
          </w:tcPr>
          <w:p>
            <w:pPr>
              <w:jc w:val="left"/>
            </w:pPr>
            <w:r>
              <w:rPr>
                <w:b w:val="0"/>
                <w:i w:val="0"/>
                <w:color w:val="111827"/>
                <w:sz w:val="18"/>
              </w:rPr>
              <w:t>/invoices  |  /invoices/&lt;ref&gt;  |  /api/invoices (DataTables AJAX)</w:t>
            </w:r>
          </w:p>
        </w:tc>
      </w:tr>
      <w:tr>
        <w:tc>
          <w:tcPr>
            <w:tcW w:type="dxa" w:w="4707"/>
            <w:shd w:val="clear" w:color="auto" w:fill="F3F4F6"/>
            <w:vAlign w:val="center"/>
          </w:tcPr>
          <w:p>
            <w:pPr>
              <w:jc w:val="left"/>
            </w:pPr>
            <w:r>
              <w:rPr>
                <w:b/>
                <w:i w:val="0"/>
                <w:color w:val="001F5B"/>
                <w:sz w:val="18"/>
              </w:rPr>
              <w:t>Invoice Actions</w:t>
            </w:r>
          </w:p>
        </w:tc>
        <w:tc>
          <w:tcPr>
            <w:tcW w:type="dxa" w:w="4707"/>
            <w:shd w:val="clear" w:color="auto" w:fill="FFFFFF"/>
            <w:vAlign w:val="center"/>
          </w:tcPr>
          <w:p>
            <w:pPr>
              <w:jc w:val="left"/>
            </w:pPr>
            <w:r>
              <w:rPr>
                <w:b w:val="0"/>
                <w:i w:val="0"/>
                <w:color w:val="111827"/>
                <w:sz w:val="18"/>
              </w:rPr>
              <w:t>/invoices/&lt;ref&gt;/post  |  /invoices/&lt;ref&gt;/print  |  /invoices/&lt;ref&gt;/pdf  |  /invoices/export</w:t>
            </w:r>
          </w:p>
        </w:tc>
      </w:tr>
      <w:tr>
        <w:tc>
          <w:tcPr>
            <w:tcW w:type="dxa" w:w="4707"/>
            <w:shd w:val="clear" w:color="auto" w:fill="F3F4F6"/>
            <w:vAlign w:val="center"/>
          </w:tcPr>
          <w:p>
            <w:pPr>
              <w:jc w:val="left"/>
            </w:pPr>
            <w:r>
              <w:rPr>
                <w:b/>
                <w:i w:val="0"/>
                <w:color w:val="001F5B"/>
                <w:sz w:val="18"/>
              </w:rPr>
              <w:t>Report Module</w:t>
            </w:r>
          </w:p>
        </w:tc>
        <w:tc>
          <w:tcPr>
            <w:tcW w:type="dxa" w:w="4707"/>
            <w:shd w:val="clear" w:color="auto" w:fill="FFFFFF"/>
            <w:vAlign w:val="center"/>
          </w:tcPr>
          <w:p>
            <w:pPr>
              <w:jc w:val="left"/>
            </w:pPr>
            <w:r>
              <w:rPr>
                <w:b w:val="0"/>
                <w:i w:val="0"/>
                <w:color w:val="111827"/>
                <w:sz w:val="18"/>
              </w:rPr>
              <w:t>/report  |  /report/export</w:t>
            </w:r>
          </w:p>
        </w:tc>
      </w:tr>
      <w:tr>
        <w:tc>
          <w:tcPr>
            <w:tcW w:type="dxa" w:w="4707"/>
            <w:shd w:val="clear" w:color="auto" w:fill="F3F4F6"/>
            <w:vAlign w:val="center"/>
          </w:tcPr>
          <w:p>
            <w:pPr>
              <w:jc w:val="left"/>
            </w:pPr>
            <w:r>
              <w:rPr>
                <w:b/>
                <w:i w:val="0"/>
                <w:color w:val="001F5B"/>
                <w:sz w:val="18"/>
              </w:rPr>
              <w:t>Admin / RBAC</w:t>
            </w:r>
          </w:p>
        </w:tc>
        <w:tc>
          <w:tcPr>
            <w:tcW w:type="dxa" w:w="4707"/>
            <w:shd w:val="clear" w:color="auto" w:fill="FFFFFF"/>
            <w:vAlign w:val="center"/>
          </w:tcPr>
          <w:p>
            <w:pPr>
              <w:jc w:val="left"/>
            </w:pPr>
            <w:r>
              <w:rPr>
                <w:b w:val="0"/>
                <w:i w:val="0"/>
                <w:color w:val="111827"/>
                <w:sz w:val="18"/>
              </w:rPr>
              <w:t>/admin/users  |  /admin/users/add  |  /admin/users/&lt;email&gt;/edit, /reset-password, /delete</w:t>
            </w:r>
          </w:p>
        </w:tc>
      </w:tr>
    </w:tbl>
    <w:p>
      <w:pPr>
        <w:spacing w:after="80"/>
      </w:pPr>
    </w:p>
    <w:p>
      <w:pPr>
        <w:spacing w:before="140" w:after="40"/>
      </w:pPr>
      <w:r>
        <w:rPr>
          <w:b/>
          <w:color w:val="003087"/>
          <w:sz w:val="20"/>
        </w:rPr>
        <w:t>5.1.3  Request Middleware (before_request)</w:t>
      </w:r>
    </w:p>
    <w:p>
      <w:pPr>
        <w:spacing w:before="40" w:after="60"/>
      </w:pPr>
      <w:r>
        <w:rPr>
          <w:b w:val="0"/>
          <w:i w:val="0"/>
          <w:color w:val="111827"/>
          <w:sz w:val="19"/>
        </w:rPr>
        <w:t>Every HTTP request (except login, logout, and static) passes through _check_session_timeout(). This function reads the _last_activity timestamp from the Flask session and compares it against the current Unix timestamp. If the delta exceeds 900 seconds (15 minutes), the session is cleared and the user is redirected to the login page with a flash message. If the request is an AJAX/XHR request, a JSON 401 is returned instead of an HTML redirect so the client-side session timer can display the modal and then redirect the browser.</w:t>
      </w:r>
    </w:p>
    <w:p>
      <w:pPr>
        <w:spacing w:before="140" w:after="40"/>
      </w:pPr>
      <w:r>
        <w:rPr>
          <w:b/>
          <w:color w:val="003087"/>
          <w:sz w:val="20"/>
        </w:rPr>
        <w:t>5.1.4  Context Processor (inject_globals)</w:t>
      </w:r>
    </w:p>
    <w:p>
      <w:pPr>
        <w:spacing w:before="40" w:after="60"/>
      </w:pPr>
      <w:r>
        <w:rPr>
          <w:b w:val="0"/>
          <w:i w:val="0"/>
          <w:color w:val="111827"/>
          <w:sz w:val="19"/>
        </w:rPr>
        <w:t>The inject_globals() context processor runs before every template render and injects three variables into the Jinja2 template context:</w:t>
      </w:r>
    </w:p>
    <w:p>
      <w:pPr>
        <w:pStyle w:val="ListBullet"/>
        <w:spacing w:before="20" w:after="20"/>
      </w:pPr>
      <w:r>
        <w:rPr>
          <w:sz w:val="19"/>
        </w:rPr>
        <w:t>current_user — dict with email, full_name, role pulled from flask.session</w:t>
      </w:r>
    </w:p>
    <w:p>
      <w:pPr>
        <w:pStyle w:val="ListBullet"/>
        <w:spacing w:before="20" w:after="20"/>
      </w:pPr>
      <w:r>
        <w:rPr>
          <w:sz w:val="19"/>
        </w:rPr>
        <w:t>current_role — the ROLES dict entry for the logged-in user's role (contains can_post, can_report, can_export, can_admin boolean flags)</w:t>
      </w:r>
    </w:p>
    <w:p>
      <w:pPr>
        <w:pStyle w:val="ListBullet"/>
        <w:spacing w:before="20" w:after="20"/>
      </w:pPr>
      <w:r>
        <w:rPr>
          <w:sz w:val="19"/>
        </w:rPr>
        <w:t>ROLES — the full role definition dict, used by admin_users.html to render the permissions reference table</w:t>
      </w:r>
    </w:p>
    <w:p>
      <w:pPr>
        <w:spacing w:before="140" w:after="40"/>
      </w:pPr>
      <w:r>
        <w:rPr>
          <w:b/>
          <w:color w:val="003087"/>
          <w:sz w:val="20"/>
        </w:rPr>
        <w:t>5.1.5  Decorators</w:t>
      </w:r>
    </w:p>
    <w:tbl>
      <w:tblPr>
        <w:tblStyle w:val="TableGrid"/>
        <w:tblW w:type="auto" w:w="0"/>
        <w:jc w:val="left"/>
        <w:tblLook w:firstColumn="1" w:firstRow="1" w:lastColumn="0" w:lastRow="0" w:noHBand="0" w:noVBand="1" w:val="04A0"/>
      </w:tblPr>
      <w:tblGrid>
        <w:gridCol w:w="2880"/>
        <w:gridCol w:w="6768"/>
      </w:tblGrid>
      <w:tr>
        <w:tc>
          <w:tcPr>
            <w:tcW w:type="dxa" w:w="4707"/>
            <w:shd w:val="clear" w:color="auto" w:fill="F3F4F6"/>
            <w:vAlign w:val="center"/>
          </w:tcPr>
          <w:p>
            <w:pPr>
              <w:jc w:val="left"/>
            </w:pPr>
            <w:r>
              <w:rPr>
                <w:b/>
                <w:i w:val="0"/>
                <w:color w:val="001F5B"/>
                <w:sz w:val="18"/>
              </w:rPr>
              <w:t>login_required</w:t>
            </w:r>
          </w:p>
        </w:tc>
        <w:tc>
          <w:tcPr>
            <w:tcW w:type="dxa" w:w="4707"/>
            <w:shd w:val="clear" w:color="auto" w:fill="FFFFFF"/>
            <w:vAlign w:val="center"/>
          </w:tcPr>
          <w:p>
            <w:pPr>
              <w:jc w:val="left"/>
            </w:pPr>
            <w:r>
              <w:rPr>
                <w:b w:val="0"/>
                <w:i w:val="0"/>
                <w:color w:val="111827"/>
                <w:sz w:val="18"/>
              </w:rPr>
              <w:t>Checks session["user_id"] — redirects to /login if absent. Applied to all protected routes.</w:t>
            </w:r>
          </w:p>
        </w:tc>
      </w:tr>
      <w:tr>
        <w:tc>
          <w:tcPr>
            <w:tcW w:type="dxa" w:w="4707"/>
            <w:shd w:val="clear" w:color="auto" w:fill="F3F4F6"/>
            <w:vAlign w:val="center"/>
          </w:tcPr>
          <w:p>
            <w:pPr>
              <w:jc w:val="left"/>
            </w:pPr>
            <w:r>
              <w:rPr>
                <w:b/>
                <w:i w:val="0"/>
                <w:color w:val="001F5B"/>
                <w:sz w:val="18"/>
              </w:rPr>
              <w:t>role_required(role)</w:t>
            </w:r>
          </w:p>
        </w:tc>
        <w:tc>
          <w:tcPr>
            <w:tcW w:type="dxa" w:w="4707"/>
            <w:shd w:val="clear" w:color="auto" w:fill="FFFFFF"/>
            <w:vAlign w:val="center"/>
          </w:tcPr>
          <w:p>
            <w:pPr>
              <w:jc w:val="left"/>
            </w:pPr>
            <w:r>
              <w:rPr>
                <w:b w:val="0"/>
                <w:i w:val="0"/>
                <w:color w:val="111827"/>
                <w:sz w:val="18"/>
              </w:rPr>
              <w:t>Accepts a single role string or a list of roles. Checks current_role against the argument. Returns 403-style redirect + flash on failure.</w:t>
            </w:r>
          </w:p>
        </w:tc>
      </w:tr>
      <w:tr>
        <w:tc>
          <w:tcPr>
            <w:tcW w:type="dxa" w:w="4707"/>
            <w:shd w:val="clear" w:color="auto" w:fill="F3F4F6"/>
            <w:vAlign w:val="center"/>
          </w:tcPr>
          <w:p>
            <w:pPr>
              <w:jc w:val="left"/>
            </w:pPr>
            <w:r>
              <w:rPr>
                <w:b/>
                <w:i w:val="0"/>
                <w:color w:val="001F5B"/>
                <w:sz w:val="18"/>
              </w:rPr>
              <w:t>_check_lockout(ip)</w:t>
            </w:r>
          </w:p>
        </w:tc>
        <w:tc>
          <w:tcPr>
            <w:tcW w:type="dxa" w:w="4707"/>
            <w:shd w:val="clear" w:color="auto" w:fill="FFFFFF"/>
            <w:vAlign w:val="center"/>
          </w:tcPr>
          <w:p>
            <w:pPr>
              <w:jc w:val="left"/>
            </w:pPr>
            <w:r>
              <w:rPr>
                <w:b w:val="0"/>
                <w:i w:val="0"/>
                <w:color w:val="111827"/>
                <w:sz w:val="18"/>
              </w:rPr>
              <w:t>Called at the top of the /login POST handler. Returns a lockout duration in seconds (&gt;0 = locked) or 0 (allowed).</w:t>
            </w:r>
          </w:p>
        </w:tc>
      </w:tr>
      <w:tr>
        <w:tc>
          <w:tcPr>
            <w:tcW w:type="dxa" w:w="4707"/>
            <w:shd w:val="clear" w:color="auto" w:fill="F3F4F6"/>
            <w:vAlign w:val="center"/>
          </w:tcPr>
          <w:p>
            <w:pPr>
              <w:jc w:val="left"/>
            </w:pPr>
            <w:r>
              <w:rPr>
                <w:b/>
                <w:i w:val="0"/>
                <w:color w:val="001F5B"/>
                <w:sz w:val="18"/>
              </w:rPr>
              <w:t>_record_failure(ip)</w:t>
            </w:r>
          </w:p>
        </w:tc>
        <w:tc>
          <w:tcPr>
            <w:tcW w:type="dxa" w:w="4707"/>
            <w:shd w:val="clear" w:color="auto" w:fill="FFFFFF"/>
            <w:vAlign w:val="center"/>
          </w:tcPr>
          <w:p>
            <w:pPr>
              <w:jc w:val="left"/>
            </w:pPr>
            <w:r>
              <w:rPr>
                <w:b w:val="0"/>
                <w:i w:val="0"/>
                <w:color w:val="111827"/>
                <w:sz w:val="18"/>
              </w:rPr>
              <w:t>Increments the failed attempt counter for an IP in _login_attempts dict. Computes next lockout duration from LOCKOUT_SECS list.</w:t>
            </w:r>
          </w:p>
        </w:tc>
      </w:tr>
      <w:tr>
        <w:tc>
          <w:tcPr>
            <w:tcW w:type="dxa" w:w="4707"/>
            <w:shd w:val="clear" w:color="auto" w:fill="F3F4F6"/>
            <w:vAlign w:val="center"/>
          </w:tcPr>
          <w:p>
            <w:pPr>
              <w:jc w:val="left"/>
            </w:pPr>
            <w:r>
              <w:rPr>
                <w:b/>
                <w:i w:val="0"/>
                <w:color w:val="001F5B"/>
                <w:sz w:val="18"/>
              </w:rPr>
              <w:t>_clear_attempts(ip)</w:t>
            </w:r>
          </w:p>
        </w:tc>
        <w:tc>
          <w:tcPr>
            <w:tcW w:type="dxa" w:w="4707"/>
            <w:shd w:val="clear" w:color="auto" w:fill="FFFFFF"/>
            <w:vAlign w:val="center"/>
          </w:tcPr>
          <w:p>
            <w:pPr>
              <w:jc w:val="left"/>
            </w:pPr>
            <w:r>
              <w:rPr>
                <w:b w:val="0"/>
                <w:i w:val="0"/>
                <w:color w:val="111827"/>
                <w:sz w:val="18"/>
              </w:rPr>
              <w:t>Clears the IP entry from _login_attempts on successful login.</w:t>
            </w:r>
          </w:p>
        </w:tc>
      </w:tr>
    </w:tbl>
    <w:p>
      <w:pPr>
        <w:spacing w:after="80"/>
      </w:pPr>
    </w:p>
    <w:p>
      <w:pPr>
        <w:spacing w:before="140" w:after="40"/>
      </w:pPr>
      <w:r>
        <w:rPr>
          <w:b/>
          <w:color w:val="003087"/>
          <w:sz w:val="20"/>
        </w:rPr>
        <w:t>5.1.6  Invoice List — DataTables Server-Side Processing</w:t>
      </w:r>
    </w:p>
    <w:p>
      <w:pPr>
        <w:spacing w:before="40" w:after="60"/>
      </w:pPr>
      <w:r>
        <w:rPr>
          <w:b w:val="0"/>
          <w:i w:val="0"/>
          <w:color w:val="111827"/>
          <w:sz w:val="19"/>
        </w:rPr>
        <w:t>The invoice list page uses DataTables in server-side mode. The browser renders an empty table and immediately fires an AJAX GET request to /api/invoices with DataTables standard parameters: draw, start, length, search[value], and custom parameters currency and status. The Flask handler builds a parameterised SQL query with WHERE, LIKE, ORDER BY, OFFSET/FETCH clauses and returns a JSON object with: draw, recordsTotal, recordsFiltered, and data array. This design keeps the browser payload small regardless of the total invoice count.</w:t>
      </w:r>
    </w:p>
    <w:p>
      <w:pPr>
        <w:spacing w:before="140" w:after="40"/>
      </w:pPr>
      <w:r>
        <w:rPr>
          <w:b/>
          <w:color w:val="003087"/>
          <w:sz w:val="20"/>
        </w:rPr>
        <w:t>5.1.7  PDF Generation</w:t>
      </w:r>
    </w:p>
    <w:p>
      <w:pPr>
        <w:spacing w:before="40" w:after="60"/>
      </w:pPr>
      <w:r>
        <w:rPr>
          <w:b w:val="0"/>
          <w:i w:val="0"/>
          <w:color w:val="111827"/>
          <w:sz w:val="19"/>
        </w:rPr>
        <w:t>PDF invoice downloads are generated server-side using WeasyPrint or by rendering the print.html template and streaming it as a binary response with Content-Disposition: attachment. The print view template is shared between the browser print view and the PDF download endpoint, ensuring visual consistency. The Environment metadata row is conditionally excluded from the print/PDF template — only the IRN row is shown, satisfying FIRS compliance display requirements.</w:t>
      </w:r>
    </w:p>
    <w:p>
      <w:r>
        <w:br w:type="page"/>
      </w:r>
    </w:p>
    <w:p>
      <w:pPr>
        <w:spacing w:before="220" w:after="60"/>
      </w:pPr>
      <w:r>
        <w:rPr>
          <w:b/>
          <w:color w:val="001F5B"/>
          <w:sz w:val="22"/>
        </w:rPr>
        <w:t>5.2  Invoice Scheduler  (invoice_scheduler_pymssql.py)</w:t>
      </w:r>
    </w:p>
    <w:p>
      <w:pPr>
        <w:spacing w:before="40" w:after="60"/>
      </w:pPr>
      <w:r>
        <w:rPr>
          <w:b w:val="0"/>
          <w:i w:val="0"/>
          <w:color w:val="111827"/>
          <w:sz w:val="19"/>
        </w:rPr>
        <w:t>The scheduler is a standalone Python process running independently from the Flask dashboard. It uses APScheduler's BlockingScheduler with a five-minute IntervalTrigger. The blocking scheduler occupies the main thread, making it suitable for NSSM-managed Windows service deployment where the process lifecycle is managed by the service manager rather than application-level threading.</w:t>
      </w:r>
    </w:p>
    <w:p>
      <w:pPr>
        <w:spacing w:before="140" w:after="40"/>
      </w:pPr>
      <w:r>
        <w:rPr>
          <w:b/>
          <w:color w:val="003087"/>
          <w:sz w:val="20"/>
        </w:rPr>
        <w:t>5.2.1  Processing Cycle</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Data Flow / Sequence</w:t>
              <w:br/>
            </w:r>
            <w:r>
              <w:rPr>
                <w:rFonts w:ascii="Courier New" w:hAnsi="Courier New"/>
                <w:color w:val="111827"/>
                <w:sz w:val="16"/>
              </w:rPr>
              <w:t>Every 5 minutes:</w:t>
              <w:br/>
              <w:t xml:space="preserve">  1. Open pymssql connection to FIRSINVOICEDB</w:t>
              <w:br/>
              <w:t xml:space="preserve">  2. SELECT all rows WHERE REPORTING_STATUS IS NULL  (Pending)</w:t>
              <w:br/>
              <w:t xml:space="preserve">     ORDER BY BOOKING_DATE ASC  (oldest first)</w:t>
              <w:br/>
              <w:t xml:space="preserve">  3. For each pending invoice:</w:t>
              <w:br/>
              <w:t xml:space="preserve">     a. Build JSON payload (see Section 8.2)</w:t>
              <w:br/>
              <w:t xml:space="preserve">     b. POST to Cryptware FIRS API with api_key header</w:t>
              <w:br/>
              <w:t xml:space="preserve">     c. Parse JSON response</w:t>
              <w:br/>
              <w:t xml:space="preserve">        ├── SUCCESS (status='success')</w:t>
              <w:br/>
              <w:t xml:space="preserve">        │   UPDATE dbo.REPORT SET</w:t>
              <w:br/>
              <w:t xml:space="preserve">        │     REPORTING_STATUS = 1,</w:t>
              <w:br/>
              <w:t xml:space="preserve">        │     IRN = response['irn'],</w:t>
              <w:br/>
              <w:t xml:space="preserve">        │     QR_CODE_URL = response['qrCodeUrl'],</w:t>
              <w:br/>
              <w:t xml:space="preserve">        │     EXCEPTION_MESSAGE = NULL,</w:t>
              <w:br/>
              <w:t xml:space="preserve">        │     LAST_UPDATED = GETDATE()</w:t>
              <w:br/>
              <w:t xml:space="preserve">        │   WHERE TRANSACTION_REF = &lt;ref&gt;</w:t>
              <w:br/>
              <w:t xml:space="preserve">        └── FAILURE (API error / HTTP non-200 / timeout)</w:t>
              <w:br/>
              <w:t xml:space="preserve">            UPDATE dbo.REPORT SET</w:t>
              <w:br/>
              <w:t xml:space="preserve">              REPORTING_STATUS = 0,</w:t>
              <w:br/>
              <w:t xml:space="preserve">              EXCEPTION_MESSAGE = &lt;error_text&gt;,</w:t>
              <w:br/>
              <w:t xml:space="preserve">              LAST_UPDATED = GETDATE()</w:t>
              <w:br/>
              <w:t xml:space="preserve">            WHERE TRANSACTION_REF = &lt;ref&gt;</w:t>
              <w:br/>
              <w:t xml:space="preserve">  4. conn.commit() after each invoice update</w:t>
              <w:br/>
              <w:t xml:space="preserve">  5. Close connection</w:t>
              <w:br/>
              <w:t xml:space="preserve">  6. Sleep until next cycle (5 minutes)</w:t>
            </w:r>
          </w:p>
        </w:tc>
      </w:tr>
    </w:tbl>
    <w:p>
      <w:pPr>
        <w:spacing w:after="60"/>
      </w:pPr>
    </w:p>
    <w:p>
      <w:pPr>
        <w:spacing w:before="140" w:after="40"/>
      </w:pPr>
      <w:r>
        <w:rPr>
          <w:b/>
          <w:color w:val="003087"/>
          <w:sz w:val="20"/>
        </w:rPr>
        <w:t>5.2.2  Error Isolation</w:t>
      </w:r>
    </w:p>
    <w:p>
      <w:pPr>
        <w:spacing w:before="40" w:after="60"/>
      </w:pPr>
      <w:r>
        <w:rPr>
          <w:b w:val="0"/>
          <w:i w:val="0"/>
          <w:color w:val="111827"/>
          <w:sz w:val="19"/>
        </w:rPr>
        <w:t>Each invoice is processed in an individual try/except block. A failure on one invoice (API rejection, malformed data, timeout) does not halt processing of subsequent invoices. The scheduler continues iterating through all pending invoices regardless of individual failures, ensuring maximum throughput per cycle.</w:t>
      </w:r>
    </w:p>
    <w:p>
      <w:pPr>
        <w:spacing w:before="140" w:after="40"/>
      </w:pPr>
      <w:r>
        <w:rPr>
          <w:b/>
          <w:color w:val="003087"/>
          <w:sz w:val="20"/>
        </w:rPr>
        <w:t>5.2.3  Idempotency Guard</w:t>
      </w:r>
    </w:p>
    <w:p>
      <w:pPr>
        <w:spacing w:before="40" w:after="60"/>
      </w:pPr>
      <w:r>
        <w:rPr>
          <w:b w:val="0"/>
          <w:i w:val="0"/>
          <w:color w:val="111827"/>
          <w:sz w:val="19"/>
        </w:rPr>
        <w:t>The SELECT query filters exclusively on REPORTING_STATUS IS NULL. Once an invoice is successfully submitted (REPORTING_STATUS = 1), it is permanently excluded from all future scheduler cycles. Failed invoices (REPORTING_STATUS = 0) ARE included in subsequent cycles, allowing automatic retry. This means a failed invoice is retried every 5 minutes until either the underlying data issue is corrected or it succeeds.</w:t>
      </w:r>
    </w:p>
    <w:p>
      <w:pPr>
        <w:spacing w:before="220" w:after="60"/>
      </w:pPr>
      <w:r>
        <w:rPr>
          <w:b/>
          <w:color w:val="001F5B"/>
          <w:sz w:val="22"/>
        </w:rPr>
        <w:t>5.3  Configuration Module  (config.json)</w:t>
      </w:r>
    </w:p>
    <w:p>
      <w:pPr>
        <w:spacing w:before="40" w:after="60"/>
      </w:pPr>
      <w:r>
        <w:rPr>
          <w:b w:val="0"/>
          <w:i w:val="0"/>
          <w:color w:val="111827"/>
          <w:sz w:val="19"/>
        </w:rPr>
        <w:t>All environment-specific configuration is centralised in a single JSON file. Both the dashboard and scheduler load this file at startup from the working directory using open("config.json"). No environment variables, registry keys, or .env files are used, simplifying the operational model on Windows Server.</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config.json schema</w:t>
              <w:br/>
            </w:r>
            <w:r>
              <w:rPr>
                <w:rFonts w:ascii="Courier New" w:hAnsi="Courier New"/>
                <w:color w:val="111827"/>
                <w:sz w:val="16"/>
              </w:rPr>
              <w:t>{</w:t>
              <w:br/>
              <w:t xml:space="preserve">    "database": {</w:t>
              <w:br/>
              <w:t xml:space="preserve">        "server":   "KBL-FIRS-SVR",          // SQL Server hostname or IP</w:t>
              <w:br/>
              <w:t xml:space="preserve">        "name":     "FIRSINVOICEDB",           // Database name (fixed)</w:t>
              <w:br/>
              <w:t xml:space="preserve">        "user":     "sa",                      // SQL login (prefer dedicated svc account)</w:t>
              <w:br/>
              <w:t xml:space="preserve">        "password": "**********"               // SQL password — never commit to git</w:t>
              <w:br/>
              <w:t xml:space="preserve">    },</w:t>
              <w:br/>
              <w:t xml:space="preserve">    "api": {</w:t>
              <w:br/>
              <w:t xml:space="preserve">        "base_url":    "https://preprod-api.cryptwaresystemsltd.com",</w:t>
              <w:br/>
              <w:t xml:space="preserve">        "api_key":     "sk_live_f0ee420acf...", // Cryptware API key</w:t>
              <w:br/>
              <w:t xml:space="preserve">        "environment": "PREPROD"               // Display label only — no logic gating</w:t>
              <w:br/>
              <w:t xml:space="preserve">    },</w:t>
              <w:br/>
              <w:t xml:space="preserve">    "secret_key": "kb-firs-2026-xK9mP2qRsT7vWz" // Flask session signing key</w:t>
              <w:br/>
              <w:t>}</w:t>
            </w:r>
          </w:p>
        </w:tc>
      </w:tr>
    </w:tbl>
    <w:p>
      <w:pPr>
        <w:spacing w:after="60"/>
      </w:pPr>
    </w:p>
    <w:p>
      <w:pPr>
        <w:spacing w:before="220" w:after="60"/>
      </w:pPr>
      <w:r>
        <w:rPr>
          <w:b/>
          <w:color w:val="001F5B"/>
          <w:sz w:val="22"/>
        </w:rPr>
        <w:t>5.4  SSL / TLS Layer</w:t>
      </w:r>
    </w:p>
    <w:p>
      <w:pPr>
        <w:spacing w:before="40" w:after="60"/>
      </w:pPr>
      <w:r>
        <w:rPr>
          <w:b w:val="0"/>
          <w:i w:val="0"/>
          <w:color w:val="111827"/>
          <w:sz w:val="19"/>
        </w:rPr>
        <w:t>The TLS layer uses a self-signed X.509 certificate generated by generate_ssl_cert.py using the Python cryptography library. The certificate is RSA 2048-bit with SHA-256 signature, valid for 365 days, and includes a Subject Alternative Name (SAN) extension covering the server's static IP (10.40.24.41), localhost (127.0.0.1), and the hostname localhost.</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F3F4F6"/>
            <w:vAlign w:val="center"/>
          </w:tcPr>
          <w:p>
            <w:pPr>
              <w:jc w:val="left"/>
            </w:pPr>
            <w:r>
              <w:rPr>
                <w:b/>
                <w:i w:val="0"/>
                <w:color w:val="001F5B"/>
                <w:sz w:val="18"/>
              </w:rPr>
              <w:t>Key Algorithm</w:t>
            </w:r>
          </w:p>
        </w:tc>
        <w:tc>
          <w:tcPr>
            <w:tcW w:type="dxa" w:w="4707"/>
            <w:shd w:val="clear" w:color="auto" w:fill="FFFFFF"/>
            <w:vAlign w:val="center"/>
          </w:tcPr>
          <w:p>
            <w:pPr>
              <w:jc w:val="left"/>
            </w:pPr>
            <w:r>
              <w:rPr>
                <w:b w:val="0"/>
                <w:i w:val="0"/>
                <w:color w:val="111827"/>
                <w:sz w:val="18"/>
              </w:rPr>
              <w:t>RSA 2048-bit</w:t>
            </w:r>
          </w:p>
        </w:tc>
      </w:tr>
      <w:tr>
        <w:tc>
          <w:tcPr>
            <w:tcW w:type="dxa" w:w="4707"/>
            <w:shd w:val="clear" w:color="auto" w:fill="F3F4F6"/>
            <w:vAlign w:val="center"/>
          </w:tcPr>
          <w:p>
            <w:pPr>
              <w:jc w:val="left"/>
            </w:pPr>
            <w:r>
              <w:rPr>
                <w:b/>
                <w:i w:val="0"/>
                <w:color w:val="001F5B"/>
                <w:sz w:val="18"/>
              </w:rPr>
              <w:t>Signature Hash</w:t>
            </w:r>
          </w:p>
        </w:tc>
        <w:tc>
          <w:tcPr>
            <w:tcW w:type="dxa" w:w="4707"/>
            <w:shd w:val="clear" w:color="auto" w:fill="FFFFFF"/>
            <w:vAlign w:val="center"/>
          </w:tcPr>
          <w:p>
            <w:pPr>
              <w:jc w:val="left"/>
            </w:pPr>
            <w:r>
              <w:rPr>
                <w:b w:val="0"/>
                <w:i w:val="0"/>
                <w:color w:val="111827"/>
                <w:sz w:val="18"/>
              </w:rPr>
              <w:t>SHA-256 (SHA2)</w:t>
            </w:r>
          </w:p>
        </w:tc>
      </w:tr>
      <w:tr>
        <w:tc>
          <w:tcPr>
            <w:tcW w:type="dxa" w:w="4707"/>
            <w:shd w:val="clear" w:color="auto" w:fill="F3F4F6"/>
            <w:vAlign w:val="center"/>
          </w:tcPr>
          <w:p>
            <w:pPr>
              <w:jc w:val="left"/>
            </w:pPr>
            <w:r>
              <w:rPr>
                <w:b/>
                <w:i w:val="0"/>
                <w:color w:val="001F5B"/>
                <w:sz w:val="18"/>
              </w:rPr>
              <w:t>Certificate Type</w:t>
            </w:r>
          </w:p>
        </w:tc>
        <w:tc>
          <w:tcPr>
            <w:tcW w:type="dxa" w:w="4707"/>
            <w:shd w:val="clear" w:color="auto" w:fill="FFFFFF"/>
            <w:vAlign w:val="center"/>
          </w:tcPr>
          <w:p>
            <w:pPr>
              <w:jc w:val="left"/>
            </w:pPr>
            <w:r>
              <w:rPr>
                <w:b w:val="0"/>
                <w:i w:val="0"/>
                <w:color w:val="111827"/>
                <w:sz w:val="18"/>
              </w:rPr>
              <w:t>Self-signed X.509 v3</w:t>
            </w:r>
          </w:p>
        </w:tc>
      </w:tr>
      <w:tr>
        <w:tc>
          <w:tcPr>
            <w:tcW w:type="dxa" w:w="4707"/>
            <w:shd w:val="clear" w:color="auto" w:fill="F3F4F6"/>
            <w:vAlign w:val="center"/>
          </w:tcPr>
          <w:p>
            <w:pPr>
              <w:jc w:val="left"/>
            </w:pPr>
            <w:r>
              <w:rPr>
                <w:b/>
                <w:i w:val="0"/>
                <w:color w:val="001F5B"/>
                <w:sz w:val="18"/>
              </w:rPr>
              <w:t>Validity</w:t>
            </w:r>
          </w:p>
        </w:tc>
        <w:tc>
          <w:tcPr>
            <w:tcW w:type="dxa" w:w="4707"/>
            <w:shd w:val="clear" w:color="auto" w:fill="FFFFFF"/>
            <w:vAlign w:val="center"/>
          </w:tcPr>
          <w:p>
            <w:pPr>
              <w:jc w:val="left"/>
            </w:pPr>
            <w:r>
              <w:rPr>
                <w:b w:val="0"/>
                <w:i w:val="0"/>
                <w:color w:val="111827"/>
                <w:sz w:val="18"/>
              </w:rPr>
              <w:t>365 days from generation date</w:t>
            </w:r>
          </w:p>
        </w:tc>
      </w:tr>
      <w:tr>
        <w:tc>
          <w:tcPr>
            <w:tcW w:type="dxa" w:w="4707"/>
            <w:shd w:val="clear" w:color="auto" w:fill="F3F4F6"/>
            <w:vAlign w:val="center"/>
          </w:tcPr>
          <w:p>
            <w:pPr>
              <w:jc w:val="left"/>
            </w:pPr>
            <w:r>
              <w:rPr>
                <w:b/>
                <w:i w:val="0"/>
                <w:color w:val="001F5B"/>
                <w:sz w:val="18"/>
              </w:rPr>
              <w:t>SAN Entries</w:t>
            </w:r>
          </w:p>
        </w:tc>
        <w:tc>
          <w:tcPr>
            <w:tcW w:type="dxa" w:w="4707"/>
            <w:shd w:val="clear" w:color="auto" w:fill="FFFFFF"/>
            <w:vAlign w:val="center"/>
          </w:tcPr>
          <w:p>
            <w:pPr>
              <w:jc w:val="left"/>
            </w:pPr>
            <w:r>
              <w:rPr>
                <w:b w:val="0"/>
                <w:i w:val="0"/>
                <w:color w:val="111827"/>
                <w:sz w:val="18"/>
              </w:rPr>
              <w:t>10.40.24.41  |  127.0.0.1  |  localhost</w:t>
            </w:r>
          </w:p>
        </w:tc>
      </w:tr>
      <w:tr>
        <w:tc>
          <w:tcPr>
            <w:tcW w:type="dxa" w:w="4707"/>
            <w:shd w:val="clear" w:color="auto" w:fill="F3F4F6"/>
            <w:vAlign w:val="center"/>
          </w:tcPr>
          <w:p>
            <w:pPr>
              <w:jc w:val="left"/>
            </w:pPr>
            <w:r>
              <w:rPr>
                <w:b/>
                <w:i w:val="0"/>
                <w:color w:val="001F5B"/>
                <w:sz w:val="18"/>
              </w:rPr>
              <w:t>TLS Protocol</w:t>
            </w:r>
          </w:p>
        </w:tc>
        <w:tc>
          <w:tcPr>
            <w:tcW w:type="dxa" w:w="4707"/>
            <w:shd w:val="clear" w:color="auto" w:fill="FFFFFF"/>
            <w:vAlign w:val="center"/>
          </w:tcPr>
          <w:p>
            <w:pPr>
              <w:jc w:val="left"/>
            </w:pPr>
            <w:r>
              <w:rPr>
                <w:b w:val="0"/>
                <w:i w:val="0"/>
                <w:color w:val="111827"/>
                <w:sz w:val="18"/>
              </w:rPr>
              <w:t>TLS 1.2 minimum (enforced by Python ssl module defaults)</w:t>
            </w:r>
          </w:p>
        </w:tc>
      </w:tr>
      <w:tr>
        <w:tc>
          <w:tcPr>
            <w:tcW w:type="dxa" w:w="4707"/>
            <w:shd w:val="clear" w:color="auto" w:fill="F3F4F6"/>
            <w:vAlign w:val="center"/>
          </w:tcPr>
          <w:p>
            <w:pPr>
              <w:jc w:val="left"/>
            </w:pPr>
            <w:r>
              <w:rPr>
                <w:b/>
                <w:i w:val="0"/>
                <w:color w:val="001F5B"/>
                <w:sz w:val="18"/>
              </w:rPr>
              <w:t>Certificate Store</w:t>
            </w:r>
          </w:p>
        </w:tc>
        <w:tc>
          <w:tcPr>
            <w:tcW w:type="dxa" w:w="4707"/>
            <w:shd w:val="clear" w:color="auto" w:fill="FFFFFF"/>
            <w:vAlign w:val="center"/>
          </w:tcPr>
          <w:p>
            <w:pPr>
              <w:jc w:val="left"/>
            </w:pPr>
            <w:r>
              <w:rPr>
                <w:b w:val="0"/>
                <w:i w:val="0"/>
                <w:color w:val="111827"/>
                <w:sz w:val="18"/>
              </w:rPr>
              <w:t>Windows Trusted Root CA — installed via certutil (install_ssl_cert.bat)</w:t>
            </w:r>
          </w:p>
        </w:tc>
      </w:tr>
      <w:tr>
        <w:tc>
          <w:tcPr>
            <w:tcW w:type="dxa" w:w="4707"/>
            <w:shd w:val="clear" w:color="auto" w:fill="F3F4F6"/>
            <w:vAlign w:val="center"/>
          </w:tcPr>
          <w:p>
            <w:pPr>
              <w:jc w:val="left"/>
            </w:pPr>
            <w:r>
              <w:rPr>
                <w:b/>
                <w:i w:val="0"/>
                <w:color w:val="001F5B"/>
                <w:sz w:val="18"/>
              </w:rPr>
              <w:t>Key Storage</w:t>
            </w:r>
          </w:p>
        </w:tc>
        <w:tc>
          <w:tcPr>
            <w:tcW w:type="dxa" w:w="4707"/>
            <w:shd w:val="clear" w:color="auto" w:fill="FFFFFF"/>
            <w:vAlign w:val="center"/>
          </w:tcPr>
          <w:p>
            <w:pPr>
              <w:jc w:val="left"/>
            </w:pPr>
            <w:r>
              <w:rPr>
                <w:b w:val="0"/>
                <w:i w:val="0"/>
                <w:color w:val="111827"/>
                <w:sz w:val="18"/>
              </w:rPr>
              <w:t>ssl\server.key — filesystem, read-only to service account</w:t>
            </w:r>
          </w:p>
        </w:tc>
      </w:tr>
    </w:tbl>
    <w:p>
      <w:pPr>
        <w:spacing w:after="8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6 — Database Design</w:t>
            </w:r>
          </w:p>
          <w:p>
            <w:pPr>
              <w:spacing w:before="0" w:after="100"/>
              <w:jc w:val="left"/>
            </w:pPr>
            <w:r>
              <w:rPr>
                <w:color w:val="BFD7FF"/>
                <w:sz w:val="17"/>
              </w:rPr>
              <w:t xml:space="preserve">  Schema · Tables · Relationships · Indexes</w:t>
            </w:r>
          </w:p>
        </w:tc>
      </w:tr>
    </w:tbl>
    <w:p>
      <w:pPr>
        <w:spacing w:after="80"/>
      </w:pPr>
    </w:p>
    <w:p>
      <w:pPr>
        <w:spacing w:before="320" w:after="100"/>
        <w:pBdr>
          <w:bottom w:val="single" w:sz="8" w:space="2" w:color="003087"/>
        </w:pBdr>
      </w:pPr>
      <w:r>
        <w:rPr>
          <w:b/>
          <w:color w:val="003087"/>
          <w:sz w:val="26"/>
        </w:rPr>
        <w:t>6. Database Design</w:t>
      </w:r>
    </w:p>
    <w:p>
      <w:pPr>
        <w:spacing w:before="40" w:after="60"/>
      </w:pPr>
      <w:r>
        <w:rPr>
          <w:b w:val="0"/>
          <w:i w:val="0"/>
          <w:color w:val="111827"/>
          <w:sz w:val="19"/>
        </w:rPr>
        <w:t>The system uses two tables in the FIRSINVOICEDB SQL Server database. dbo.REPORT is the primary invoice data table, pre-populated by upstream ERP/core banking systems. dbo.FIRS_USERS is created and managed exclusively by this compliance system for dashboard authentication and RBAC.</w:t>
      </w:r>
    </w:p>
    <w:p>
      <w:pPr>
        <w:spacing w:before="220" w:after="60"/>
      </w:pPr>
      <w:r>
        <w:rPr>
          <w:b/>
          <w:color w:val="001F5B"/>
          <w:sz w:val="22"/>
        </w:rPr>
        <w:t>6.1  dbo.REPORT — Invoice Data Table</w:t>
      </w:r>
    </w:p>
    <w:p>
      <w:pPr>
        <w:spacing w:before="40" w:after="60"/>
      </w:pPr>
      <w:r>
        <w:rPr>
          <w:b w:val="0"/>
          <w:i w:val="0"/>
          <w:color w:val="111827"/>
          <w:sz w:val="19"/>
        </w:rPr>
        <w:t>This table is the single source of truth for all invoice data. It is populated by upstream processes (core banking, ERP) and read/updated by both the dashboard and scheduler. The compliance system never inserts rows — it only updates the compliance-related columns (REPORTING_STATUS, IRN, QR_CODE_URL, EXCEPTION_MESSAGE, LAST_UPDATED).</w:t>
      </w:r>
    </w:p>
    <w:tbl>
      <w:tblPr>
        <w:tblStyle w:val="TableGrid"/>
        <w:tblW w:type="auto" w:w="0"/>
        <w:jc w:val="left"/>
        <w:tblLook w:firstColumn="1" w:firstRow="1" w:lastColumn="0" w:lastRow="0" w:noHBand="0" w:noVBand="1" w:val="04A0"/>
      </w:tblPr>
      <w:tblGrid>
        <w:gridCol w:w="2354"/>
        <w:gridCol w:w="2354"/>
        <w:gridCol w:w="2354"/>
        <w:gridCol w:w="2354"/>
      </w:tblGrid>
      <w:tr>
        <w:tc>
          <w:tcPr>
            <w:tcW w:type="dxa" w:w="2880"/>
            <w:shd w:val="clear" w:color="auto" w:fill="003087"/>
            <w:vAlign w:val="center"/>
          </w:tcPr>
          <w:p>
            <w:pPr>
              <w:jc w:val="center"/>
            </w:pPr>
            <w:r>
              <w:rPr>
                <w:b/>
                <w:i w:val="0"/>
                <w:color w:val="FFFFFF"/>
                <w:sz w:val="17"/>
              </w:rPr>
              <w:t>Column Name</w:t>
            </w:r>
          </w:p>
        </w:tc>
        <w:tc>
          <w:tcPr>
            <w:tcW w:type="dxa" w:w="1872"/>
            <w:shd w:val="clear" w:color="auto" w:fill="003087"/>
            <w:vAlign w:val="center"/>
          </w:tcPr>
          <w:p>
            <w:pPr>
              <w:jc w:val="center"/>
            </w:pPr>
            <w:r>
              <w:rPr>
                <w:b/>
                <w:i w:val="0"/>
                <w:color w:val="FFFFFF"/>
                <w:sz w:val="17"/>
              </w:rPr>
              <w:t>Data Type</w:t>
            </w:r>
          </w:p>
        </w:tc>
        <w:tc>
          <w:tcPr>
            <w:tcW w:type="dxa" w:w="2016"/>
            <w:shd w:val="clear" w:color="auto" w:fill="003087"/>
            <w:vAlign w:val="center"/>
          </w:tcPr>
          <w:p>
            <w:pPr>
              <w:jc w:val="center"/>
            </w:pPr>
            <w:r>
              <w:rPr>
                <w:b/>
                <w:i w:val="0"/>
                <w:color w:val="FFFFFF"/>
                <w:sz w:val="17"/>
              </w:rPr>
              <w:t>SQL Type</w:t>
            </w:r>
          </w:p>
        </w:tc>
        <w:tc>
          <w:tcPr>
            <w:tcW w:type="dxa" w:w="2880"/>
            <w:shd w:val="clear" w:color="auto" w:fill="003087"/>
            <w:vAlign w:val="center"/>
          </w:tcPr>
          <w:p>
            <w:pPr>
              <w:jc w:val="center"/>
            </w:pPr>
            <w:r>
              <w:rPr>
                <w:b/>
                <w:i w:val="0"/>
                <w:color w:val="FFFFFF"/>
                <w:sz w:val="17"/>
              </w:rPr>
              <w:t>Description / Constraints</w:t>
            </w:r>
          </w:p>
        </w:tc>
      </w:tr>
      <w:tr>
        <w:tc>
          <w:tcPr>
            <w:tcW w:type="dxa" w:w="2354"/>
            <w:shd w:val="clear" w:color="auto" w:fill="FFFFFF"/>
            <w:vAlign w:val="center"/>
          </w:tcPr>
          <w:p>
            <w:pPr>
              <w:jc w:val="left"/>
            </w:pPr>
            <w:r>
              <w:rPr>
                <w:b/>
                <w:i w:val="0"/>
                <w:color w:val="111827"/>
                <w:sz w:val="17"/>
              </w:rPr>
              <w:t>TRANSACTION_REF</w:t>
            </w:r>
          </w:p>
        </w:tc>
        <w:tc>
          <w:tcPr>
            <w:tcW w:type="dxa" w:w="2354"/>
            <w:shd w:val="clear" w:color="auto" w:fill="FFFFFF"/>
            <w:vAlign w:val="center"/>
          </w:tcPr>
          <w:p>
            <w:pPr>
              <w:jc w:val="left"/>
            </w:pPr>
            <w:r>
              <w:rPr>
                <w:b w:val="0"/>
                <w:i w:val="0"/>
                <w:color w:val="111827"/>
                <w:sz w:val="17"/>
              </w:rPr>
              <w:t>String (PK)</w:t>
            </w:r>
          </w:p>
        </w:tc>
        <w:tc>
          <w:tcPr>
            <w:tcW w:type="dxa" w:w="2354"/>
            <w:shd w:val="clear" w:color="auto" w:fill="FFFFFF"/>
            <w:vAlign w:val="center"/>
          </w:tcPr>
          <w:p>
            <w:pPr>
              <w:jc w:val="left"/>
            </w:pPr>
            <w:r>
              <w:rPr>
                <w:b w:val="0"/>
                <w:i w:val="0"/>
                <w:color w:val="6D28D9"/>
                <w:sz w:val="17"/>
              </w:rPr>
              <w:t>NVARCHAR(100)</w:t>
            </w:r>
          </w:p>
        </w:tc>
        <w:tc>
          <w:tcPr>
            <w:tcW w:type="dxa" w:w="2354"/>
            <w:shd w:val="clear" w:color="auto" w:fill="FFFFFF"/>
            <w:vAlign w:val="center"/>
          </w:tcPr>
          <w:p>
            <w:pPr>
              <w:jc w:val="left"/>
            </w:pPr>
            <w:r>
              <w:rPr>
                <w:b w:val="0"/>
                <w:i w:val="0"/>
                <w:color w:val="111827"/>
                <w:sz w:val="17"/>
              </w:rPr>
              <w:t>Primary key. Unique invoice reference from core banking (e.g. FT26008939582204). Used as the FIRS invoiceNumber.</w:t>
            </w:r>
          </w:p>
        </w:tc>
      </w:tr>
      <w:tr>
        <w:tc>
          <w:tcPr>
            <w:tcW w:type="dxa" w:w="2354"/>
            <w:shd w:val="clear" w:color="auto" w:fill="F3F4F6"/>
            <w:vAlign w:val="center"/>
          </w:tcPr>
          <w:p>
            <w:pPr>
              <w:jc w:val="left"/>
            </w:pPr>
            <w:r>
              <w:rPr>
                <w:b/>
                <w:i w:val="0"/>
                <w:color w:val="111827"/>
                <w:sz w:val="17"/>
              </w:rPr>
              <w:t>BOOKING_DATE</w:t>
            </w:r>
          </w:p>
        </w:tc>
        <w:tc>
          <w:tcPr>
            <w:tcW w:type="dxa" w:w="2354"/>
            <w:shd w:val="clear" w:color="auto" w:fill="F3F4F6"/>
            <w:vAlign w:val="center"/>
          </w:tcPr>
          <w:p>
            <w:pPr>
              <w:jc w:val="left"/>
            </w:pPr>
            <w:r>
              <w:rPr>
                <w:b w:val="0"/>
                <w:i w:val="0"/>
                <w:color w:val="111827"/>
                <w:sz w:val="17"/>
              </w:rPr>
              <w:t>DateTime</w:t>
            </w:r>
          </w:p>
        </w:tc>
        <w:tc>
          <w:tcPr>
            <w:tcW w:type="dxa" w:w="2354"/>
            <w:shd w:val="clear" w:color="auto" w:fill="F3F4F6"/>
            <w:vAlign w:val="center"/>
          </w:tcPr>
          <w:p>
            <w:pPr>
              <w:jc w:val="left"/>
            </w:pPr>
            <w:r>
              <w:rPr>
                <w:b w:val="0"/>
                <w:i w:val="0"/>
                <w:color w:val="6D28D9"/>
                <w:sz w:val="17"/>
              </w:rPr>
              <w:t>DATETIME</w:t>
            </w:r>
          </w:p>
        </w:tc>
        <w:tc>
          <w:tcPr>
            <w:tcW w:type="dxa" w:w="2354"/>
            <w:shd w:val="clear" w:color="auto" w:fill="F3F4F6"/>
            <w:vAlign w:val="center"/>
          </w:tcPr>
          <w:p>
            <w:pPr>
              <w:jc w:val="left"/>
            </w:pPr>
            <w:r>
              <w:rPr>
                <w:b w:val="0"/>
                <w:i w:val="0"/>
                <w:color w:val="111827"/>
                <w:sz w:val="17"/>
              </w:rPr>
              <w:t>Date the invoice was booked in the core banking system. Mapped to invoiceDate in FIRS payload.</w:t>
            </w:r>
          </w:p>
        </w:tc>
      </w:tr>
      <w:tr>
        <w:tc>
          <w:tcPr>
            <w:tcW w:type="dxa" w:w="2354"/>
            <w:shd w:val="clear" w:color="auto" w:fill="FFFFFF"/>
            <w:vAlign w:val="center"/>
          </w:tcPr>
          <w:p>
            <w:pPr>
              <w:jc w:val="left"/>
            </w:pPr>
            <w:r>
              <w:rPr>
                <w:b/>
                <w:i w:val="0"/>
                <w:color w:val="111827"/>
                <w:sz w:val="17"/>
              </w:rPr>
              <w:t>CUSTOMER_NAME</w:t>
            </w:r>
          </w:p>
        </w:tc>
        <w:tc>
          <w:tcPr>
            <w:tcW w:type="dxa" w:w="2354"/>
            <w:shd w:val="clear" w:color="auto" w:fill="FFFFFF"/>
            <w:vAlign w:val="center"/>
          </w:tcPr>
          <w:p>
            <w:pPr>
              <w:jc w:val="left"/>
            </w:pPr>
            <w:r>
              <w:rPr>
                <w:b w:val="0"/>
                <w:i w:val="0"/>
                <w:color w:val="111827"/>
                <w:sz w:val="17"/>
              </w:rPr>
              <w:t>String</w:t>
            </w:r>
          </w:p>
        </w:tc>
        <w:tc>
          <w:tcPr>
            <w:tcW w:type="dxa" w:w="2354"/>
            <w:shd w:val="clear" w:color="auto" w:fill="FFFFFF"/>
            <w:vAlign w:val="center"/>
          </w:tcPr>
          <w:p>
            <w:pPr>
              <w:jc w:val="left"/>
            </w:pPr>
            <w:r>
              <w:rPr>
                <w:b w:val="0"/>
                <w:i w:val="0"/>
                <w:color w:val="6D28D9"/>
                <w:sz w:val="17"/>
              </w:rPr>
              <w:t>NVARCHAR(200)</w:t>
            </w:r>
          </w:p>
        </w:tc>
        <w:tc>
          <w:tcPr>
            <w:tcW w:type="dxa" w:w="2354"/>
            <w:shd w:val="clear" w:color="auto" w:fill="FFFFFF"/>
            <w:vAlign w:val="center"/>
          </w:tcPr>
          <w:p>
            <w:pPr>
              <w:jc w:val="left"/>
            </w:pPr>
            <w:r>
              <w:rPr>
                <w:b w:val="0"/>
                <w:i w:val="0"/>
                <w:color w:val="111827"/>
                <w:sz w:val="17"/>
              </w:rPr>
              <w:t>Legal name of the invoiced customer/entity. Maps to customer.name in FIRS payload.</w:t>
            </w:r>
          </w:p>
        </w:tc>
      </w:tr>
      <w:tr>
        <w:tc>
          <w:tcPr>
            <w:tcW w:type="dxa" w:w="2354"/>
            <w:shd w:val="clear" w:color="auto" w:fill="F3F4F6"/>
            <w:vAlign w:val="center"/>
          </w:tcPr>
          <w:p>
            <w:pPr>
              <w:jc w:val="left"/>
            </w:pPr>
            <w:r>
              <w:rPr>
                <w:b/>
                <w:i w:val="0"/>
                <w:color w:val="111827"/>
                <w:sz w:val="17"/>
              </w:rPr>
              <w:t>CUSTOMER_TIN</w:t>
            </w:r>
          </w:p>
        </w:tc>
        <w:tc>
          <w:tcPr>
            <w:tcW w:type="dxa" w:w="2354"/>
            <w:shd w:val="clear" w:color="auto" w:fill="F3F4F6"/>
            <w:vAlign w:val="center"/>
          </w:tcPr>
          <w:p>
            <w:pPr>
              <w:jc w:val="left"/>
            </w:pPr>
            <w:r>
              <w:rPr>
                <w:b w:val="0"/>
                <w:i w:val="0"/>
                <w:color w:val="111827"/>
                <w:sz w:val="17"/>
              </w:rPr>
              <w:t>String</w:t>
            </w:r>
          </w:p>
        </w:tc>
        <w:tc>
          <w:tcPr>
            <w:tcW w:type="dxa" w:w="2354"/>
            <w:shd w:val="clear" w:color="auto" w:fill="F3F4F6"/>
            <w:vAlign w:val="center"/>
          </w:tcPr>
          <w:p>
            <w:pPr>
              <w:jc w:val="left"/>
            </w:pPr>
            <w:r>
              <w:rPr>
                <w:b w:val="0"/>
                <w:i w:val="0"/>
                <w:color w:val="6D28D9"/>
                <w:sz w:val="17"/>
              </w:rPr>
              <w:t>NVARCHAR(20)</w:t>
            </w:r>
          </w:p>
        </w:tc>
        <w:tc>
          <w:tcPr>
            <w:tcW w:type="dxa" w:w="2354"/>
            <w:shd w:val="clear" w:color="auto" w:fill="F3F4F6"/>
            <w:vAlign w:val="center"/>
          </w:tcPr>
          <w:p>
            <w:pPr>
              <w:jc w:val="left"/>
            </w:pPr>
            <w:r>
              <w:rPr>
                <w:b w:val="0"/>
                <w:i w:val="0"/>
                <w:color w:val="111827"/>
                <w:sz w:val="17"/>
              </w:rPr>
              <w:t>Nigeria Tax Identification Number. Format: XXXXXXXX-XXXX. Required by FIRS API — NULL causes rejection.</w:t>
            </w:r>
          </w:p>
        </w:tc>
      </w:tr>
      <w:tr>
        <w:tc>
          <w:tcPr>
            <w:tcW w:type="dxa" w:w="2354"/>
            <w:shd w:val="clear" w:color="auto" w:fill="FFFFFF"/>
            <w:vAlign w:val="center"/>
          </w:tcPr>
          <w:p>
            <w:pPr>
              <w:jc w:val="left"/>
            </w:pPr>
            <w:r>
              <w:rPr>
                <w:b/>
                <w:i w:val="0"/>
                <w:color w:val="111827"/>
                <w:sz w:val="17"/>
              </w:rPr>
              <w:t>ACCOUNT_NUMBER</w:t>
            </w:r>
          </w:p>
        </w:tc>
        <w:tc>
          <w:tcPr>
            <w:tcW w:type="dxa" w:w="2354"/>
            <w:shd w:val="clear" w:color="auto" w:fill="FFFFFF"/>
            <w:vAlign w:val="center"/>
          </w:tcPr>
          <w:p>
            <w:pPr>
              <w:jc w:val="left"/>
            </w:pPr>
            <w:r>
              <w:rPr>
                <w:b w:val="0"/>
                <w:i w:val="0"/>
                <w:color w:val="111827"/>
                <w:sz w:val="17"/>
              </w:rPr>
              <w:t>String</w:t>
            </w:r>
          </w:p>
        </w:tc>
        <w:tc>
          <w:tcPr>
            <w:tcW w:type="dxa" w:w="2354"/>
            <w:shd w:val="clear" w:color="auto" w:fill="FFFFFF"/>
            <w:vAlign w:val="center"/>
          </w:tcPr>
          <w:p>
            <w:pPr>
              <w:jc w:val="left"/>
            </w:pPr>
            <w:r>
              <w:rPr>
                <w:b w:val="0"/>
                <w:i w:val="0"/>
                <w:color w:val="6D28D9"/>
                <w:sz w:val="17"/>
              </w:rPr>
              <w:t>NVARCHAR(20)</w:t>
            </w:r>
          </w:p>
        </w:tc>
        <w:tc>
          <w:tcPr>
            <w:tcW w:type="dxa" w:w="2354"/>
            <w:shd w:val="clear" w:color="auto" w:fill="FFFFFF"/>
            <w:vAlign w:val="center"/>
          </w:tcPr>
          <w:p>
            <w:pPr>
              <w:jc w:val="left"/>
            </w:pPr>
            <w:r>
              <w:rPr>
                <w:b w:val="0"/>
                <w:i w:val="0"/>
                <w:color w:val="111827"/>
                <w:sz w:val="17"/>
              </w:rPr>
              <w:t>Bank account number of the customer. Informational — included in invoice display.</w:t>
            </w:r>
          </w:p>
        </w:tc>
      </w:tr>
      <w:tr>
        <w:tc>
          <w:tcPr>
            <w:tcW w:type="dxa" w:w="2354"/>
            <w:shd w:val="clear" w:color="auto" w:fill="F3F4F6"/>
            <w:vAlign w:val="center"/>
          </w:tcPr>
          <w:p>
            <w:pPr>
              <w:jc w:val="left"/>
            </w:pPr>
            <w:r>
              <w:rPr>
                <w:b/>
                <w:i w:val="0"/>
                <w:color w:val="111827"/>
                <w:sz w:val="17"/>
              </w:rPr>
              <w:t>CUSTOMER_ADDRESS</w:t>
            </w:r>
          </w:p>
        </w:tc>
        <w:tc>
          <w:tcPr>
            <w:tcW w:type="dxa" w:w="2354"/>
            <w:shd w:val="clear" w:color="auto" w:fill="F3F4F6"/>
            <w:vAlign w:val="center"/>
          </w:tcPr>
          <w:p>
            <w:pPr>
              <w:jc w:val="left"/>
            </w:pPr>
            <w:r>
              <w:rPr>
                <w:b w:val="0"/>
                <w:i w:val="0"/>
                <w:color w:val="111827"/>
                <w:sz w:val="17"/>
              </w:rPr>
              <w:t>String</w:t>
            </w:r>
          </w:p>
        </w:tc>
        <w:tc>
          <w:tcPr>
            <w:tcW w:type="dxa" w:w="2354"/>
            <w:shd w:val="clear" w:color="auto" w:fill="F3F4F6"/>
            <w:vAlign w:val="center"/>
          </w:tcPr>
          <w:p>
            <w:pPr>
              <w:jc w:val="left"/>
            </w:pPr>
            <w:r>
              <w:rPr>
                <w:b w:val="0"/>
                <w:i w:val="0"/>
                <w:color w:val="6D28D9"/>
                <w:sz w:val="17"/>
              </w:rPr>
              <w:t>NVARCHAR(500)</w:t>
            </w:r>
          </w:p>
        </w:tc>
        <w:tc>
          <w:tcPr>
            <w:tcW w:type="dxa" w:w="2354"/>
            <w:shd w:val="clear" w:color="auto" w:fill="F3F4F6"/>
            <w:vAlign w:val="center"/>
          </w:tcPr>
          <w:p>
            <w:pPr>
              <w:jc w:val="left"/>
            </w:pPr>
            <w:r>
              <w:rPr>
                <w:b w:val="0"/>
                <w:i w:val="0"/>
                <w:color w:val="111827"/>
                <w:sz w:val="17"/>
              </w:rPr>
              <w:t>Registered address of the customer. Maps to customer.address in FIRS payload.</w:t>
            </w:r>
          </w:p>
        </w:tc>
      </w:tr>
      <w:tr>
        <w:tc>
          <w:tcPr>
            <w:tcW w:type="dxa" w:w="2354"/>
            <w:shd w:val="clear" w:color="auto" w:fill="FFFFFF"/>
            <w:vAlign w:val="center"/>
          </w:tcPr>
          <w:p>
            <w:pPr>
              <w:jc w:val="left"/>
            </w:pPr>
            <w:r>
              <w:rPr>
                <w:b/>
                <w:i w:val="0"/>
                <w:color w:val="111827"/>
                <w:sz w:val="17"/>
              </w:rPr>
              <w:t>CUSTOMER_PHONE</w:t>
            </w:r>
          </w:p>
        </w:tc>
        <w:tc>
          <w:tcPr>
            <w:tcW w:type="dxa" w:w="2354"/>
            <w:shd w:val="clear" w:color="auto" w:fill="FFFFFF"/>
            <w:vAlign w:val="center"/>
          </w:tcPr>
          <w:p>
            <w:pPr>
              <w:jc w:val="left"/>
            </w:pPr>
            <w:r>
              <w:rPr>
                <w:b w:val="0"/>
                <w:i w:val="0"/>
                <w:color w:val="111827"/>
                <w:sz w:val="17"/>
              </w:rPr>
              <w:t>String</w:t>
            </w:r>
          </w:p>
        </w:tc>
        <w:tc>
          <w:tcPr>
            <w:tcW w:type="dxa" w:w="2354"/>
            <w:shd w:val="clear" w:color="auto" w:fill="FFFFFF"/>
            <w:vAlign w:val="center"/>
          </w:tcPr>
          <w:p>
            <w:pPr>
              <w:jc w:val="left"/>
            </w:pPr>
            <w:r>
              <w:rPr>
                <w:b w:val="0"/>
                <w:i w:val="0"/>
                <w:color w:val="6D28D9"/>
                <w:sz w:val="17"/>
              </w:rPr>
              <w:t>NVARCHAR(30)</w:t>
            </w:r>
          </w:p>
        </w:tc>
        <w:tc>
          <w:tcPr>
            <w:tcW w:type="dxa" w:w="2354"/>
            <w:shd w:val="clear" w:color="auto" w:fill="FFFFFF"/>
            <w:vAlign w:val="center"/>
          </w:tcPr>
          <w:p>
            <w:pPr>
              <w:jc w:val="left"/>
            </w:pPr>
            <w:r>
              <w:rPr>
                <w:b w:val="0"/>
                <w:i w:val="0"/>
                <w:color w:val="111827"/>
                <w:sz w:val="17"/>
              </w:rPr>
              <w:t>Contact number. Informational — included in detail view.</w:t>
            </w:r>
          </w:p>
        </w:tc>
      </w:tr>
      <w:tr>
        <w:tc>
          <w:tcPr>
            <w:tcW w:type="dxa" w:w="2354"/>
            <w:shd w:val="clear" w:color="auto" w:fill="F3F4F6"/>
            <w:vAlign w:val="center"/>
          </w:tcPr>
          <w:p>
            <w:pPr>
              <w:jc w:val="left"/>
            </w:pPr>
            <w:r>
              <w:rPr>
                <w:b/>
                <w:i w:val="0"/>
                <w:color w:val="111827"/>
                <w:sz w:val="17"/>
              </w:rPr>
              <w:t>AMOUNT</w:t>
            </w:r>
          </w:p>
        </w:tc>
        <w:tc>
          <w:tcPr>
            <w:tcW w:type="dxa" w:w="2354"/>
            <w:shd w:val="clear" w:color="auto" w:fill="F3F4F6"/>
            <w:vAlign w:val="center"/>
          </w:tcPr>
          <w:p>
            <w:pPr>
              <w:jc w:val="left"/>
            </w:pPr>
            <w:r>
              <w:rPr>
                <w:b w:val="0"/>
                <w:i w:val="0"/>
                <w:color w:val="111827"/>
                <w:sz w:val="17"/>
              </w:rPr>
              <w:t>Decimal</w:t>
            </w:r>
          </w:p>
        </w:tc>
        <w:tc>
          <w:tcPr>
            <w:tcW w:type="dxa" w:w="2354"/>
            <w:shd w:val="clear" w:color="auto" w:fill="F3F4F6"/>
            <w:vAlign w:val="center"/>
          </w:tcPr>
          <w:p>
            <w:pPr>
              <w:jc w:val="left"/>
            </w:pPr>
            <w:r>
              <w:rPr>
                <w:b w:val="0"/>
                <w:i w:val="0"/>
                <w:color w:val="6D28D9"/>
                <w:sz w:val="17"/>
              </w:rPr>
              <w:t>DECIMAL(18,2)</w:t>
            </w:r>
          </w:p>
        </w:tc>
        <w:tc>
          <w:tcPr>
            <w:tcW w:type="dxa" w:w="2354"/>
            <w:shd w:val="clear" w:color="auto" w:fill="F3F4F6"/>
            <w:vAlign w:val="center"/>
          </w:tcPr>
          <w:p>
            <w:pPr>
              <w:jc w:val="left"/>
            </w:pPr>
            <w:r>
              <w:rPr>
                <w:b w:val="0"/>
                <w:i w:val="0"/>
                <w:color w:val="111827"/>
                <w:sz w:val="17"/>
              </w:rPr>
              <w:t>Pre-tax invoice amount in the invoice currency. Must be &gt;= 0.</w:t>
            </w:r>
          </w:p>
        </w:tc>
      </w:tr>
      <w:tr>
        <w:tc>
          <w:tcPr>
            <w:tcW w:type="dxa" w:w="2354"/>
            <w:shd w:val="clear" w:color="auto" w:fill="FFFFFF"/>
            <w:vAlign w:val="center"/>
          </w:tcPr>
          <w:p>
            <w:pPr>
              <w:jc w:val="left"/>
            </w:pPr>
            <w:r>
              <w:rPr>
                <w:b/>
                <w:i w:val="0"/>
                <w:color w:val="111827"/>
                <w:sz w:val="17"/>
              </w:rPr>
              <w:t>VAT_AMOUNT</w:t>
            </w:r>
          </w:p>
        </w:tc>
        <w:tc>
          <w:tcPr>
            <w:tcW w:type="dxa" w:w="2354"/>
            <w:shd w:val="clear" w:color="auto" w:fill="FFFFFF"/>
            <w:vAlign w:val="center"/>
          </w:tcPr>
          <w:p>
            <w:pPr>
              <w:jc w:val="left"/>
            </w:pPr>
            <w:r>
              <w:rPr>
                <w:b w:val="0"/>
                <w:i w:val="0"/>
                <w:color w:val="111827"/>
                <w:sz w:val="17"/>
              </w:rPr>
              <w:t>Decimal</w:t>
            </w:r>
          </w:p>
        </w:tc>
        <w:tc>
          <w:tcPr>
            <w:tcW w:type="dxa" w:w="2354"/>
            <w:shd w:val="clear" w:color="auto" w:fill="FFFFFF"/>
            <w:vAlign w:val="center"/>
          </w:tcPr>
          <w:p>
            <w:pPr>
              <w:jc w:val="left"/>
            </w:pPr>
            <w:r>
              <w:rPr>
                <w:b w:val="0"/>
                <w:i w:val="0"/>
                <w:color w:val="6D28D9"/>
                <w:sz w:val="17"/>
              </w:rPr>
              <w:t>DECIMAL(18,2)</w:t>
            </w:r>
          </w:p>
        </w:tc>
        <w:tc>
          <w:tcPr>
            <w:tcW w:type="dxa" w:w="2354"/>
            <w:shd w:val="clear" w:color="auto" w:fill="FFFFFF"/>
            <w:vAlign w:val="center"/>
          </w:tcPr>
          <w:p>
            <w:pPr>
              <w:jc w:val="left"/>
            </w:pPr>
            <w:r>
              <w:rPr>
                <w:b w:val="0"/>
                <w:i w:val="0"/>
                <w:color w:val="111827"/>
                <w:sz w:val="17"/>
              </w:rPr>
              <w:t>Value Added Tax amount (typically AMOUNT × 7.5% for NGN). May differ for foreign currency invoices.</w:t>
            </w:r>
          </w:p>
        </w:tc>
      </w:tr>
      <w:tr>
        <w:tc>
          <w:tcPr>
            <w:tcW w:type="dxa" w:w="2354"/>
            <w:shd w:val="clear" w:color="auto" w:fill="F3F4F6"/>
            <w:vAlign w:val="center"/>
          </w:tcPr>
          <w:p>
            <w:pPr>
              <w:jc w:val="left"/>
            </w:pPr>
            <w:r>
              <w:rPr>
                <w:b/>
                <w:i w:val="0"/>
                <w:color w:val="111827"/>
                <w:sz w:val="17"/>
              </w:rPr>
              <w:t>CURRENCY_CODE</w:t>
            </w:r>
          </w:p>
        </w:tc>
        <w:tc>
          <w:tcPr>
            <w:tcW w:type="dxa" w:w="2354"/>
            <w:shd w:val="clear" w:color="auto" w:fill="F3F4F6"/>
            <w:vAlign w:val="center"/>
          </w:tcPr>
          <w:p>
            <w:pPr>
              <w:jc w:val="left"/>
            </w:pPr>
            <w:r>
              <w:rPr>
                <w:b w:val="0"/>
                <w:i w:val="0"/>
                <w:color w:val="111827"/>
                <w:sz w:val="17"/>
              </w:rPr>
              <w:t>String</w:t>
            </w:r>
          </w:p>
        </w:tc>
        <w:tc>
          <w:tcPr>
            <w:tcW w:type="dxa" w:w="2354"/>
            <w:shd w:val="clear" w:color="auto" w:fill="F3F4F6"/>
            <w:vAlign w:val="center"/>
          </w:tcPr>
          <w:p>
            <w:pPr>
              <w:jc w:val="left"/>
            </w:pPr>
            <w:r>
              <w:rPr>
                <w:b w:val="0"/>
                <w:i w:val="0"/>
                <w:color w:val="6D28D9"/>
                <w:sz w:val="17"/>
              </w:rPr>
              <w:t>NVARCHAR(3)</w:t>
            </w:r>
          </w:p>
        </w:tc>
        <w:tc>
          <w:tcPr>
            <w:tcW w:type="dxa" w:w="2354"/>
            <w:shd w:val="clear" w:color="auto" w:fill="F3F4F6"/>
            <w:vAlign w:val="center"/>
          </w:tcPr>
          <w:p>
            <w:pPr>
              <w:jc w:val="left"/>
            </w:pPr>
            <w:r>
              <w:rPr>
                <w:b w:val="0"/>
                <w:i w:val="0"/>
                <w:color w:val="111827"/>
                <w:sz w:val="17"/>
              </w:rPr>
              <w:t>ISO 4217 currency code: NGN, USD, GBP, EUR. Critical for correct display — never defaulted.</w:t>
            </w:r>
          </w:p>
        </w:tc>
      </w:tr>
      <w:tr>
        <w:tc>
          <w:tcPr>
            <w:tcW w:type="dxa" w:w="2354"/>
            <w:shd w:val="clear" w:color="auto" w:fill="FFFFFF"/>
            <w:vAlign w:val="center"/>
          </w:tcPr>
          <w:p>
            <w:pPr>
              <w:jc w:val="left"/>
            </w:pPr>
            <w:r>
              <w:rPr>
                <w:b/>
                <w:i w:val="0"/>
                <w:color w:val="111827"/>
                <w:sz w:val="17"/>
              </w:rPr>
              <w:t>INVOICE_TYPE</w:t>
            </w:r>
          </w:p>
        </w:tc>
        <w:tc>
          <w:tcPr>
            <w:tcW w:type="dxa" w:w="2354"/>
            <w:shd w:val="clear" w:color="auto" w:fill="FFFFFF"/>
            <w:vAlign w:val="center"/>
          </w:tcPr>
          <w:p>
            <w:pPr>
              <w:jc w:val="left"/>
            </w:pPr>
            <w:r>
              <w:rPr>
                <w:b w:val="0"/>
                <w:i w:val="0"/>
                <w:color w:val="111827"/>
                <w:sz w:val="17"/>
              </w:rPr>
              <w:t>String</w:t>
            </w:r>
          </w:p>
        </w:tc>
        <w:tc>
          <w:tcPr>
            <w:tcW w:type="dxa" w:w="2354"/>
            <w:shd w:val="clear" w:color="auto" w:fill="FFFFFF"/>
            <w:vAlign w:val="center"/>
          </w:tcPr>
          <w:p>
            <w:pPr>
              <w:jc w:val="left"/>
            </w:pPr>
            <w:r>
              <w:rPr>
                <w:b w:val="0"/>
                <w:i w:val="0"/>
                <w:color w:val="6D28D9"/>
                <w:sz w:val="17"/>
              </w:rPr>
              <w:t>NVARCHAR(30)</w:t>
            </w:r>
          </w:p>
        </w:tc>
        <w:tc>
          <w:tcPr>
            <w:tcW w:type="dxa" w:w="2354"/>
            <w:shd w:val="clear" w:color="auto" w:fill="FFFFFF"/>
            <w:vAlign w:val="center"/>
          </w:tcPr>
          <w:p>
            <w:pPr>
              <w:jc w:val="left"/>
            </w:pPr>
            <w:r>
              <w:rPr>
                <w:b w:val="0"/>
                <w:i w:val="0"/>
                <w:color w:val="111827"/>
                <w:sz w:val="17"/>
              </w:rPr>
              <w:t>Invoice classification: Sales Invoice, Credit Note, or Debit Note.</w:t>
            </w:r>
          </w:p>
        </w:tc>
      </w:tr>
      <w:tr>
        <w:tc>
          <w:tcPr>
            <w:tcW w:type="dxa" w:w="2354"/>
            <w:shd w:val="clear" w:color="auto" w:fill="F3F4F6"/>
            <w:vAlign w:val="center"/>
          </w:tcPr>
          <w:p>
            <w:pPr>
              <w:jc w:val="left"/>
            </w:pPr>
            <w:r>
              <w:rPr>
                <w:b/>
                <w:i w:val="0"/>
                <w:color w:val="111827"/>
                <w:sz w:val="17"/>
              </w:rPr>
              <w:t>TAX_CATEGORY</w:t>
            </w:r>
          </w:p>
        </w:tc>
        <w:tc>
          <w:tcPr>
            <w:tcW w:type="dxa" w:w="2354"/>
            <w:shd w:val="clear" w:color="auto" w:fill="F3F4F6"/>
            <w:vAlign w:val="center"/>
          </w:tcPr>
          <w:p>
            <w:pPr>
              <w:jc w:val="left"/>
            </w:pPr>
            <w:r>
              <w:rPr>
                <w:b w:val="0"/>
                <w:i w:val="0"/>
                <w:color w:val="111827"/>
                <w:sz w:val="17"/>
              </w:rPr>
              <w:t>String</w:t>
            </w:r>
          </w:p>
        </w:tc>
        <w:tc>
          <w:tcPr>
            <w:tcW w:type="dxa" w:w="2354"/>
            <w:shd w:val="clear" w:color="auto" w:fill="F3F4F6"/>
            <w:vAlign w:val="center"/>
          </w:tcPr>
          <w:p>
            <w:pPr>
              <w:jc w:val="left"/>
            </w:pPr>
            <w:r>
              <w:rPr>
                <w:b w:val="0"/>
                <w:i w:val="0"/>
                <w:color w:val="6D28D9"/>
                <w:sz w:val="17"/>
              </w:rPr>
              <w:t>NVARCHAR(20)</w:t>
            </w:r>
          </w:p>
        </w:tc>
        <w:tc>
          <w:tcPr>
            <w:tcW w:type="dxa" w:w="2354"/>
            <w:shd w:val="clear" w:color="auto" w:fill="F3F4F6"/>
            <w:vAlign w:val="center"/>
          </w:tcPr>
          <w:p>
            <w:pPr>
              <w:jc w:val="left"/>
            </w:pPr>
            <w:r>
              <w:rPr>
                <w:b w:val="0"/>
                <w:i w:val="0"/>
                <w:color w:val="111827"/>
                <w:sz w:val="17"/>
              </w:rPr>
              <w:t>FIRS tax category code. Typically VAT or EXEMPT.</w:t>
            </w:r>
          </w:p>
        </w:tc>
      </w:tr>
      <w:tr>
        <w:tc>
          <w:tcPr>
            <w:tcW w:type="dxa" w:w="2354"/>
            <w:shd w:val="clear" w:color="auto" w:fill="FFFFFF"/>
            <w:vAlign w:val="center"/>
          </w:tcPr>
          <w:p>
            <w:pPr>
              <w:jc w:val="left"/>
            </w:pPr>
            <w:r>
              <w:rPr>
                <w:b/>
                <w:i w:val="0"/>
                <w:color w:val="111827"/>
                <w:sz w:val="17"/>
              </w:rPr>
              <w:t>HSN_CODE</w:t>
            </w:r>
          </w:p>
        </w:tc>
        <w:tc>
          <w:tcPr>
            <w:tcW w:type="dxa" w:w="2354"/>
            <w:shd w:val="clear" w:color="auto" w:fill="FFFFFF"/>
            <w:vAlign w:val="center"/>
          </w:tcPr>
          <w:p>
            <w:pPr>
              <w:jc w:val="left"/>
            </w:pPr>
            <w:r>
              <w:rPr>
                <w:b w:val="0"/>
                <w:i w:val="0"/>
                <w:color w:val="111827"/>
                <w:sz w:val="17"/>
              </w:rPr>
              <w:t>String</w:t>
            </w:r>
          </w:p>
        </w:tc>
        <w:tc>
          <w:tcPr>
            <w:tcW w:type="dxa" w:w="2354"/>
            <w:shd w:val="clear" w:color="auto" w:fill="FFFFFF"/>
            <w:vAlign w:val="center"/>
          </w:tcPr>
          <w:p>
            <w:pPr>
              <w:jc w:val="left"/>
            </w:pPr>
            <w:r>
              <w:rPr>
                <w:b w:val="0"/>
                <w:i w:val="0"/>
                <w:color w:val="6D28D9"/>
                <w:sz w:val="17"/>
              </w:rPr>
              <w:t>NVARCHAR(20)</w:t>
            </w:r>
          </w:p>
        </w:tc>
        <w:tc>
          <w:tcPr>
            <w:tcW w:type="dxa" w:w="2354"/>
            <w:shd w:val="clear" w:color="auto" w:fill="FFFFFF"/>
            <w:vAlign w:val="center"/>
          </w:tcPr>
          <w:p>
            <w:pPr>
              <w:jc w:val="left"/>
            </w:pPr>
            <w:r>
              <w:rPr>
                <w:b w:val="0"/>
                <w:i w:val="0"/>
                <w:color w:val="111827"/>
                <w:sz w:val="17"/>
              </w:rPr>
              <w:t>Harmonised System Nomenclature code for the service. Must be formatted as XXXX.XX for FIRS API.</w:t>
            </w:r>
          </w:p>
        </w:tc>
      </w:tr>
      <w:tr>
        <w:tc>
          <w:tcPr>
            <w:tcW w:type="dxa" w:w="2354"/>
            <w:shd w:val="clear" w:color="auto" w:fill="F3F4F6"/>
            <w:vAlign w:val="center"/>
          </w:tcPr>
          <w:p>
            <w:pPr>
              <w:jc w:val="left"/>
            </w:pPr>
            <w:r>
              <w:rPr>
                <w:b/>
                <w:i w:val="0"/>
                <w:color w:val="111827"/>
                <w:sz w:val="17"/>
              </w:rPr>
              <w:t>SERVICE_DESCRIPTION</w:t>
            </w:r>
          </w:p>
        </w:tc>
        <w:tc>
          <w:tcPr>
            <w:tcW w:type="dxa" w:w="2354"/>
            <w:shd w:val="clear" w:color="auto" w:fill="F3F4F6"/>
            <w:vAlign w:val="center"/>
          </w:tcPr>
          <w:p>
            <w:pPr>
              <w:jc w:val="left"/>
            </w:pPr>
            <w:r>
              <w:rPr>
                <w:b w:val="0"/>
                <w:i w:val="0"/>
                <w:color w:val="111827"/>
                <w:sz w:val="17"/>
              </w:rPr>
              <w:t>String</w:t>
            </w:r>
          </w:p>
        </w:tc>
        <w:tc>
          <w:tcPr>
            <w:tcW w:type="dxa" w:w="2354"/>
            <w:shd w:val="clear" w:color="auto" w:fill="F3F4F6"/>
            <w:vAlign w:val="center"/>
          </w:tcPr>
          <w:p>
            <w:pPr>
              <w:jc w:val="left"/>
            </w:pPr>
            <w:r>
              <w:rPr>
                <w:b w:val="0"/>
                <w:i w:val="0"/>
                <w:color w:val="6D28D9"/>
                <w:sz w:val="17"/>
              </w:rPr>
              <w:t>NVARCHAR(500)</w:t>
            </w:r>
          </w:p>
        </w:tc>
        <w:tc>
          <w:tcPr>
            <w:tcW w:type="dxa" w:w="2354"/>
            <w:shd w:val="clear" w:color="auto" w:fill="F3F4F6"/>
            <w:vAlign w:val="center"/>
          </w:tcPr>
          <w:p>
            <w:pPr>
              <w:jc w:val="left"/>
            </w:pPr>
            <w:r>
              <w:rPr>
                <w:b w:val="0"/>
                <w:i w:val="0"/>
                <w:color w:val="111827"/>
                <w:sz w:val="17"/>
              </w:rPr>
              <w:t>Free-text description of the service rendered. Shown in invoice lines.</w:t>
            </w:r>
          </w:p>
        </w:tc>
      </w:tr>
      <w:tr>
        <w:tc>
          <w:tcPr>
            <w:tcW w:type="dxa" w:w="2354"/>
            <w:shd w:val="clear" w:color="auto" w:fill="FFFFFF"/>
            <w:vAlign w:val="center"/>
          </w:tcPr>
          <w:p>
            <w:pPr>
              <w:jc w:val="left"/>
            </w:pPr>
            <w:r>
              <w:rPr>
                <w:b/>
                <w:i w:val="0"/>
                <w:color w:val="111827"/>
                <w:sz w:val="17"/>
              </w:rPr>
              <w:t>REPORTING_STATUS</w:t>
            </w:r>
          </w:p>
        </w:tc>
        <w:tc>
          <w:tcPr>
            <w:tcW w:type="dxa" w:w="2354"/>
            <w:shd w:val="clear" w:color="auto" w:fill="FFFFFF"/>
            <w:vAlign w:val="center"/>
          </w:tcPr>
          <w:p>
            <w:pPr>
              <w:jc w:val="left"/>
            </w:pPr>
            <w:r>
              <w:rPr>
                <w:b w:val="0"/>
                <w:i w:val="0"/>
                <w:color w:val="111827"/>
                <w:sz w:val="17"/>
              </w:rPr>
              <w:t>Integer/NULL</w:t>
            </w:r>
          </w:p>
        </w:tc>
        <w:tc>
          <w:tcPr>
            <w:tcW w:type="dxa" w:w="2354"/>
            <w:shd w:val="clear" w:color="auto" w:fill="FFFFFF"/>
            <w:vAlign w:val="center"/>
          </w:tcPr>
          <w:p>
            <w:pPr>
              <w:jc w:val="left"/>
            </w:pPr>
            <w:r>
              <w:rPr>
                <w:b w:val="0"/>
                <w:i w:val="0"/>
                <w:color w:val="6D28D9"/>
                <w:sz w:val="17"/>
              </w:rPr>
              <w:t>TINYINT NULL</w:t>
            </w:r>
          </w:p>
        </w:tc>
        <w:tc>
          <w:tcPr>
            <w:tcW w:type="dxa" w:w="2354"/>
            <w:shd w:val="clear" w:color="auto" w:fill="FFFFFF"/>
            <w:vAlign w:val="center"/>
          </w:tcPr>
          <w:p>
            <w:pPr>
              <w:jc w:val="left"/>
            </w:pPr>
            <w:r>
              <w:rPr>
                <w:b w:val="0"/>
                <w:i w:val="0"/>
                <w:color w:val="111827"/>
                <w:sz w:val="17"/>
              </w:rPr>
              <w:t>Compliance state machine: NULL=Pending, 1=Submitted, 0=Failed. Core field for scheduler filtering.</w:t>
            </w:r>
          </w:p>
        </w:tc>
      </w:tr>
      <w:tr>
        <w:tc>
          <w:tcPr>
            <w:tcW w:type="dxa" w:w="2354"/>
            <w:shd w:val="clear" w:color="auto" w:fill="F3F4F6"/>
            <w:vAlign w:val="center"/>
          </w:tcPr>
          <w:p>
            <w:pPr>
              <w:jc w:val="left"/>
            </w:pPr>
            <w:r>
              <w:rPr>
                <w:b/>
                <w:i w:val="0"/>
                <w:color w:val="111827"/>
                <w:sz w:val="17"/>
              </w:rPr>
              <w:t>IRN</w:t>
            </w:r>
          </w:p>
        </w:tc>
        <w:tc>
          <w:tcPr>
            <w:tcW w:type="dxa" w:w="2354"/>
            <w:shd w:val="clear" w:color="auto" w:fill="F3F4F6"/>
            <w:vAlign w:val="center"/>
          </w:tcPr>
          <w:p>
            <w:pPr>
              <w:jc w:val="left"/>
            </w:pPr>
            <w:r>
              <w:rPr>
                <w:b w:val="0"/>
                <w:i w:val="0"/>
                <w:color w:val="111827"/>
                <w:sz w:val="17"/>
              </w:rPr>
              <w:t>String/NULL</w:t>
            </w:r>
          </w:p>
        </w:tc>
        <w:tc>
          <w:tcPr>
            <w:tcW w:type="dxa" w:w="2354"/>
            <w:shd w:val="clear" w:color="auto" w:fill="F3F4F6"/>
            <w:vAlign w:val="center"/>
          </w:tcPr>
          <w:p>
            <w:pPr>
              <w:jc w:val="left"/>
            </w:pPr>
            <w:r>
              <w:rPr>
                <w:b w:val="0"/>
                <w:i w:val="0"/>
                <w:color w:val="6D28D9"/>
                <w:sz w:val="17"/>
              </w:rPr>
              <w:t>NVARCHAR(100)</w:t>
            </w:r>
          </w:p>
        </w:tc>
        <w:tc>
          <w:tcPr>
            <w:tcW w:type="dxa" w:w="2354"/>
            <w:shd w:val="clear" w:color="auto" w:fill="F3F4F6"/>
            <w:vAlign w:val="center"/>
          </w:tcPr>
          <w:p>
            <w:pPr>
              <w:jc w:val="left"/>
            </w:pPr>
            <w:r>
              <w:rPr>
                <w:b w:val="0"/>
                <w:i w:val="0"/>
                <w:color w:val="111827"/>
                <w:sz w:val="17"/>
              </w:rPr>
              <w:t>Invoice Reference Number assigned by FIRS upon successful submission. NULL until submitted.</w:t>
            </w:r>
          </w:p>
        </w:tc>
      </w:tr>
      <w:tr>
        <w:tc>
          <w:tcPr>
            <w:tcW w:type="dxa" w:w="2354"/>
            <w:shd w:val="clear" w:color="auto" w:fill="FFFFFF"/>
            <w:vAlign w:val="center"/>
          </w:tcPr>
          <w:p>
            <w:pPr>
              <w:jc w:val="left"/>
            </w:pPr>
            <w:r>
              <w:rPr>
                <w:b/>
                <w:i w:val="0"/>
                <w:color w:val="111827"/>
                <w:sz w:val="17"/>
              </w:rPr>
              <w:t>QR_CODE_URL</w:t>
            </w:r>
          </w:p>
        </w:tc>
        <w:tc>
          <w:tcPr>
            <w:tcW w:type="dxa" w:w="2354"/>
            <w:shd w:val="clear" w:color="auto" w:fill="FFFFFF"/>
            <w:vAlign w:val="center"/>
          </w:tcPr>
          <w:p>
            <w:pPr>
              <w:jc w:val="left"/>
            </w:pPr>
            <w:r>
              <w:rPr>
                <w:b w:val="0"/>
                <w:i w:val="0"/>
                <w:color w:val="111827"/>
                <w:sz w:val="17"/>
              </w:rPr>
              <w:t>String/NULL</w:t>
            </w:r>
          </w:p>
        </w:tc>
        <w:tc>
          <w:tcPr>
            <w:tcW w:type="dxa" w:w="2354"/>
            <w:shd w:val="clear" w:color="auto" w:fill="FFFFFF"/>
            <w:vAlign w:val="center"/>
          </w:tcPr>
          <w:p>
            <w:pPr>
              <w:jc w:val="left"/>
            </w:pPr>
            <w:r>
              <w:rPr>
                <w:b w:val="0"/>
                <w:i w:val="0"/>
                <w:color w:val="6D28D9"/>
                <w:sz w:val="17"/>
              </w:rPr>
              <w:t>NVARCHAR(500)</w:t>
            </w:r>
          </w:p>
        </w:tc>
        <w:tc>
          <w:tcPr>
            <w:tcW w:type="dxa" w:w="2354"/>
            <w:shd w:val="clear" w:color="auto" w:fill="FFFFFF"/>
            <w:vAlign w:val="center"/>
          </w:tcPr>
          <w:p>
            <w:pPr>
              <w:jc w:val="left"/>
            </w:pPr>
            <w:r>
              <w:rPr>
                <w:b w:val="0"/>
                <w:i w:val="0"/>
                <w:color w:val="111827"/>
                <w:sz w:val="17"/>
              </w:rPr>
              <w:t>URL to the FIRS-generated QR code image. NULL until submitted. Displayed on print/PDF view.</w:t>
            </w:r>
          </w:p>
        </w:tc>
      </w:tr>
      <w:tr>
        <w:tc>
          <w:tcPr>
            <w:tcW w:type="dxa" w:w="2354"/>
            <w:shd w:val="clear" w:color="auto" w:fill="F3F4F6"/>
            <w:vAlign w:val="center"/>
          </w:tcPr>
          <w:p>
            <w:pPr>
              <w:jc w:val="left"/>
            </w:pPr>
            <w:r>
              <w:rPr>
                <w:b/>
                <w:i w:val="0"/>
                <w:color w:val="111827"/>
                <w:sz w:val="17"/>
              </w:rPr>
              <w:t>EXCEPTION_MESSAGE</w:t>
            </w:r>
          </w:p>
        </w:tc>
        <w:tc>
          <w:tcPr>
            <w:tcW w:type="dxa" w:w="2354"/>
            <w:shd w:val="clear" w:color="auto" w:fill="F3F4F6"/>
            <w:vAlign w:val="center"/>
          </w:tcPr>
          <w:p>
            <w:pPr>
              <w:jc w:val="left"/>
            </w:pPr>
            <w:r>
              <w:rPr>
                <w:b w:val="0"/>
                <w:i w:val="0"/>
                <w:color w:val="111827"/>
                <w:sz w:val="17"/>
              </w:rPr>
              <w:t>String/NULL</w:t>
            </w:r>
          </w:p>
        </w:tc>
        <w:tc>
          <w:tcPr>
            <w:tcW w:type="dxa" w:w="2354"/>
            <w:shd w:val="clear" w:color="auto" w:fill="F3F4F6"/>
            <w:vAlign w:val="center"/>
          </w:tcPr>
          <w:p>
            <w:pPr>
              <w:jc w:val="left"/>
            </w:pPr>
            <w:r>
              <w:rPr>
                <w:b w:val="0"/>
                <w:i w:val="0"/>
                <w:color w:val="6D28D9"/>
                <w:sz w:val="17"/>
              </w:rPr>
              <w:t>NVARCHAR(MAX)</w:t>
            </w:r>
          </w:p>
        </w:tc>
        <w:tc>
          <w:tcPr>
            <w:tcW w:type="dxa" w:w="2354"/>
            <w:shd w:val="clear" w:color="auto" w:fill="F3F4F6"/>
            <w:vAlign w:val="center"/>
          </w:tcPr>
          <w:p>
            <w:pPr>
              <w:jc w:val="left"/>
            </w:pPr>
            <w:r>
              <w:rPr>
                <w:b w:val="0"/>
                <w:i w:val="0"/>
                <w:color w:val="111827"/>
                <w:sz w:val="17"/>
              </w:rPr>
              <w:t>API error message when REPORTING_STATUS=0. Populated on failure, cleared on retry success.</w:t>
            </w:r>
          </w:p>
        </w:tc>
      </w:tr>
      <w:tr>
        <w:tc>
          <w:tcPr>
            <w:tcW w:type="dxa" w:w="2354"/>
            <w:shd w:val="clear" w:color="auto" w:fill="FFFFFF"/>
            <w:vAlign w:val="center"/>
          </w:tcPr>
          <w:p>
            <w:pPr>
              <w:jc w:val="left"/>
            </w:pPr>
            <w:r>
              <w:rPr>
                <w:b/>
                <w:i w:val="0"/>
                <w:color w:val="111827"/>
                <w:sz w:val="17"/>
              </w:rPr>
              <w:t>ENVIRONMENT</w:t>
            </w:r>
          </w:p>
        </w:tc>
        <w:tc>
          <w:tcPr>
            <w:tcW w:type="dxa" w:w="2354"/>
            <w:shd w:val="clear" w:color="auto" w:fill="FFFFFF"/>
            <w:vAlign w:val="center"/>
          </w:tcPr>
          <w:p>
            <w:pPr>
              <w:jc w:val="left"/>
            </w:pPr>
            <w:r>
              <w:rPr>
                <w:b w:val="0"/>
                <w:i w:val="0"/>
                <w:color w:val="111827"/>
                <w:sz w:val="17"/>
              </w:rPr>
              <w:t>String</w:t>
            </w:r>
          </w:p>
        </w:tc>
        <w:tc>
          <w:tcPr>
            <w:tcW w:type="dxa" w:w="2354"/>
            <w:shd w:val="clear" w:color="auto" w:fill="FFFFFF"/>
            <w:vAlign w:val="center"/>
          </w:tcPr>
          <w:p>
            <w:pPr>
              <w:jc w:val="left"/>
            </w:pPr>
            <w:r>
              <w:rPr>
                <w:b w:val="0"/>
                <w:i w:val="0"/>
                <w:color w:val="6D28D9"/>
                <w:sz w:val="17"/>
              </w:rPr>
              <w:t>NVARCHAR(20)</w:t>
            </w:r>
          </w:p>
        </w:tc>
        <w:tc>
          <w:tcPr>
            <w:tcW w:type="dxa" w:w="2354"/>
            <w:shd w:val="clear" w:color="auto" w:fill="FFFFFF"/>
            <w:vAlign w:val="center"/>
          </w:tcPr>
          <w:p>
            <w:pPr>
              <w:jc w:val="left"/>
            </w:pPr>
            <w:r>
              <w:rPr>
                <w:b w:val="0"/>
                <w:i w:val="0"/>
                <w:color w:val="111827"/>
                <w:sz w:val="17"/>
              </w:rPr>
              <w:t>Submission environment: PREPROD or PRODUCTION. Set at submit time from config.json api.environment.</w:t>
            </w:r>
          </w:p>
        </w:tc>
      </w:tr>
      <w:tr>
        <w:tc>
          <w:tcPr>
            <w:tcW w:type="dxa" w:w="2354"/>
            <w:shd w:val="clear" w:color="auto" w:fill="F3F4F6"/>
            <w:vAlign w:val="center"/>
          </w:tcPr>
          <w:p>
            <w:pPr>
              <w:jc w:val="left"/>
            </w:pPr>
            <w:r>
              <w:rPr>
                <w:b/>
                <w:i w:val="0"/>
                <w:color w:val="111827"/>
                <w:sz w:val="17"/>
              </w:rPr>
              <w:t>LAST_UPDATED</w:t>
            </w:r>
          </w:p>
        </w:tc>
        <w:tc>
          <w:tcPr>
            <w:tcW w:type="dxa" w:w="2354"/>
            <w:shd w:val="clear" w:color="auto" w:fill="F3F4F6"/>
            <w:vAlign w:val="center"/>
          </w:tcPr>
          <w:p>
            <w:pPr>
              <w:jc w:val="left"/>
            </w:pPr>
            <w:r>
              <w:rPr>
                <w:b w:val="0"/>
                <w:i w:val="0"/>
                <w:color w:val="111827"/>
                <w:sz w:val="17"/>
              </w:rPr>
              <w:t>DateTime/NULL</w:t>
            </w:r>
          </w:p>
        </w:tc>
        <w:tc>
          <w:tcPr>
            <w:tcW w:type="dxa" w:w="2354"/>
            <w:shd w:val="clear" w:color="auto" w:fill="F3F4F6"/>
            <w:vAlign w:val="center"/>
          </w:tcPr>
          <w:p>
            <w:pPr>
              <w:jc w:val="left"/>
            </w:pPr>
            <w:r>
              <w:rPr>
                <w:b w:val="0"/>
                <w:i w:val="0"/>
                <w:color w:val="6D28D9"/>
                <w:sz w:val="17"/>
              </w:rPr>
              <w:t>DATETIME NULL</w:t>
            </w:r>
          </w:p>
        </w:tc>
        <w:tc>
          <w:tcPr>
            <w:tcW w:type="dxa" w:w="2354"/>
            <w:shd w:val="clear" w:color="auto" w:fill="F3F4F6"/>
            <w:vAlign w:val="center"/>
          </w:tcPr>
          <w:p>
            <w:pPr>
              <w:jc w:val="left"/>
            </w:pPr>
            <w:r>
              <w:rPr>
                <w:b w:val="0"/>
                <w:i w:val="0"/>
                <w:color w:val="111827"/>
                <w:sz w:val="17"/>
              </w:rPr>
              <w:t>Timestamp of last status change. Updated on every successful or failed submission attempt.</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REPORTING_STATUS is the most queried column. Its three-state NULL/0/1 design is intentional: NULL (not attempted) is distinct from 0 (attempted and failed), allowing the scheduler to correctly target only genuinely unprocessed invoices with IS NULL.</w:t>
            </w:r>
          </w:p>
        </w:tc>
      </w:tr>
    </w:tbl>
    <w:p>
      <w:pPr>
        <w:spacing w:after="60"/>
      </w:pPr>
    </w:p>
    <w:p>
      <w:pPr>
        <w:spacing w:before="220" w:after="60"/>
      </w:pPr>
      <w:r>
        <w:rPr>
          <w:b/>
          <w:color w:val="001F5B"/>
          <w:sz w:val="22"/>
        </w:rPr>
        <w:t>6.2  dbo.FIRS_USERS — User Account Table</w:t>
      </w:r>
    </w:p>
    <w:p>
      <w:pPr>
        <w:spacing w:before="40" w:after="60"/>
      </w:pPr>
      <w:r>
        <w:rPr>
          <w:b w:val="0"/>
          <w:i w:val="0"/>
          <w:color w:val="111827"/>
          <w:sz w:val="19"/>
        </w:rPr>
        <w:t>Created and owned exclusively by this compliance system. Stores dashboard user accounts with hashed passwords and role assignments. No foreign keys to dbo.REPORT — the two tables are operationally independent.</w:t>
      </w:r>
    </w:p>
    <w:tbl>
      <w:tblPr>
        <w:tblStyle w:val="TableGrid"/>
        <w:tblW w:type="auto" w:w="0"/>
        <w:jc w:val="left"/>
        <w:tblLook w:firstColumn="1" w:firstRow="1" w:lastColumn="0" w:lastRow="0" w:noHBand="0" w:noVBand="1" w:val="04A0"/>
      </w:tblPr>
      <w:tblGrid>
        <w:gridCol w:w="2354"/>
        <w:gridCol w:w="2354"/>
        <w:gridCol w:w="2354"/>
        <w:gridCol w:w="2354"/>
      </w:tblGrid>
      <w:tr>
        <w:tc>
          <w:tcPr>
            <w:tcW w:type="dxa" w:w="2736"/>
            <w:shd w:val="clear" w:color="auto" w:fill="003087"/>
            <w:vAlign w:val="center"/>
          </w:tcPr>
          <w:p>
            <w:pPr>
              <w:jc w:val="center"/>
            </w:pPr>
            <w:r>
              <w:rPr>
                <w:b/>
                <w:i w:val="0"/>
                <w:color w:val="FFFFFF"/>
                <w:sz w:val="17"/>
              </w:rPr>
              <w:t>Column Name</w:t>
            </w:r>
          </w:p>
        </w:tc>
        <w:tc>
          <w:tcPr>
            <w:tcW w:type="dxa" w:w="1728"/>
            <w:shd w:val="clear" w:color="auto" w:fill="003087"/>
            <w:vAlign w:val="center"/>
          </w:tcPr>
          <w:p>
            <w:pPr>
              <w:jc w:val="center"/>
            </w:pPr>
            <w:r>
              <w:rPr>
                <w:b/>
                <w:i w:val="0"/>
                <w:color w:val="FFFFFF"/>
                <w:sz w:val="17"/>
              </w:rPr>
              <w:t>Data Type</w:t>
            </w:r>
          </w:p>
        </w:tc>
        <w:tc>
          <w:tcPr>
            <w:tcW w:type="dxa" w:w="1944"/>
            <w:shd w:val="clear" w:color="auto" w:fill="003087"/>
            <w:vAlign w:val="center"/>
          </w:tcPr>
          <w:p>
            <w:pPr>
              <w:jc w:val="center"/>
            </w:pPr>
            <w:r>
              <w:rPr>
                <w:b/>
                <w:i w:val="0"/>
                <w:color w:val="FFFFFF"/>
                <w:sz w:val="17"/>
              </w:rPr>
              <w:t>SQL Type</w:t>
            </w:r>
          </w:p>
        </w:tc>
        <w:tc>
          <w:tcPr>
            <w:tcW w:type="dxa" w:w="3240"/>
            <w:shd w:val="clear" w:color="auto" w:fill="003087"/>
            <w:vAlign w:val="center"/>
          </w:tcPr>
          <w:p>
            <w:pPr>
              <w:jc w:val="center"/>
            </w:pPr>
            <w:r>
              <w:rPr>
                <w:b/>
                <w:i w:val="0"/>
                <w:color w:val="FFFFFF"/>
                <w:sz w:val="17"/>
              </w:rPr>
              <w:t>Description / Constraints</w:t>
            </w:r>
          </w:p>
        </w:tc>
      </w:tr>
      <w:tr>
        <w:tc>
          <w:tcPr>
            <w:tcW w:type="dxa" w:w="2354"/>
            <w:shd w:val="clear" w:color="auto" w:fill="FFFFFF"/>
            <w:vAlign w:val="center"/>
          </w:tcPr>
          <w:p>
            <w:pPr>
              <w:jc w:val="left"/>
            </w:pPr>
            <w:r>
              <w:rPr>
                <w:b/>
                <w:i w:val="0"/>
                <w:color w:val="111827"/>
                <w:sz w:val="17"/>
              </w:rPr>
              <w:t>EMAIL</w:t>
            </w:r>
          </w:p>
        </w:tc>
        <w:tc>
          <w:tcPr>
            <w:tcW w:type="dxa" w:w="2354"/>
            <w:shd w:val="clear" w:color="auto" w:fill="FFFFFF"/>
            <w:vAlign w:val="center"/>
          </w:tcPr>
          <w:p>
            <w:pPr>
              <w:jc w:val="left"/>
            </w:pPr>
            <w:r>
              <w:rPr>
                <w:b w:val="0"/>
                <w:i w:val="0"/>
                <w:color w:val="111827"/>
                <w:sz w:val="17"/>
              </w:rPr>
              <w:t>String (PK)</w:t>
            </w:r>
          </w:p>
        </w:tc>
        <w:tc>
          <w:tcPr>
            <w:tcW w:type="dxa" w:w="2354"/>
            <w:shd w:val="clear" w:color="auto" w:fill="FFFFFF"/>
            <w:vAlign w:val="center"/>
          </w:tcPr>
          <w:p>
            <w:pPr>
              <w:jc w:val="left"/>
            </w:pPr>
            <w:r>
              <w:rPr>
                <w:b w:val="0"/>
                <w:i w:val="0"/>
                <w:color w:val="6D28D9"/>
                <w:sz w:val="17"/>
              </w:rPr>
              <w:t>NVARCHAR(150)</w:t>
            </w:r>
          </w:p>
        </w:tc>
        <w:tc>
          <w:tcPr>
            <w:tcW w:type="dxa" w:w="2354"/>
            <w:shd w:val="clear" w:color="auto" w:fill="FFFFFF"/>
            <w:vAlign w:val="center"/>
          </w:tcPr>
          <w:p>
            <w:pPr>
              <w:jc w:val="left"/>
            </w:pPr>
            <w:r>
              <w:rPr>
                <w:b w:val="0"/>
                <w:i w:val="0"/>
                <w:color w:val="111827"/>
                <w:sz w:val="17"/>
              </w:rPr>
              <w:t>Primary key. The username used for login. Unique, case-insensitive match on login.</w:t>
            </w:r>
          </w:p>
        </w:tc>
      </w:tr>
      <w:tr>
        <w:tc>
          <w:tcPr>
            <w:tcW w:type="dxa" w:w="2354"/>
            <w:shd w:val="clear" w:color="auto" w:fill="F3F4F6"/>
            <w:vAlign w:val="center"/>
          </w:tcPr>
          <w:p>
            <w:pPr>
              <w:jc w:val="left"/>
            </w:pPr>
            <w:r>
              <w:rPr>
                <w:b/>
                <w:i w:val="0"/>
                <w:color w:val="111827"/>
                <w:sz w:val="17"/>
              </w:rPr>
              <w:t>FULL_NAME</w:t>
            </w:r>
          </w:p>
        </w:tc>
        <w:tc>
          <w:tcPr>
            <w:tcW w:type="dxa" w:w="2354"/>
            <w:shd w:val="clear" w:color="auto" w:fill="F3F4F6"/>
            <w:vAlign w:val="center"/>
          </w:tcPr>
          <w:p>
            <w:pPr>
              <w:jc w:val="left"/>
            </w:pPr>
            <w:r>
              <w:rPr>
                <w:b w:val="0"/>
                <w:i w:val="0"/>
                <w:color w:val="111827"/>
                <w:sz w:val="17"/>
              </w:rPr>
              <w:t>String</w:t>
            </w:r>
          </w:p>
        </w:tc>
        <w:tc>
          <w:tcPr>
            <w:tcW w:type="dxa" w:w="2354"/>
            <w:shd w:val="clear" w:color="auto" w:fill="F3F4F6"/>
            <w:vAlign w:val="center"/>
          </w:tcPr>
          <w:p>
            <w:pPr>
              <w:jc w:val="left"/>
            </w:pPr>
            <w:r>
              <w:rPr>
                <w:b w:val="0"/>
                <w:i w:val="0"/>
                <w:color w:val="6D28D9"/>
                <w:sz w:val="17"/>
              </w:rPr>
              <w:t>NVARCHAR(200)</w:t>
            </w:r>
          </w:p>
        </w:tc>
        <w:tc>
          <w:tcPr>
            <w:tcW w:type="dxa" w:w="2354"/>
            <w:shd w:val="clear" w:color="auto" w:fill="F3F4F6"/>
            <w:vAlign w:val="center"/>
          </w:tcPr>
          <w:p>
            <w:pPr>
              <w:jc w:val="left"/>
            </w:pPr>
            <w:r>
              <w:rPr>
                <w:b w:val="0"/>
                <w:i w:val="0"/>
                <w:color w:val="111827"/>
                <w:sz w:val="17"/>
              </w:rPr>
              <w:t>Display name shown in the dashboard top bar and user management list.</w:t>
            </w:r>
          </w:p>
        </w:tc>
      </w:tr>
      <w:tr>
        <w:tc>
          <w:tcPr>
            <w:tcW w:type="dxa" w:w="2354"/>
            <w:shd w:val="clear" w:color="auto" w:fill="FFFFFF"/>
            <w:vAlign w:val="center"/>
          </w:tcPr>
          <w:p>
            <w:pPr>
              <w:jc w:val="left"/>
            </w:pPr>
            <w:r>
              <w:rPr>
                <w:b/>
                <w:i w:val="0"/>
                <w:color w:val="111827"/>
                <w:sz w:val="17"/>
              </w:rPr>
              <w:t>PASSWORD_HASH</w:t>
            </w:r>
          </w:p>
        </w:tc>
        <w:tc>
          <w:tcPr>
            <w:tcW w:type="dxa" w:w="2354"/>
            <w:shd w:val="clear" w:color="auto" w:fill="FFFFFF"/>
            <w:vAlign w:val="center"/>
          </w:tcPr>
          <w:p>
            <w:pPr>
              <w:jc w:val="left"/>
            </w:pPr>
            <w:r>
              <w:rPr>
                <w:b w:val="0"/>
                <w:i w:val="0"/>
                <w:color w:val="111827"/>
                <w:sz w:val="17"/>
              </w:rPr>
              <w:t>String</w:t>
            </w:r>
          </w:p>
        </w:tc>
        <w:tc>
          <w:tcPr>
            <w:tcW w:type="dxa" w:w="2354"/>
            <w:shd w:val="clear" w:color="auto" w:fill="FFFFFF"/>
            <w:vAlign w:val="center"/>
          </w:tcPr>
          <w:p>
            <w:pPr>
              <w:jc w:val="left"/>
            </w:pPr>
            <w:r>
              <w:rPr>
                <w:b w:val="0"/>
                <w:i w:val="0"/>
                <w:color w:val="6D28D9"/>
                <w:sz w:val="17"/>
              </w:rPr>
              <w:t>NVARCHAR(500)</w:t>
            </w:r>
          </w:p>
        </w:tc>
        <w:tc>
          <w:tcPr>
            <w:tcW w:type="dxa" w:w="2354"/>
            <w:shd w:val="clear" w:color="auto" w:fill="FFFFFF"/>
            <w:vAlign w:val="center"/>
          </w:tcPr>
          <w:p>
            <w:pPr>
              <w:jc w:val="left"/>
            </w:pPr>
            <w:r>
              <w:rPr>
                <w:b w:val="0"/>
                <w:i w:val="0"/>
                <w:color w:val="111827"/>
                <w:sz w:val="17"/>
              </w:rPr>
              <w:t>Werkzeug PBKDF2-SHA256 hash with embedded salt. Never stores plaintext. Format: pbkdf2:sha256:&lt;iterations&gt;$&lt;salt&gt;$&lt;hash&gt;.</w:t>
            </w:r>
          </w:p>
        </w:tc>
      </w:tr>
      <w:tr>
        <w:tc>
          <w:tcPr>
            <w:tcW w:type="dxa" w:w="2354"/>
            <w:shd w:val="clear" w:color="auto" w:fill="F3F4F6"/>
            <w:vAlign w:val="center"/>
          </w:tcPr>
          <w:p>
            <w:pPr>
              <w:jc w:val="left"/>
            </w:pPr>
            <w:r>
              <w:rPr>
                <w:b/>
                <w:i w:val="0"/>
                <w:color w:val="111827"/>
                <w:sz w:val="17"/>
              </w:rPr>
              <w:t>ROLE</w:t>
            </w:r>
          </w:p>
        </w:tc>
        <w:tc>
          <w:tcPr>
            <w:tcW w:type="dxa" w:w="2354"/>
            <w:shd w:val="clear" w:color="auto" w:fill="F3F4F6"/>
            <w:vAlign w:val="center"/>
          </w:tcPr>
          <w:p>
            <w:pPr>
              <w:jc w:val="left"/>
            </w:pPr>
            <w:r>
              <w:rPr>
                <w:b w:val="0"/>
                <w:i w:val="0"/>
                <w:color w:val="111827"/>
                <w:sz w:val="17"/>
              </w:rPr>
              <w:t>String</w:t>
            </w:r>
          </w:p>
        </w:tc>
        <w:tc>
          <w:tcPr>
            <w:tcW w:type="dxa" w:w="2354"/>
            <w:shd w:val="clear" w:color="auto" w:fill="F3F4F6"/>
            <w:vAlign w:val="center"/>
          </w:tcPr>
          <w:p>
            <w:pPr>
              <w:jc w:val="left"/>
            </w:pPr>
            <w:r>
              <w:rPr>
                <w:b w:val="0"/>
                <w:i w:val="0"/>
                <w:color w:val="6D28D9"/>
                <w:sz w:val="17"/>
              </w:rPr>
              <w:t>NVARCHAR(50)</w:t>
            </w:r>
          </w:p>
        </w:tc>
        <w:tc>
          <w:tcPr>
            <w:tcW w:type="dxa" w:w="2354"/>
            <w:shd w:val="clear" w:color="auto" w:fill="F3F4F6"/>
            <w:vAlign w:val="center"/>
          </w:tcPr>
          <w:p>
            <w:pPr>
              <w:jc w:val="left"/>
            </w:pPr>
            <w:r>
              <w:rPr>
                <w:b w:val="0"/>
                <w:i w:val="0"/>
                <w:color w:val="111827"/>
                <w:sz w:val="17"/>
              </w:rPr>
              <w:t>One of: Administrator, Manager, Operator, Viewer. Controls all permission checks via ROLES dict.</w:t>
            </w:r>
          </w:p>
        </w:tc>
      </w:tr>
      <w:tr>
        <w:tc>
          <w:tcPr>
            <w:tcW w:type="dxa" w:w="2354"/>
            <w:shd w:val="clear" w:color="auto" w:fill="FFFFFF"/>
            <w:vAlign w:val="center"/>
          </w:tcPr>
          <w:p>
            <w:pPr>
              <w:jc w:val="left"/>
            </w:pPr>
            <w:r>
              <w:rPr>
                <w:b/>
                <w:i w:val="0"/>
                <w:color w:val="111827"/>
                <w:sz w:val="17"/>
              </w:rPr>
              <w:t>IS_ACTIVE</w:t>
            </w:r>
          </w:p>
        </w:tc>
        <w:tc>
          <w:tcPr>
            <w:tcW w:type="dxa" w:w="2354"/>
            <w:shd w:val="clear" w:color="auto" w:fill="FFFFFF"/>
            <w:vAlign w:val="center"/>
          </w:tcPr>
          <w:p>
            <w:pPr>
              <w:jc w:val="left"/>
            </w:pPr>
            <w:r>
              <w:rPr>
                <w:b w:val="0"/>
                <w:i w:val="0"/>
                <w:color w:val="111827"/>
                <w:sz w:val="17"/>
              </w:rPr>
              <w:t>Boolean</w:t>
            </w:r>
          </w:p>
        </w:tc>
        <w:tc>
          <w:tcPr>
            <w:tcW w:type="dxa" w:w="2354"/>
            <w:shd w:val="clear" w:color="auto" w:fill="FFFFFF"/>
            <w:vAlign w:val="center"/>
          </w:tcPr>
          <w:p>
            <w:pPr>
              <w:jc w:val="left"/>
            </w:pPr>
            <w:r>
              <w:rPr>
                <w:b w:val="0"/>
                <w:i w:val="0"/>
                <w:color w:val="6D28D9"/>
                <w:sz w:val="17"/>
              </w:rPr>
              <w:t>BIT NOT NULL</w:t>
            </w:r>
          </w:p>
        </w:tc>
        <w:tc>
          <w:tcPr>
            <w:tcW w:type="dxa" w:w="2354"/>
            <w:shd w:val="clear" w:color="auto" w:fill="FFFFFF"/>
            <w:vAlign w:val="center"/>
          </w:tcPr>
          <w:p>
            <w:pPr>
              <w:jc w:val="left"/>
            </w:pPr>
            <w:r>
              <w:rPr>
                <w:b w:val="0"/>
                <w:i w:val="0"/>
                <w:color w:val="111827"/>
                <w:sz w:val="17"/>
              </w:rPr>
              <w:t>Account enabled flag. 0=Disabled (login rejected), 1=Active. Defaults to 1 on creation.</w:t>
            </w:r>
          </w:p>
        </w:tc>
      </w:tr>
      <w:tr>
        <w:tc>
          <w:tcPr>
            <w:tcW w:type="dxa" w:w="2354"/>
            <w:shd w:val="clear" w:color="auto" w:fill="F3F4F6"/>
            <w:vAlign w:val="center"/>
          </w:tcPr>
          <w:p>
            <w:pPr>
              <w:jc w:val="left"/>
            </w:pPr>
            <w:r>
              <w:rPr>
                <w:b/>
                <w:i w:val="0"/>
                <w:color w:val="111827"/>
                <w:sz w:val="17"/>
              </w:rPr>
              <w:t>CREATED_AT</w:t>
            </w:r>
          </w:p>
        </w:tc>
        <w:tc>
          <w:tcPr>
            <w:tcW w:type="dxa" w:w="2354"/>
            <w:shd w:val="clear" w:color="auto" w:fill="F3F4F6"/>
            <w:vAlign w:val="center"/>
          </w:tcPr>
          <w:p>
            <w:pPr>
              <w:jc w:val="left"/>
            </w:pPr>
            <w:r>
              <w:rPr>
                <w:b w:val="0"/>
                <w:i w:val="0"/>
                <w:color w:val="111827"/>
                <w:sz w:val="17"/>
              </w:rPr>
              <w:t>DateTime</w:t>
            </w:r>
          </w:p>
        </w:tc>
        <w:tc>
          <w:tcPr>
            <w:tcW w:type="dxa" w:w="2354"/>
            <w:shd w:val="clear" w:color="auto" w:fill="F3F4F6"/>
            <w:vAlign w:val="center"/>
          </w:tcPr>
          <w:p>
            <w:pPr>
              <w:jc w:val="left"/>
            </w:pPr>
            <w:r>
              <w:rPr>
                <w:b w:val="0"/>
                <w:i w:val="0"/>
                <w:color w:val="6D28D9"/>
                <w:sz w:val="17"/>
              </w:rPr>
              <w:t>DATETIME</w:t>
            </w:r>
          </w:p>
        </w:tc>
        <w:tc>
          <w:tcPr>
            <w:tcW w:type="dxa" w:w="2354"/>
            <w:shd w:val="clear" w:color="auto" w:fill="F3F4F6"/>
            <w:vAlign w:val="center"/>
          </w:tcPr>
          <w:p>
            <w:pPr>
              <w:jc w:val="left"/>
            </w:pPr>
            <w:r>
              <w:rPr>
                <w:b w:val="0"/>
                <w:i w:val="0"/>
                <w:color w:val="111827"/>
                <w:sz w:val="17"/>
              </w:rPr>
              <w:t>UTC timestamp of account creation. Auto-set by create_users_table.py and /admin/users/add.</w:t>
            </w:r>
          </w:p>
        </w:tc>
      </w:tr>
      <w:tr>
        <w:tc>
          <w:tcPr>
            <w:tcW w:type="dxa" w:w="2354"/>
            <w:shd w:val="clear" w:color="auto" w:fill="FFFFFF"/>
            <w:vAlign w:val="center"/>
          </w:tcPr>
          <w:p>
            <w:pPr>
              <w:jc w:val="left"/>
            </w:pPr>
            <w:r>
              <w:rPr>
                <w:b/>
                <w:i w:val="0"/>
                <w:color w:val="111827"/>
                <w:sz w:val="17"/>
              </w:rPr>
              <w:t>LAST_LOGIN</w:t>
            </w:r>
          </w:p>
        </w:tc>
        <w:tc>
          <w:tcPr>
            <w:tcW w:type="dxa" w:w="2354"/>
            <w:shd w:val="clear" w:color="auto" w:fill="FFFFFF"/>
            <w:vAlign w:val="center"/>
          </w:tcPr>
          <w:p>
            <w:pPr>
              <w:jc w:val="left"/>
            </w:pPr>
            <w:r>
              <w:rPr>
                <w:b w:val="0"/>
                <w:i w:val="0"/>
                <w:color w:val="111827"/>
                <w:sz w:val="17"/>
              </w:rPr>
              <w:t>DateTime/NULL</w:t>
            </w:r>
          </w:p>
        </w:tc>
        <w:tc>
          <w:tcPr>
            <w:tcW w:type="dxa" w:w="2354"/>
            <w:shd w:val="clear" w:color="auto" w:fill="FFFFFF"/>
            <w:vAlign w:val="center"/>
          </w:tcPr>
          <w:p>
            <w:pPr>
              <w:jc w:val="left"/>
            </w:pPr>
            <w:r>
              <w:rPr>
                <w:b w:val="0"/>
                <w:i w:val="0"/>
                <w:color w:val="6D28D9"/>
                <w:sz w:val="17"/>
              </w:rPr>
              <w:t>DATETIME NULL</w:t>
            </w:r>
          </w:p>
        </w:tc>
        <w:tc>
          <w:tcPr>
            <w:tcW w:type="dxa" w:w="2354"/>
            <w:shd w:val="clear" w:color="auto" w:fill="FFFFFF"/>
            <w:vAlign w:val="center"/>
          </w:tcPr>
          <w:p>
            <w:pPr>
              <w:jc w:val="left"/>
            </w:pPr>
            <w:r>
              <w:rPr>
                <w:b w:val="0"/>
                <w:i w:val="0"/>
                <w:color w:val="111827"/>
                <w:sz w:val="17"/>
              </w:rPr>
              <w:t>Updated on every successful login. NULL if the account has never been used.</w:t>
            </w:r>
          </w:p>
        </w:tc>
      </w:tr>
      <w:tr>
        <w:tc>
          <w:tcPr>
            <w:tcW w:type="dxa" w:w="2354"/>
            <w:shd w:val="clear" w:color="auto" w:fill="F3F4F6"/>
            <w:vAlign w:val="center"/>
          </w:tcPr>
          <w:p>
            <w:pPr>
              <w:jc w:val="left"/>
            </w:pPr>
            <w:r>
              <w:rPr>
                <w:b/>
                <w:i w:val="0"/>
                <w:color w:val="111827"/>
                <w:sz w:val="17"/>
              </w:rPr>
              <w:t>CREATED_BY</w:t>
            </w:r>
          </w:p>
        </w:tc>
        <w:tc>
          <w:tcPr>
            <w:tcW w:type="dxa" w:w="2354"/>
            <w:shd w:val="clear" w:color="auto" w:fill="F3F4F6"/>
            <w:vAlign w:val="center"/>
          </w:tcPr>
          <w:p>
            <w:pPr>
              <w:jc w:val="left"/>
            </w:pPr>
            <w:r>
              <w:rPr>
                <w:b w:val="0"/>
                <w:i w:val="0"/>
                <w:color w:val="111827"/>
                <w:sz w:val="17"/>
              </w:rPr>
              <w:t>String/NULL</w:t>
            </w:r>
          </w:p>
        </w:tc>
        <w:tc>
          <w:tcPr>
            <w:tcW w:type="dxa" w:w="2354"/>
            <w:shd w:val="clear" w:color="auto" w:fill="F3F4F6"/>
            <w:vAlign w:val="center"/>
          </w:tcPr>
          <w:p>
            <w:pPr>
              <w:jc w:val="left"/>
            </w:pPr>
            <w:r>
              <w:rPr>
                <w:b w:val="0"/>
                <w:i w:val="0"/>
                <w:color w:val="6D28D9"/>
                <w:sz w:val="17"/>
              </w:rPr>
              <w:t>NVARCHAR(150)</w:t>
            </w:r>
          </w:p>
        </w:tc>
        <w:tc>
          <w:tcPr>
            <w:tcW w:type="dxa" w:w="2354"/>
            <w:shd w:val="clear" w:color="auto" w:fill="F3F4F6"/>
            <w:vAlign w:val="center"/>
          </w:tcPr>
          <w:p>
            <w:pPr>
              <w:jc w:val="left"/>
            </w:pPr>
            <w:r>
              <w:rPr>
                <w:b w:val="0"/>
                <w:i w:val="0"/>
                <w:color w:val="111827"/>
                <w:sz w:val="17"/>
              </w:rPr>
              <w:t>EMAIL of the Administrator who created this account. NULL for the seeded Administrator account.</w:t>
            </w:r>
          </w:p>
        </w:tc>
      </w:tr>
    </w:tbl>
    <w:p>
      <w:pPr>
        <w:spacing w:after="80"/>
      </w:pPr>
    </w:p>
    <w:p>
      <w:pPr>
        <w:spacing w:before="220" w:after="60"/>
      </w:pPr>
      <w:r>
        <w:rPr>
          <w:b/>
          <w:color w:val="001F5B"/>
          <w:sz w:val="22"/>
        </w:rPr>
        <w:t>6.3  Entity Relationship</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Data Flow / Sequence</w:t>
              <w:br/>
            </w:r>
            <w:r>
              <w:rPr>
                <w:rFonts w:ascii="Courier New" w:hAnsi="Courier New"/>
                <w:color w:val="111827"/>
                <w:sz w:val="16"/>
              </w:rPr>
              <w:t xml:space="preserve">  dbo.FIRS_USERS                          dbo.REPORT</w:t>
              <w:br/>
              <w:t xml:space="preserve">  ─────────────────────                   ─────────────────────────────────</w:t>
              <w:br/>
              <w:t xml:space="preserve">  PK EMAIL             NVARCHAR            PK TRANSACTION_REF   NVARCHAR</w:t>
              <w:br/>
              <w:t xml:space="preserve">     FULL_NAME         NVARCHAR               BOOKING_DATE      DATETIME</w:t>
              <w:br/>
              <w:t xml:space="preserve">     PASSWORD_HASH     NVARCHAR               CUSTOMER_NAME     NVARCHAR</w:t>
              <w:br/>
              <w:t xml:space="preserve">     ROLE              NVARCHAR               CUSTOMER_TIN      NVARCHAR</w:t>
              <w:br/>
              <w:t xml:space="preserve">     IS_ACTIVE         BIT                    ACCOUNT_NUMBER    NVARCHAR</w:t>
              <w:br/>
              <w:t xml:space="preserve">     CREATED_AT        DATETIME               AMOUNT            DECIMAL(18,2)</w:t>
              <w:br/>
              <w:t xml:space="preserve">     LAST_LOGIN        DATETIME               VAT_AMOUNT        DECIMAL(18,2)</w:t>
              <w:br/>
              <w:t xml:space="preserve">     CREATED_BY        NVARCHAR               CURRENCY_CODE     NVARCHAR</w:t>
              <w:br/>
              <w:t xml:space="preserve">                                              INVOICE_TYPE      NVARCHAR</w:t>
              <w:br/>
              <w:t xml:space="preserve">  No FK relationship                          REPORTING_STATUS  TINYINT NULL</w:t>
              <w:br/>
              <w:t xml:space="preserve">  between tables.                             IRN               NVARCHAR NULL</w:t>
              <w:br/>
              <w:t xml:space="preserve">  FIRS_USERS = auth only.                     QR_CODE_URL       NVARCHAR NULL</w:t>
              <w:br/>
              <w:t xml:space="preserve">  REPORT = invoice data only.                 EXCEPTION_MESSAGE NVARCHAR NULL</w:t>
              <w:br/>
              <w:t xml:space="preserve">                                              LAST_UPDATED      DATETIME NULL</w:t>
            </w:r>
          </w:p>
        </w:tc>
      </w:tr>
    </w:tbl>
    <w:p>
      <w:pPr>
        <w:spacing w:after="60"/>
      </w:pPr>
    </w:p>
    <w:p>
      <w:pPr>
        <w:spacing w:before="220" w:after="60"/>
      </w:pPr>
      <w:r>
        <w:rPr>
          <w:b/>
          <w:color w:val="001F5B"/>
          <w:sz w:val="22"/>
        </w:rPr>
        <w:t>6.4  Indexes &amp; Performance Considerations</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Index</w:t>
            </w:r>
          </w:p>
        </w:tc>
        <w:tc>
          <w:tcPr>
            <w:tcW w:type="dxa" w:w="4707"/>
            <w:shd w:val="clear" w:color="auto" w:fill="003087"/>
            <w:vAlign w:val="center"/>
          </w:tcPr>
          <w:p>
            <w:pPr>
              <w:jc w:val="center"/>
            </w:pPr>
            <w:r>
              <w:rPr>
                <w:b/>
                <w:i w:val="0"/>
                <w:color w:val="FFFFFF"/>
                <w:sz w:val="18"/>
              </w:rPr>
              <w:t>Rationale</w:t>
            </w:r>
          </w:p>
        </w:tc>
      </w:tr>
      <w:tr>
        <w:tc>
          <w:tcPr>
            <w:tcW w:type="dxa" w:w="4707"/>
            <w:shd w:val="clear" w:color="auto" w:fill="F3F4F6"/>
            <w:vAlign w:val="center"/>
          </w:tcPr>
          <w:p>
            <w:pPr>
              <w:jc w:val="left"/>
            </w:pPr>
            <w:r>
              <w:rPr>
                <w:b/>
                <w:i w:val="0"/>
                <w:color w:val="001F5B"/>
                <w:sz w:val="18"/>
              </w:rPr>
              <w:t>PK on TRANSACTION_REF</w:t>
            </w:r>
          </w:p>
        </w:tc>
        <w:tc>
          <w:tcPr>
            <w:tcW w:type="dxa" w:w="4707"/>
            <w:shd w:val="clear" w:color="auto" w:fill="FFFFFF"/>
            <w:vAlign w:val="center"/>
          </w:tcPr>
          <w:p>
            <w:pPr>
              <w:jc w:val="left"/>
            </w:pPr>
            <w:r>
              <w:rPr>
                <w:b w:val="0"/>
                <w:i w:val="0"/>
                <w:color w:val="111827"/>
                <w:sz w:val="18"/>
              </w:rPr>
              <w:t>Clustered primary key — enables O(log n) single-invoice lookup for post/detail/print routes</w:t>
            </w:r>
          </w:p>
        </w:tc>
      </w:tr>
      <w:tr>
        <w:tc>
          <w:tcPr>
            <w:tcW w:type="dxa" w:w="4707"/>
            <w:shd w:val="clear" w:color="auto" w:fill="F3F4F6"/>
            <w:vAlign w:val="center"/>
          </w:tcPr>
          <w:p>
            <w:pPr>
              <w:jc w:val="left"/>
            </w:pPr>
            <w:r>
              <w:rPr>
                <w:b/>
                <w:i w:val="0"/>
                <w:color w:val="001F5B"/>
                <w:sz w:val="18"/>
              </w:rPr>
              <w:t>IX on REPORTING_STATUS</w:t>
            </w:r>
          </w:p>
        </w:tc>
        <w:tc>
          <w:tcPr>
            <w:tcW w:type="dxa" w:w="4707"/>
            <w:shd w:val="clear" w:color="auto" w:fill="FFFFFF"/>
            <w:vAlign w:val="center"/>
          </w:tcPr>
          <w:p>
            <w:pPr>
              <w:jc w:val="left"/>
            </w:pPr>
            <w:r>
              <w:rPr>
                <w:b w:val="0"/>
                <w:i w:val="0"/>
                <w:color w:val="111827"/>
                <w:sz w:val="18"/>
              </w:rPr>
              <w:t>Non-clustered index recommended — scheduler queries IS NULL on every 5-minute cycle</w:t>
            </w:r>
          </w:p>
        </w:tc>
      </w:tr>
      <w:tr>
        <w:tc>
          <w:tcPr>
            <w:tcW w:type="dxa" w:w="4707"/>
            <w:shd w:val="clear" w:color="auto" w:fill="F3F4F6"/>
            <w:vAlign w:val="center"/>
          </w:tcPr>
          <w:p>
            <w:pPr>
              <w:jc w:val="left"/>
            </w:pPr>
            <w:r>
              <w:rPr>
                <w:b/>
                <w:i w:val="0"/>
                <w:color w:val="001F5B"/>
                <w:sz w:val="18"/>
              </w:rPr>
              <w:t>IX on CURRENCY_CODE</w:t>
            </w:r>
          </w:p>
        </w:tc>
        <w:tc>
          <w:tcPr>
            <w:tcW w:type="dxa" w:w="4707"/>
            <w:shd w:val="clear" w:color="auto" w:fill="FFFFFF"/>
            <w:vAlign w:val="center"/>
          </w:tcPr>
          <w:p>
            <w:pPr>
              <w:jc w:val="left"/>
            </w:pPr>
            <w:r>
              <w:rPr>
                <w:b w:val="0"/>
                <w:i w:val="0"/>
                <w:color w:val="111827"/>
                <w:sz w:val="18"/>
              </w:rPr>
              <w:t>Non-clustered index recommended — DataTables server-side WHERE CURRENCY_CODE=? filter</w:t>
            </w:r>
          </w:p>
        </w:tc>
      </w:tr>
      <w:tr>
        <w:tc>
          <w:tcPr>
            <w:tcW w:type="dxa" w:w="4707"/>
            <w:shd w:val="clear" w:color="auto" w:fill="F3F4F6"/>
            <w:vAlign w:val="center"/>
          </w:tcPr>
          <w:p>
            <w:pPr>
              <w:jc w:val="left"/>
            </w:pPr>
            <w:r>
              <w:rPr>
                <w:b/>
                <w:i w:val="0"/>
                <w:color w:val="001F5B"/>
                <w:sz w:val="18"/>
              </w:rPr>
              <w:t>IX on BOOKING_DATE</w:t>
            </w:r>
          </w:p>
        </w:tc>
        <w:tc>
          <w:tcPr>
            <w:tcW w:type="dxa" w:w="4707"/>
            <w:shd w:val="clear" w:color="auto" w:fill="FFFFFF"/>
            <w:vAlign w:val="center"/>
          </w:tcPr>
          <w:p>
            <w:pPr>
              <w:jc w:val="left"/>
            </w:pPr>
            <w:r>
              <w:rPr>
                <w:b w:val="0"/>
                <w:i w:val="0"/>
                <w:color w:val="111827"/>
                <w:sz w:val="18"/>
              </w:rPr>
              <w:t>Non-clustered index recommended — date range filters in dashboard and report module</w:t>
            </w:r>
          </w:p>
        </w:tc>
      </w:tr>
      <w:tr>
        <w:tc>
          <w:tcPr>
            <w:tcW w:type="dxa" w:w="4707"/>
            <w:shd w:val="clear" w:color="auto" w:fill="F3F4F6"/>
            <w:vAlign w:val="center"/>
          </w:tcPr>
          <w:p>
            <w:pPr>
              <w:jc w:val="left"/>
            </w:pPr>
            <w:r>
              <w:rPr>
                <w:b/>
                <w:i w:val="0"/>
                <w:color w:val="001F5B"/>
                <w:sz w:val="18"/>
              </w:rPr>
              <w:t>PK on EMAIL (FIRS_USERS)</w:t>
            </w:r>
          </w:p>
        </w:tc>
        <w:tc>
          <w:tcPr>
            <w:tcW w:type="dxa" w:w="4707"/>
            <w:shd w:val="clear" w:color="auto" w:fill="FFFFFF"/>
            <w:vAlign w:val="center"/>
          </w:tcPr>
          <w:p>
            <w:pPr>
              <w:jc w:val="left"/>
            </w:pPr>
            <w:r>
              <w:rPr>
                <w:b w:val="0"/>
                <w:i w:val="0"/>
                <w:color w:val="111827"/>
                <w:sz w:val="18"/>
              </w:rPr>
              <w:t>Clustered primary key — login query hits this every authentication attempt</w:t>
            </w:r>
          </w:p>
        </w:tc>
      </w:tr>
    </w:tbl>
    <w:p>
      <w:pPr>
        <w:spacing w:after="8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7 — Internal API Endpoints</w:t>
            </w:r>
          </w:p>
          <w:p>
            <w:pPr>
              <w:spacing w:before="0" w:after="100"/>
              <w:jc w:val="left"/>
            </w:pPr>
            <w:r>
              <w:rPr>
                <w:color w:val="BFD7FF"/>
                <w:sz w:val="17"/>
              </w:rPr>
              <w:t xml:space="preserve">  All Flask routes with method, role requirement, parameters, and response shape</w:t>
            </w:r>
          </w:p>
        </w:tc>
      </w:tr>
    </w:tbl>
    <w:p>
      <w:pPr>
        <w:spacing w:after="80"/>
      </w:pPr>
    </w:p>
    <w:p>
      <w:pPr>
        <w:spacing w:before="320" w:after="100"/>
        <w:pBdr>
          <w:bottom w:val="single" w:sz="8" w:space="2" w:color="003087"/>
        </w:pBdr>
      </w:pPr>
      <w:r>
        <w:rPr>
          <w:b/>
          <w:color w:val="003087"/>
          <w:sz w:val="26"/>
        </w:rPr>
        <w:t>7. API Design — Internal Endpoints</w:t>
      </w:r>
    </w:p>
    <w:p>
      <w:pPr>
        <w:spacing w:before="40" w:after="60"/>
      </w:pPr>
      <w:r>
        <w:rPr>
          <w:b w:val="0"/>
          <w:i w:val="0"/>
          <w:color w:val="111827"/>
          <w:sz w:val="19"/>
        </w:rPr>
        <w:t>All endpoints require an active authenticated session unless marked Public. Session is validated on every request by the before_request hook. Role column indicates the minimum required role; higher roles inherit all permissions.</w:t>
      </w:r>
    </w:p>
    <w:p>
      <w:pPr>
        <w:spacing w:before="220" w:after="60"/>
      </w:pPr>
      <w:r>
        <w:rPr>
          <w:b/>
          <w:color w:val="001F5B"/>
          <w:sz w:val="22"/>
        </w:rPr>
        <w:t>7.1  Authentication Endpoints</w:t>
      </w: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/login</w:t>
            </w:r>
          </w:p>
        </w:tc>
        <w:tc>
          <w:tcPr>
            <w:tcW w:type="dxa" w:w="3138"/>
            <w:shd w:val="clear" w:color="auto" w:fill="EFF6FF"/>
            <w:vAlign w:val="center"/>
          </w:tcPr>
          <w:p>
            <w:pPr>
              <w:jc w:val="center"/>
            </w:pPr>
            <w:r>
              <w:rPr>
                <w:b w:val="0"/>
                <w:i w:val="0"/>
                <w:color w:val="1E40AF"/>
                <w:sz w:val="17"/>
              </w:rPr>
              <w:t>Role: Public</w:t>
            </w:r>
          </w:p>
        </w:tc>
      </w:tr>
    </w:tbl>
    <w:p>
      <w:pPr>
        <w:spacing w:after="20"/>
      </w:pPr>
    </w:p>
    <w:p>
      <w:pPr>
        <w:spacing w:before="0" w:after="20"/>
      </w:pPr>
      <w:r>
        <w:rPr>
          <w:b w:val="0"/>
          <w:i/>
          <w:color w:val="6B7280"/>
          <w:sz w:val="18"/>
        </w:rPr>
        <w:t>Renders the Keystone Bank branded login page. Redirects to / if already authenticated.</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HTML — login.html template</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D1FAE5"/>
            <w:vAlign w:val="center"/>
          </w:tcPr>
          <w:p>
            <w:pPr>
              <w:jc w:val="center"/>
            </w:pPr>
            <w:r>
              <w:rPr>
                <w:b/>
                <w:i w:val="0"/>
                <w:color w:val="16A34A"/>
                <w:sz w:val="18"/>
              </w:rPr>
              <w:t>POST</w:t>
            </w:r>
          </w:p>
        </w:tc>
        <w:tc>
          <w:tcPr>
            <w:tcW w:type="dxa" w:w="3138"/>
            <w:shd w:val="clear" w:color="auto" w:fill="F1F5F9"/>
            <w:vAlign w:val="center"/>
          </w:tcPr>
          <w:p>
            <w:pPr>
              <w:jc w:val="left"/>
            </w:pPr>
            <w:r>
              <w:rPr>
                <w:b/>
                <w:i w:val="0"/>
                <w:color w:val="001F5B"/>
                <w:sz w:val="18"/>
              </w:rPr>
              <w:t xml:space="preserve">  /login</w:t>
            </w:r>
          </w:p>
        </w:tc>
        <w:tc>
          <w:tcPr>
            <w:tcW w:type="dxa" w:w="3138"/>
            <w:shd w:val="clear" w:color="auto" w:fill="EFF6FF"/>
            <w:vAlign w:val="center"/>
          </w:tcPr>
          <w:p>
            <w:pPr>
              <w:jc w:val="center"/>
            </w:pPr>
            <w:r>
              <w:rPr>
                <w:b w:val="0"/>
                <w:i w:val="0"/>
                <w:color w:val="1E40AF"/>
                <w:sz w:val="17"/>
              </w:rPr>
              <w:t>Role: Public</w:t>
            </w:r>
          </w:p>
        </w:tc>
      </w:tr>
    </w:tbl>
    <w:p>
      <w:pPr>
        <w:spacing w:after="20"/>
      </w:pPr>
    </w:p>
    <w:p>
      <w:pPr>
        <w:spacing w:before="0" w:after="20"/>
      </w:pPr>
      <w:r>
        <w:rPr>
          <w:b w:val="0"/>
          <w:i/>
          <w:color w:val="6B7280"/>
          <w:sz w:val="18"/>
        </w:rPr>
        <w:t>Authenticates user credentials. Checks IP lockout first, then verifies EMAIL + PASSWORD_HASH against dbo.FIRS_USERS. On success: sets session[user_id, full_name, role, _last_activity]. On failure: calls _record_failure(ip), returns flash message with remaining attempt count.</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Form fields:</w:t>
              <w:br/>
              <w:t xml:space="preserve">  email=Administrator&amp;password=CRYPTware1%24</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Success: HTTP 302 → /</w:t>
              <w:br/>
              <w:t>Failure: HTTP 200 → login.html + flash message</w:t>
              <w:br/>
              <w:t>Locked:  HTTP 200 → login.html + lockout timer message</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/logout</w:t>
            </w:r>
          </w:p>
        </w:tc>
        <w:tc>
          <w:tcPr>
            <w:tcW w:type="dxa" w:w="3138"/>
            <w:shd w:val="clear" w:color="auto" w:fill="EFF6FF"/>
            <w:vAlign w:val="center"/>
          </w:tcPr>
          <w:p>
            <w:pPr>
              <w:jc w:val="center"/>
            </w:pPr>
            <w:r>
              <w:rPr>
                <w:b w:val="0"/>
                <w:i w:val="0"/>
                <w:color w:val="1E40AF"/>
                <w:sz w:val="17"/>
              </w:rPr>
              <w:t>Role: Any authenticated</w:t>
            </w:r>
          </w:p>
        </w:tc>
      </w:tr>
    </w:tbl>
    <w:p>
      <w:pPr>
        <w:spacing w:after="20"/>
      </w:pPr>
    </w:p>
    <w:p>
      <w:pPr>
        <w:spacing w:before="0" w:after="20"/>
      </w:pPr>
      <w:r>
        <w:rPr>
          <w:b w:val="0"/>
          <w:i/>
          <w:color w:val="6B7280"/>
          <w:sz w:val="18"/>
        </w:rPr>
        <w:t>Clears the Flask session completely (session.clear()) and redirects to /login.</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HTTP 302 → /login</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/api/ping</w:t>
            </w:r>
          </w:p>
        </w:tc>
        <w:tc>
          <w:tcPr>
            <w:tcW w:type="dxa" w:w="3138"/>
            <w:shd w:val="clear" w:color="auto" w:fill="EFF6FF"/>
            <w:vAlign w:val="center"/>
          </w:tcPr>
          <w:p>
            <w:pPr>
              <w:jc w:val="center"/>
            </w:pPr>
            <w:r>
              <w:rPr>
                <w:b w:val="0"/>
                <w:i w:val="0"/>
                <w:color w:val="1E40AF"/>
                <w:sz w:val="17"/>
              </w:rPr>
              <w:t>Role: Any authenticated</w:t>
            </w:r>
          </w:p>
        </w:tc>
      </w:tr>
    </w:tbl>
    <w:p>
      <w:pPr>
        <w:spacing w:after="20"/>
      </w:pPr>
    </w:p>
    <w:p>
      <w:pPr>
        <w:spacing w:before="0" w:after="20"/>
      </w:pPr>
      <w:r>
        <w:rPr>
          <w:b w:val="0"/>
          <w:i/>
          <w:color w:val="6B7280"/>
          <w:sz w:val="18"/>
        </w:rPr>
        <w:t>Session keepalive endpoint called by the client-side session timer JS every 60 seconds when the user is active. Updates session["_last_activity"] to reset the 15-minute timer. Returns JSON 200 or JSON 401 if session has already expired.</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{"status": "ok"}  or  {"error": "session_expired"} (HTTP 401)</w:t>
            </w:r>
          </w:p>
        </w:tc>
      </w:tr>
    </w:tbl>
    <w:p>
      <w:pPr>
        <w:spacing w:after="60"/>
      </w:pPr>
    </w:p>
    <w:p>
      <w:pPr>
        <w:spacing w:after="80"/>
      </w:pPr>
    </w:p>
    <w:p>
      <w:pPr>
        <w:spacing w:before="220" w:after="60"/>
      </w:pPr>
      <w:r>
        <w:rPr>
          <w:b/>
          <w:color w:val="001F5B"/>
          <w:sz w:val="22"/>
        </w:rPr>
        <w:t>7.2  Dashboard &amp; Invoice Endpoints</w:t>
      </w: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w:t>
            </w:r>
          </w:p>
        </w:tc>
        <w:tc>
          <w:tcPr>
            <w:tcW w:type="dxa" w:w="3138"/>
            <w:shd w:val="clear" w:color="auto" w:fill="EFF6FF"/>
            <w:vAlign w:val="center"/>
          </w:tcPr>
          <w:p>
            <w:pPr>
              <w:jc w:val="center"/>
            </w:pPr>
            <w:r>
              <w:rPr>
                <w:b w:val="0"/>
                <w:i w:val="0"/>
                <w:color w:val="1E40AF"/>
                <w:sz w:val="17"/>
              </w:rPr>
              <w:t>Role: Viewer+</w:t>
            </w:r>
          </w:p>
        </w:tc>
      </w:tr>
    </w:tbl>
    <w:p>
      <w:pPr>
        <w:spacing w:after="20"/>
      </w:pPr>
    </w:p>
    <w:p>
      <w:pPr>
        <w:spacing w:before="0" w:after="20"/>
      </w:pPr>
      <w:r>
        <w:rPr>
          <w:b w:val="0"/>
          <w:i/>
          <w:color w:val="6B7280"/>
          <w:sz w:val="18"/>
        </w:rPr>
        <w:t>Renders the home dashboard. Executes four SQL COUNT queries against dbo.REPORT (total, submitted, pending, failed) and a GROUP BY BOOKING_DATE query for the trend chart. Also fetches the 10 most recently updated invoices for the Recent Activity table.</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HTML — index.html with KPI card data and chart JSON</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/invoices</w:t>
            </w:r>
          </w:p>
        </w:tc>
        <w:tc>
          <w:tcPr>
            <w:tcW w:type="dxa" w:w="3138"/>
            <w:shd w:val="clear" w:color="auto" w:fill="EFF6FF"/>
            <w:vAlign w:val="center"/>
          </w:tcPr>
          <w:p>
            <w:pPr>
              <w:jc w:val="center"/>
            </w:pPr>
            <w:r>
              <w:rPr>
                <w:b w:val="0"/>
                <w:i w:val="0"/>
                <w:color w:val="1E40AF"/>
                <w:sz w:val="17"/>
              </w:rPr>
              <w:t>Role: Viewer+</w:t>
            </w:r>
          </w:p>
        </w:tc>
      </w:tr>
    </w:tbl>
    <w:p>
      <w:pPr>
        <w:spacing w:after="20"/>
      </w:pPr>
    </w:p>
    <w:p>
      <w:pPr>
        <w:spacing w:before="0" w:after="20"/>
      </w:pPr>
      <w:r>
        <w:rPr>
          <w:b w:val="0"/>
          <w:i/>
          <w:color w:val="6B7280"/>
          <w:sz w:val="18"/>
        </w:rPr>
        <w:t>Renders the invoice list page shell. The actual invoice data is loaded asynchronously via /api/invoices (DataTables Ajax). This endpoint only renders the filter controls, table structure, and pagination container.</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HTML — invoices.html</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/api/invoices</w:t>
            </w:r>
          </w:p>
        </w:tc>
        <w:tc>
          <w:tcPr>
            <w:tcW w:type="dxa" w:w="3138"/>
            <w:shd w:val="clear" w:color="auto" w:fill="EFF6FF"/>
            <w:vAlign w:val="center"/>
          </w:tcPr>
          <w:p>
            <w:pPr>
              <w:jc w:val="center"/>
            </w:pPr>
            <w:r>
              <w:rPr>
                <w:b w:val="0"/>
                <w:i w:val="0"/>
                <w:color w:val="1E40AF"/>
                <w:sz w:val="17"/>
              </w:rPr>
              <w:t>Role: Viewer+</w:t>
            </w:r>
          </w:p>
        </w:tc>
      </w:tr>
    </w:tbl>
    <w:p>
      <w:pPr>
        <w:spacing w:after="20"/>
      </w:pPr>
    </w:p>
    <w:p>
      <w:pPr>
        <w:spacing w:before="0" w:after="20"/>
      </w:pPr>
      <w:r>
        <w:rPr>
          <w:b w:val="0"/>
          <w:i/>
          <w:color w:val="6B7280"/>
          <w:sz w:val="18"/>
        </w:rPr>
        <w:t>DataTables server-side processing endpoint. Builds a parameterised SQL query with search, currency, status, date, ORDER BY, OFFSET/FETCH. Returns DataTables-compatible JSON.</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Query params:</w:t>
              <w:br/>
              <w:t xml:space="preserve">  draw=1          (DataTables draw counter)</w:t>
              <w:br/>
              <w:t xml:space="preserve">  start=0         (pagination offset)</w:t>
              <w:br/>
              <w:t xml:space="preserve">  length=25       (page size: 10/25/50/100)</w:t>
              <w:br/>
              <w:t xml:space="preserve">  search[value]=FT2600   (full-text search across TRANSACTION_REF, CUSTOMER_NAME)</w:t>
              <w:br/>
              <w:t xml:space="preserve">  currency=USD    (optional — filters WHERE CURRENCY_CODE=?)</w:t>
              <w:br/>
              <w:t xml:space="preserve">  status=1        (optional — filters WHERE REPORTING_STATUS=? or IS NULL)</w:t>
              <w:br/>
              <w:t xml:space="preserve">  date_from=2026-01-01   (optional — filters WHERE BOOKING_DATE &gt;= ?)</w:t>
              <w:br/>
              <w:t xml:space="preserve">  date_to=2026-12-31     (optional — filters WHERE BOOKING_DATE &lt;= ?)</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w:t>
              <w:br/>
              <w:t xml:space="preserve">  "draw": 1,</w:t>
              <w:br/>
              <w:t xml:space="preserve">  "recordsTotal": 1482,</w:t>
              <w:br/>
              <w:t xml:space="preserve">  "recordsFiltered": 247,</w:t>
              <w:br/>
              <w:t xml:space="preserve">  "data": [</w:t>
              <w:br/>
              <w:t xml:space="preserve">    {"ref":"FT26008939582204","date":"2026-01-15","customer":"ACME CORP",</w:t>
              <w:br/>
              <w:t xml:space="preserve">     "amount":"USD 50,000.00","status":1,"irn":"IRN-2026-KB-001","env":"PREPROD",...},</w:t>
              <w:br/>
              <w:t xml:space="preserve">    ...</w:t>
              <w:br/>
              <w:t xml:space="preserve">  ]</w:t>
              <w:br/>
              <w:t>}</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/invoices/&lt;ref&gt;</w:t>
            </w:r>
          </w:p>
        </w:tc>
        <w:tc>
          <w:tcPr>
            <w:tcW w:type="dxa" w:w="3138"/>
            <w:shd w:val="clear" w:color="auto" w:fill="EFF6FF"/>
            <w:vAlign w:val="center"/>
          </w:tcPr>
          <w:p>
            <w:pPr>
              <w:jc w:val="center"/>
            </w:pPr>
            <w:r>
              <w:rPr>
                <w:b w:val="0"/>
                <w:i w:val="0"/>
                <w:color w:val="1E40AF"/>
                <w:sz w:val="17"/>
              </w:rPr>
              <w:t>Role: Viewer+</w:t>
            </w:r>
          </w:p>
        </w:tc>
      </w:tr>
    </w:tbl>
    <w:p>
      <w:pPr>
        <w:spacing w:after="20"/>
      </w:pPr>
    </w:p>
    <w:p>
      <w:pPr>
        <w:spacing w:before="0" w:after="20"/>
      </w:pPr>
      <w:r>
        <w:rPr>
          <w:b w:val="0"/>
          <w:i/>
          <w:color w:val="6B7280"/>
          <w:sz w:val="18"/>
        </w:rPr>
        <w:t>Fetches the full invoice record for TRANSACTION_REF=ref from dbo.REPORT and renders the detail view with all fields, IRN, QR code, and status.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Path param: ref = TRANSACTION_REF value (e.g. FT26008939582204)</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HTML — invoice_detail.html</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D1FAE5"/>
            <w:vAlign w:val="center"/>
          </w:tcPr>
          <w:p>
            <w:pPr>
              <w:jc w:val="center"/>
            </w:pPr>
            <w:r>
              <w:rPr>
                <w:b/>
                <w:i w:val="0"/>
                <w:color w:val="16A34A"/>
                <w:sz w:val="18"/>
              </w:rPr>
              <w:t>POST</w:t>
            </w:r>
          </w:p>
        </w:tc>
        <w:tc>
          <w:tcPr>
            <w:tcW w:type="dxa" w:w="3138"/>
            <w:shd w:val="clear" w:color="auto" w:fill="F1F5F9"/>
            <w:vAlign w:val="center"/>
          </w:tcPr>
          <w:p>
            <w:pPr>
              <w:jc w:val="left"/>
            </w:pPr>
            <w:r>
              <w:rPr>
                <w:b/>
                <w:i w:val="0"/>
                <w:color w:val="001F5B"/>
                <w:sz w:val="18"/>
              </w:rPr>
              <w:t xml:space="preserve">  /invoices/&lt;ref&gt;/post</w:t>
            </w:r>
          </w:p>
        </w:tc>
        <w:tc>
          <w:tcPr>
            <w:tcW w:type="dxa" w:w="3138"/>
            <w:shd w:val="clear" w:color="auto" w:fill="EFF6FF"/>
            <w:vAlign w:val="center"/>
          </w:tcPr>
          <w:p>
            <w:pPr>
              <w:jc w:val="center"/>
            </w:pPr>
            <w:r>
              <w:rPr>
                <w:b w:val="0"/>
                <w:i w:val="0"/>
                <w:color w:val="1E40AF"/>
                <w:sz w:val="17"/>
              </w:rPr>
              <w:t>Role: Operator+</w:t>
            </w:r>
          </w:p>
        </w:tc>
      </w:tr>
    </w:tbl>
    <w:p>
      <w:pPr>
        <w:spacing w:after="20"/>
      </w:pPr>
    </w:p>
    <w:p>
      <w:pPr>
        <w:spacing w:before="0" w:after="20"/>
      </w:pPr>
      <w:r>
        <w:rPr>
          <w:b w:val="0"/>
          <w:i/>
          <w:color w:val="6B7280"/>
          <w:sz w:val="18"/>
        </w:rPr>
        <w:t>Manually submits a single invoice to the FIRS API. Builds the payload, calls the Cryptware API, and updates dbo.REPORT. Returns JSON for AJAX handling by the DataTables row. Returns 403 redirect for non-Operator roles.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Path param: ref = TRANSACTION_REF</w:t>
              <w:br/>
              <w:t>No request body required.</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Success: {"status":"ok","irn":"IRN-2026-KB-XXX","message":"Posted — IRN: ..."}</w:t>
              <w:br/>
              <w:t>Failure: {"status":"error","message":"&lt;API error text&gt;"}</w:t>
              <w:br/>
              <w:t>Already submitted: {"status":"already","irn":"IRN-2026-KB-XXX"}</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/invoices/&lt;ref&gt;/print</w:t>
            </w:r>
          </w:p>
        </w:tc>
        <w:tc>
          <w:tcPr>
            <w:tcW w:type="dxa" w:w="3138"/>
            <w:shd w:val="clear" w:color="auto" w:fill="EFF6FF"/>
            <w:vAlign w:val="center"/>
          </w:tcPr>
          <w:p>
            <w:pPr>
              <w:jc w:val="center"/>
            </w:pPr>
            <w:r>
              <w:rPr>
                <w:b w:val="0"/>
                <w:i w:val="0"/>
                <w:color w:val="1E40AF"/>
                <w:sz w:val="17"/>
              </w:rPr>
              <w:t>Role: Viewer+</w:t>
            </w:r>
          </w:p>
        </w:tc>
      </w:tr>
    </w:tbl>
    <w:p>
      <w:pPr>
        <w:spacing w:after="20"/>
      </w:pPr>
    </w:p>
    <w:p>
      <w:pPr>
        <w:spacing w:before="0" w:after="20"/>
      </w:pPr>
      <w:r>
        <w:rPr>
          <w:b w:val="0"/>
          <w:i/>
          <w:color w:val="6B7280"/>
          <w:sz w:val="18"/>
        </w:rPr>
        <w:t>Renders a print-ready invoice view. Excludes the Environment row. Includes IRN in the metadata table. Shows QR code image if QR_CODE_URL is populated. Opens in a new browser tab.</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HTML — print.html (print-optimised CSS)</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/invoices/&lt;ref&gt;/pdf</w:t>
            </w:r>
          </w:p>
        </w:tc>
        <w:tc>
          <w:tcPr>
            <w:tcW w:type="dxa" w:w="3138"/>
            <w:shd w:val="clear" w:color="auto" w:fill="EFF6FF"/>
            <w:vAlign w:val="center"/>
          </w:tcPr>
          <w:p>
            <w:pPr>
              <w:jc w:val="center"/>
            </w:pPr>
            <w:r>
              <w:rPr>
                <w:b w:val="0"/>
                <w:i w:val="0"/>
                <w:color w:val="1E40AF"/>
                <w:sz w:val="17"/>
              </w:rPr>
              <w:t>Role: Viewer+</w:t>
            </w:r>
          </w:p>
        </w:tc>
      </w:tr>
    </w:tbl>
    <w:p>
      <w:pPr>
        <w:spacing w:after="20"/>
      </w:pPr>
    </w:p>
    <w:p>
      <w:pPr>
        <w:spacing w:before="0" w:after="20"/>
      </w:pPr>
      <w:r>
        <w:rPr>
          <w:b w:val="0"/>
          <w:i/>
          <w:color w:val="6B7280"/>
          <w:sz w:val="18"/>
        </w:rPr>
        <w:t>Generates and streams a PDF version of the invoice. Uses the same print.html template rendered server-side. Response header Content-Disposition triggers browser download.</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Binary PDF stream  |  Content-Disposition: attachment; filename=Invoice_&lt;ref&gt;.pdf</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/invoices/export</w:t>
            </w:r>
          </w:p>
        </w:tc>
        <w:tc>
          <w:tcPr>
            <w:tcW w:type="dxa" w:w="3138"/>
            <w:shd w:val="clear" w:color="auto" w:fill="EFF6FF"/>
            <w:vAlign w:val="center"/>
          </w:tcPr>
          <w:p>
            <w:pPr>
              <w:jc w:val="center"/>
            </w:pPr>
            <w:r>
              <w:rPr>
                <w:b w:val="0"/>
                <w:i w:val="0"/>
                <w:color w:val="1E40AF"/>
                <w:sz w:val="17"/>
              </w:rPr>
              <w:t>Role: Operator+</w:t>
            </w:r>
          </w:p>
        </w:tc>
      </w:tr>
    </w:tbl>
    <w:p>
      <w:pPr>
        <w:spacing w:after="20"/>
      </w:pPr>
    </w:p>
    <w:p>
      <w:pPr>
        <w:spacing w:before="0" w:after="20"/>
      </w:pPr>
      <w:r>
        <w:rPr>
          <w:b w:val="0"/>
          <w:i/>
          <w:color w:val="6B7280"/>
          <w:sz w:val="18"/>
        </w:rPr>
        <w:t>Exports the current invoice list (with any active filters from query params) to a single-sheet .xlsx file using openpyxl. Applies the same WHERE filters as /api/invoices.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Query params: same as /api/invoices (currency, status, date_from, date_to, search)</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Binary .xlsx stream  |  Content-Disposition: attachment; filename=Invoices_YYYYMMDD_HHmm.xlsx</w:t>
            </w:r>
          </w:p>
        </w:tc>
      </w:tr>
    </w:tbl>
    <w:p>
      <w:pPr>
        <w:spacing w:after="60"/>
      </w:pPr>
    </w:p>
    <w:p>
      <w:pPr>
        <w:spacing w:after="80"/>
      </w:pPr>
    </w:p>
    <w:p>
      <w:pPr>
        <w:spacing w:before="220" w:after="60"/>
      </w:pPr>
      <w:r>
        <w:rPr>
          <w:b/>
          <w:color w:val="001F5B"/>
          <w:sz w:val="22"/>
        </w:rPr>
        <w:t>7.3  Report Endpoints</w:t>
      </w: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/report</w:t>
            </w:r>
          </w:p>
        </w:tc>
        <w:tc>
          <w:tcPr>
            <w:tcW w:type="dxa" w:w="3138"/>
            <w:shd w:val="clear" w:color="auto" w:fill="EFF6FF"/>
            <w:vAlign w:val="center"/>
          </w:tcPr>
          <w:p>
            <w:pPr>
              <w:jc w:val="center"/>
            </w:pPr>
            <w:r>
              <w:rPr>
                <w:b w:val="0"/>
                <w:i w:val="0"/>
                <w:color w:val="1E40AF"/>
                <w:sz w:val="17"/>
              </w:rPr>
              <w:t>Role: Manager+</w:t>
            </w:r>
          </w:p>
        </w:tc>
      </w:tr>
    </w:tbl>
    <w:p>
      <w:pPr>
        <w:spacing w:after="20"/>
      </w:pPr>
    </w:p>
    <w:p>
      <w:pPr>
        <w:spacing w:before="0" w:after="20"/>
      </w:pPr>
      <w:r>
        <w:rPr>
          <w:b w:val="0"/>
          <w:i/>
          <w:color w:val="6B7280"/>
          <w:sz w:val="18"/>
        </w:rPr>
        <w:t>Renders the CFO report page. Executes multiple aggregate SQL queries: COUNT by status, SUM(AMOUNT) by CURRENCY_CODE, GROUP BY customer, GROUP BY month. Returns rendered HTML with all data embedded as template variables and Chart.js JSON.</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HTML — report.html with KPI cards, currency table, top-10 table, trend chart</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/report/export</w:t>
            </w:r>
          </w:p>
        </w:tc>
        <w:tc>
          <w:tcPr>
            <w:tcW w:type="dxa" w:w="3138"/>
            <w:shd w:val="clear" w:color="auto" w:fill="EFF6FF"/>
            <w:vAlign w:val="center"/>
          </w:tcPr>
          <w:p>
            <w:pPr>
              <w:jc w:val="center"/>
            </w:pPr>
            <w:r>
              <w:rPr>
                <w:b w:val="0"/>
                <w:i w:val="0"/>
                <w:color w:val="1E40AF"/>
                <w:sz w:val="17"/>
              </w:rPr>
              <w:t>Role: Manager+</w:t>
            </w:r>
          </w:p>
        </w:tc>
      </w:tr>
    </w:tbl>
    <w:p>
      <w:pPr>
        <w:spacing w:after="20"/>
      </w:pPr>
    </w:p>
    <w:p>
      <w:pPr>
        <w:spacing w:before="0" w:after="20"/>
      </w:pPr>
      <w:r>
        <w:rPr>
          <w:b w:val="0"/>
          <w:i/>
          <w:color w:val="6B7280"/>
          <w:sz w:val="18"/>
        </w:rPr>
        <w:t>Generates a 5-sheet Excel workbook: Executive Summary, Currency Breakdown, Tax Analysis, Invoice Types, All Invoices. Uses openpyxl with dark blue headers, alternating row shading, and number-formatted amount columns.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Binary .xlsx stream  |  Content-Disposition: attachment; filename=FIRS_Report_YYYYMMDD_HHmm.xlsx</w:t>
            </w:r>
          </w:p>
        </w:tc>
      </w:tr>
    </w:tbl>
    <w:p>
      <w:pPr>
        <w:spacing w:after="60"/>
      </w:pPr>
    </w:p>
    <w:p>
      <w:pPr>
        <w:spacing w:after="80"/>
      </w:pPr>
    </w:p>
    <w:p>
      <w:pPr>
        <w:spacing w:before="220" w:after="60"/>
      </w:pPr>
      <w:r>
        <w:rPr>
          <w:b/>
          <w:color w:val="001F5B"/>
          <w:sz w:val="22"/>
        </w:rPr>
        <w:t>7.4  Admin / User Management Endpoints</w:t>
      </w:r>
    </w:p>
    <w:tbl>
      <w:tblPr>
        <w:tblW w:type="auto" w:w="0"/>
        <w:jc w:val="left"/>
        <w:tblLook w:firstColumn="1" w:firstRow="1" w:lastColumn="0" w:lastRow="0" w:noHBand="0" w:noVBand="1" w:val="04A0"/>
      </w:tblPr>
      <w:tblGrid>
        <w:gridCol w:w="936"/>
        <w:gridCol w:w="5040"/>
        <w:gridCol w:w="3672"/>
      </w:tblGrid>
      <w:tr>
        <w:tc>
          <w:tcPr>
            <w:tcW w:type="dxa" w:w="3138"/>
            <w:shd w:val="clear" w:color="auto" w:fill="CCFBF1"/>
            <w:vAlign w:val="center"/>
          </w:tcPr>
          <w:p>
            <w:pPr>
              <w:jc w:val="center"/>
            </w:pPr>
            <w:r>
              <w:rPr>
                <w:b/>
                <w:i w:val="0"/>
                <w:color w:val="0D9488"/>
                <w:sz w:val="18"/>
              </w:rPr>
              <w:t>GET</w:t>
            </w:r>
          </w:p>
        </w:tc>
        <w:tc>
          <w:tcPr>
            <w:tcW w:type="dxa" w:w="3138"/>
            <w:shd w:val="clear" w:color="auto" w:fill="F1F5F9"/>
            <w:vAlign w:val="center"/>
          </w:tcPr>
          <w:p>
            <w:pPr>
              <w:jc w:val="left"/>
            </w:pPr>
            <w:r>
              <w:rPr>
                <w:b/>
                <w:i w:val="0"/>
                <w:color w:val="001F5B"/>
                <w:sz w:val="18"/>
              </w:rPr>
              <w:t xml:space="preserve">  /admin/users</w:t>
            </w:r>
          </w:p>
        </w:tc>
        <w:tc>
          <w:tcPr>
            <w:tcW w:type="dxa" w:w="3138"/>
            <w:shd w:val="clear" w:color="auto" w:fill="EFF6FF"/>
            <w:vAlign w:val="center"/>
          </w:tcPr>
          <w:p>
            <w:pPr>
              <w:jc w:val="center"/>
            </w:pPr>
            <w:r>
              <w:rPr>
                <w:b w:val="0"/>
                <w:i w:val="0"/>
                <w:color w:val="1E40AF"/>
                <w:sz w:val="17"/>
              </w:rPr>
              <w:t>Role: Administrator</w:t>
            </w:r>
          </w:p>
        </w:tc>
      </w:tr>
    </w:tbl>
    <w:p>
      <w:pPr>
        <w:spacing w:after="20"/>
      </w:pPr>
    </w:p>
    <w:p>
      <w:pPr>
        <w:spacing w:before="0" w:after="20"/>
      </w:pPr>
      <w:r>
        <w:rPr>
          <w:b w:val="0"/>
          <w:i/>
          <w:color w:val="6B7280"/>
          <w:sz w:val="18"/>
        </w:rPr>
        <w:t>Renders the user management page with the full dbo.FIRS_USERS list and the role permissions reference table.</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HTML — admin_users.html</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D1FAE5"/>
            <w:vAlign w:val="center"/>
          </w:tcPr>
          <w:p>
            <w:pPr>
              <w:jc w:val="center"/>
            </w:pPr>
            <w:r>
              <w:rPr>
                <w:b/>
                <w:i w:val="0"/>
                <w:color w:val="16A34A"/>
                <w:sz w:val="18"/>
              </w:rPr>
              <w:t>POST</w:t>
            </w:r>
          </w:p>
        </w:tc>
        <w:tc>
          <w:tcPr>
            <w:tcW w:type="dxa" w:w="3138"/>
            <w:shd w:val="clear" w:color="auto" w:fill="F1F5F9"/>
            <w:vAlign w:val="center"/>
          </w:tcPr>
          <w:p>
            <w:pPr>
              <w:jc w:val="left"/>
            </w:pPr>
            <w:r>
              <w:rPr>
                <w:b/>
                <w:i w:val="0"/>
                <w:color w:val="001F5B"/>
                <w:sz w:val="18"/>
              </w:rPr>
              <w:t xml:space="preserve">  /admin/users/add</w:t>
            </w:r>
          </w:p>
        </w:tc>
        <w:tc>
          <w:tcPr>
            <w:tcW w:type="dxa" w:w="3138"/>
            <w:shd w:val="clear" w:color="auto" w:fill="EFF6FF"/>
            <w:vAlign w:val="center"/>
          </w:tcPr>
          <w:p>
            <w:pPr>
              <w:jc w:val="center"/>
            </w:pPr>
            <w:r>
              <w:rPr>
                <w:b w:val="0"/>
                <w:i w:val="0"/>
                <w:color w:val="1E40AF"/>
                <w:sz w:val="17"/>
              </w:rPr>
              <w:t>Role: Administrator</w:t>
            </w:r>
          </w:p>
        </w:tc>
      </w:tr>
    </w:tbl>
    <w:p>
      <w:pPr>
        <w:spacing w:after="20"/>
      </w:pPr>
    </w:p>
    <w:p>
      <w:pPr>
        <w:spacing w:before="0" w:after="20"/>
      </w:pPr>
      <w:r>
        <w:rPr>
          <w:b w:val="0"/>
          <w:i/>
          <w:color w:val="6B7280"/>
          <w:sz w:val="18"/>
        </w:rPr>
        <w:t>Creates a new user. Validates all fields including password complexity via _validate_password(). Hashes password with generate_password_hash(). Inserts into dbo.FIRS_USERS. Returns redirect with flash.</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Form: email, full_name, role, password</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HTTP 302 → /admin/users + flash success/error</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D1FAE5"/>
            <w:vAlign w:val="center"/>
          </w:tcPr>
          <w:p>
            <w:pPr>
              <w:jc w:val="center"/>
            </w:pPr>
            <w:r>
              <w:rPr>
                <w:b/>
                <w:i w:val="0"/>
                <w:color w:val="16A34A"/>
                <w:sz w:val="18"/>
              </w:rPr>
              <w:t>POST</w:t>
            </w:r>
          </w:p>
        </w:tc>
        <w:tc>
          <w:tcPr>
            <w:tcW w:type="dxa" w:w="3138"/>
            <w:shd w:val="clear" w:color="auto" w:fill="F1F5F9"/>
            <w:vAlign w:val="center"/>
          </w:tcPr>
          <w:p>
            <w:pPr>
              <w:jc w:val="left"/>
            </w:pPr>
            <w:r>
              <w:rPr>
                <w:b/>
                <w:i w:val="0"/>
                <w:color w:val="001F5B"/>
                <w:sz w:val="18"/>
              </w:rPr>
              <w:t xml:space="preserve">  /admin/users/&lt;email&gt;/edit</w:t>
            </w:r>
          </w:p>
        </w:tc>
        <w:tc>
          <w:tcPr>
            <w:tcW w:type="dxa" w:w="3138"/>
            <w:shd w:val="clear" w:color="auto" w:fill="EFF6FF"/>
            <w:vAlign w:val="center"/>
          </w:tcPr>
          <w:p>
            <w:pPr>
              <w:jc w:val="center"/>
            </w:pPr>
            <w:r>
              <w:rPr>
                <w:b w:val="0"/>
                <w:i w:val="0"/>
                <w:color w:val="1E40AF"/>
                <w:sz w:val="17"/>
              </w:rPr>
              <w:t>Role: Administrator</w:t>
            </w:r>
          </w:p>
        </w:tc>
      </w:tr>
    </w:tbl>
    <w:p>
      <w:pPr>
        <w:spacing w:after="20"/>
      </w:pPr>
    </w:p>
    <w:p>
      <w:pPr>
        <w:spacing w:before="0" w:after="20"/>
      </w:pPr>
      <w:r>
        <w:rPr>
          <w:b w:val="0"/>
          <w:i/>
          <w:color w:val="6B7280"/>
          <w:sz w:val="18"/>
        </w:rPr>
        <w:t>Updates FULL_NAME, ROLE, IS_ACTIVE for an existing user. Prevents disabling the last active Administrator.</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Form: full_name, role, is_active</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HTTP 302 → /admin/users + flash</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D1FAE5"/>
            <w:vAlign w:val="center"/>
          </w:tcPr>
          <w:p>
            <w:pPr>
              <w:jc w:val="center"/>
            </w:pPr>
            <w:r>
              <w:rPr>
                <w:b/>
                <w:i w:val="0"/>
                <w:color w:val="16A34A"/>
                <w:sz w:val="18"/>
              </w:rPr>
              <w:t>POST</w:t>
            </w:r>
          </w:p>
        </w:tc>
        <w:tc>
          <w:tcPr>
            <w:tcW w:type="dxa" w:w="3138"/>
            <w:shd w:val="clear" w:color="auto" w:fill="F1F5F9"/>
            <w:vAlign w:val="center"/>
          </w:tcPr>
          <w:p>
            <w:pPr>
              <w:jc w:val="left"/>
            </w:pPr>
            <w:r>
              <w:rPr>
                <w:b/>
                <w:i w:val="0"/>
                <w:color w:val="001F5B"/>
                <w:sz w:val="18"/>
              </w:rPr>
              <w:t xml:space="preserve">  /admin/users/&lt;email&gt;/reset-password</w:t>
            </w:r>
          </w:p>
        </w:tc>
        <w:tc>
          <w:tcPr>
            <w:tcW w:type="dxa" w:w="3138"/>
            <w:shd w:val="clear" w:color="auto" w:fill="EFF6FF"/>
            <w:vAlign w:val="center"/>
          </w:tcPr>
          <w:p>
            <w:pPr>
              <w:jc w:val="center"/>
            </w:pPr>
            <w:r>
              <w:rPr>
                <w:b w:val="0"/>
                <w:i w:val="0"/>
                <w:color w:val="1E40AF"/>
                <w:sz w:val="17"/>
              </w:rPr>
              <w:t>Role: Administrator</w:t>
            </w:r>
          </w:p>
        </w:tc>
      </w:tr>
    </w:tbl>
    <w:p>
      <w:pPr>
        <w:spacing w:after="20"/>
      </w:pPr>
    </w:p>
    <w:p>
      <w:pPr>
        <w:spacing w:before="0" w:after="20"/>
      </w:pPr>
      <w:r>
        <w:rPr>
          <w:b w:val="0"/>
          <w:i/>
          <w:color w:val="6B7280"/>
          <w:sz w:val="18"/>
        </w:rPr>
        <w:t>Resets a user's password. Validates new password against complexity policy. Updates PASSWORD_HASH in dbo.FIRS_USERS.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Form: password (new password)</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HTTP 302 → /admin/users + flash</w:t>
            </w:r>
          </w:p>
        </w:tc>
      </w:tr>
    </w:tbl>
    <w:p>
      <w:pPr>
        <w:spacing w:after="60"/>
      </w:pPr>
    </w:p>
    <w:p>
      <w:pPr>
        <w:spacing w:after="80"/>
      </w:pPr>
    </w:p>
    <w:tbl>
      <w:tblPr>
        <w:tblW w:type="auto" w:w="0"/>
        <w:jc w:val="left"/>
        <w:tblLook w:firstColumn="1" w:firstRow="1" w:lastColumn="0" w:lastRow="0" w:noHBand="0" w:noVBand="1" w:val="04A0"/>
      </w:tblPr>
      <w:tblGrid>
        <w:gridCol w:w="936"/>
        <w:gridCol w:w="5040"/>
        <w:gridCol w:w="3672"/>
      </w:tblGrid>
      <w:tr>
        <w:tc>
          <w:tcPr>
            <w:tcW w:type="dxa" w:w="3138"/>
            <w:shd w:val="clear" w:color="auto" w:fill="D1FAE5"/>
            <w:vAlign w:val="center"/>
          </w:tcPr>
          <w:p>
            <w:pPr>
              <w:jc w:val="center"/>
            </w:pPr>
            <w:r>
              <w:rPr>
                <w:b/>
                <w:i w:val="0"/>
                <w:color w:val="16A34A"/>
                <w:sz w:val="18"/>
              </w:rPr>
              <w:t>POST</w:t>
            </w:r>
          </w:p>
        </w:tc>
        <w:tc>
          <w:tcPr>
            <w:tcW w:type="dxa" w:w="3138"/>
            <w:shd w:val="clear" w:color="auto" w:fill="F1F5F9"/>
            <w:vAlign w:val="center"/>
          </w:tcPr>
          <w:p>
            <w:pPr>
              <w:jc w:val="left"/>
            </w:pPr>
            <w:r>
              <w:rPr>
                <w:b/>
                <w:i w:val="0"/>
                <w:color w:val="001F5B"/>
                <w:sz w:val="18"/>
              </w:rPr>
              <w:t xml:space="preserve">  /admin/users/&lt;email&gt;/delete</w:t>
            </w:r>
          </w:p>
        </w:tc>
        <w:tc>
          <w:tcPr>
            <w:tcW w:type="dxa" w:w="3138"/>
            <w:shd w:val="clear" w:color="auto" w:fill="EFF6FF"/>
            <w:vAlign w:val="center"/>
          </w:tcPr>
          <w:p>
            <w:pPr>
              <w:jc w:val="center"/>
            </w:pPr>
            <w:r>
              <w:rPr>
                <w:b w:val="0"/>
                <w:i w:val="0"/>
                <w:color w:val="1E40AF"/>
                <w:sz w:val="17"/>
              </w:rPr>
              <w:t>Role: Administrator</w:t>
            </w:r>
          </w:p>
        </w:tc>
      </w:tr>
    </w:tbl>
    <w:p>
      <w:pPr>
        <w:spacing w:after="20"/>
      </w:pPr>
    </w:p>
    <w:p>
      <w:pPr>
        <w:spacing w:before="0" w:after="20"/>
      </w:pPr>
      <w:r>
        <w:rPr>
          <w:b w:val="0"/>
          <w:i/>
          <w:color w:val="6B7280"/>
          <w:sz w:val="18"/>
        </w:rPr>
        <w:t>Deletes a user account. Guards against deleting the only active Administrator: queries COUNT(*) WHERE ROLE='Administrator' AND IS_ACTIVE=1 before deletion.</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Request Body / Parameters</w:t>
              <w:br/>
            </w:r>
            <w:r>
              <w:rPr>
                <w:rFonts w:ascii="Courier New" w:hAnsi="Courier New"/>
                <w:color w:val="111827"/>
                <w:sz w:val="16"/>
              </w:rPr>
              <w:t>Path param: email = user EMAIL value</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Response</w:t>
              <w:br/>
            </w:r>
            <w:r>
              <w:rPr>
                <w:rFonts w:ascii="Courier New" w:hAnsi="Courier New"/>
                <w:color w:val="111827"/>
                <w:sz w:val="16"/>
              </w:rPr>
              <w:t>HTTP 302 → /admin/users + flash</w:t>
            </w:r>
          </w:p>
        </w:tc>
      </w:tr>
    </w:tbl>
    <w:p>
      <w:pPr>
        <w:spacing w:after="60"/>
      </w:pPr>
    </w:p>
    <w:p>
      <w:pPr>
        <w:spacing w:after="8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8 — External API Integration</w:t>
            </w:r>
          </w:p>
          <w:p>
            <w:pPr>
              <w:spacing w:before="0" w:after="100"/>
              <w:jc w:val="left"/>
            </w:pPr>
            <w:r>
              <w:rPr>
                <w:color w:val="BFD7FF"/>
                <w:sz w:val="17"/>
              </w:rPr>
              <w:t xml:space="preserve">  Cryptware FIRS Gateway — Authentication · Payload · Response · Error Handling</w:t>
            </w:r>
          </w:p>
        </w:tc>
      </w:tr>
    </w:tbl>
    <w:p>
      <w:pPr>
        <w:spacing w:after="80"/>
      </w:pPr>
    </w:p>
    <w:p>
      <w:pPr>
        <w:spacing w:before="320" w:after="100"/>
        <w:pBdr>
          <w:bottom w:val="single" w:sz="8" w:space="2" w:color="003087"/>
        </w:pBdr>
      </w:pPr>
      <w:r>
        <w:rPr>
          <w:b/>
          <w:color w:val="003087"/>
          <w:sz w:val="26"/>
        </w:rPr>
        <w:t>8. External API Integration — Cryptware FIRS Gateway</w:t>
      </w:r>
    </w:p>
    <w:p>
      <w:pPr>
        <w:spacing w:before="220" w:after="60"/>
      </w:pPr>
      <w:r>
        <w:rPr>
          <w:b/>
          <w:color w:val="001F5B"/>
          <w:sz w:val="22"/>
        </w:rPr>
        <w:t>8.1  Authentication</w:t>
      </w:r>
    </w:p>
    <w:p>
      <w:pPr>
        <w:spacing w:before="40" w:after="60"/>
      </w:pPr>
      <w:r>
        <w:rPr>
          <w:b w:val="0"/>
          <w:i w:val="0"/>
          <w:color w:val="111827"/>
          <w:sz w:val="19"/>
        </w:rPr>
        <w:t>The Cryptware API uses API key authentication. The key is passed as a field in the request body JSON (not as an HTTP header). Each environment (PREPROD, PRODUCTION) has a distinct API key. The key is stored in config.json under api.api_key and is never hardcoded in the application source code.</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F3F4F6"/>
            <w:vAlign w:val="center"/>
          </w:tcPr>
          <w:p>
            <w:pPr>
              <w:jc w:val="left"/>
            </w:pPr>
            <w:r>
              <w:rPr>
                <w:b/>
                <w:i w:val="0"/>
                <w:color w:val="001F5B"/>
                <w:sz w:val="18"/>
              </w:rPr>
              <w:t>PREPROD API Key</w:t>
            </w:r>
          </w:p>
        </w:tc>
        <w:tc>
          <w:tcPr>
            <w:tcW w:type="dxa" w:w="4707"/>
            <w:shd w:val="clear" w:color="auto" w:fill="FFFFFF"/>
            <w:vAlign w:val="center"/>
          </w:tcPr>
          <w:p>
            <w:pPr>
              <w:jc w:val="left"/>
            </w:pPr>
            <w:r>
              <w:rPr>
                <w:b w:val="0"/>
                <w:i w:val="0"/>
                <w:color w:val="111827"/>
                <w:sz w:val="18"/>
              </w:rPr>
              <w:t>sk_live_f0ee420acf1ec33ec94150ab8534efc96e753cd6c5c8284ab511a14da64a0699</w:t>
            </w:r>
          </w:p>
        </w:tc>
      </w:tr>
      <w:tr>
        <w:tc>
          <w:tcPr>
            <w:tcW w:type="dxa" w:w="4707"/>
            <w:shd w:val="clear" w:color="auto" w:fill="F3F4F6"/>
            <w:vAlign w:val="center"/>
          </w:tcPr>
          <w:p>
            <w:pPr>
              <w:jc w:val="left"/>
            </w:pPr>
            <w:r>
              <w:rPr>
                <w:b/>
                <w:i w:val="0"/>
                <w:color w:val="001F5B"/>
                <w:sz w:val="18"/>
              </w:rPr>
              <w:t>PROD API Key</w:t>
            </w:r>
          </w:p>
        </w:tc>
        <w:tc>
          <w:tcPr>
            <w:tcW w:type="dxa" w:w="4707"/>
            <w:shd w:val="clear" w:color="auto" w:fill="FFFFFF"/>
            <w:vAlign w:val="center"/>
          </w:tcPr>
          <w:p>
            <w:pPr>
              <w:jc w:val="left"/>
            </w:pPr>
            <w:r>
              <w:rPr>
                <w:b w:val="0"/>
                <w:i w:val="0"/>
                <w:color w:val="111827"/>
                <w:sz w:val="18"/>
              </w:rPr>
              <w:t>Obtained from Cryptware — stored in config.json only</w:t>
            </w:r>
          </w:p>
        </w:tc>
      </w:tr>
      <w:tr>
        <w:tc>
          <w:tcPr>
            <w:tcW w:type="dxa" w:w="4707"/>
            <w:shd w:val="clear" w:color="auto" w:fill="F3F4F6"/>
            <w:vAlign w:val="center"/>
          </w:tcPr>
          <w:p>
            <w:pPr>
              <w:jc w:val="left"/>
            </w:pPr>
            <w:r>
              <w:rPr>
                <w:b/>
                <w:i w:val="0"/>
                <w:color w:val="001F5B"/>
                <w:sz w:val="18"/>
              </w:rPr>
              <w:t>Transport</w:t>
            </w:r>
          </w:p>
        </w:tc>
        <w:tc>
          <w:tcPr>
            <w:tcW w:type="dxa" w:w="4707"/>
            <w:shd w:val="clear" w:color="auto" w:fill="FFFFFF"/>
            <w:vAlign w:val="center"/>
          </w:tcPr>
          <w:p>
            <w:pPr>
              <w:jc w:val="left"/>
            </w:pPr>
            <w:r>
              <w:rPr>
                <w:b w:val="0"/>
                <w:i w:val="0"/>
                <w:color w:val="111827"/>
                <w:sz w:val="18"/>
              </w:rPr>
              <w:t>HTTPS (TLS 1.2+) — outbound port 443 from application server</w:t>
            </w:r>
          </w:p>
        </w:tc>
      </w:tr>
      <w:tr>
        <w:tc>
          <w:tcPr>
            <w:tcW w:type="dxa" w:w="4707"/>
            <w:shd w:val="clear" w:color="auto" w:fill="F3F4F6"/>
            <w:vAlign w:val="center"/>
          </w:tcPr>
          <w:p>
            <w:pPr>
              <w:jc w:val="left"/>
            </w:pPr>
            <w:r>
              <w:rPr>
                <w:b/>
                <w:i w:val="0"/>
                <w:color w:val="001F5B"/>
                <w:sz w:val="18"/>
              </w:rPr>
              <w:t>Method</w:t>
            </w:r>
          </w:p>
        </w:tc>
        <w:tc>
          <w:tcPr>
            <w:tcW w:type="dxa" w:w="4707"/>
            <w:shd w:val="clear" w:color="auto" w:fill="FFFFFF"/>
            <w:vAlign w:val="center"/>
          </w:tcPr>
          <w:p>
            <w:pPr>
              <w:jc w:val="left"/>
            </w:pPr>
            <w:r>
              <w:rPr>
                <w:b w:val="0"/>
                <w:i w:val="0"/>
                <w:color w:val="111827"/>
                <w:sz w:val="18"/>
              </w:rPr>
              <w:t>HTTP POST — Content-Type: application/json</w:t>
            </w:r>
          </w:p>
        </w:tc>
      </w:tr>
      <w:tr>
        <w:tc>
          <w:tcPr>
            <w:tcW w:type="dxa" w:w="4707"/>
            <w:shd w:val="clear" w:color="auto" w:fill="F3F4F6"/>
            <w:vAlign w:val="center"/>
          </w:tcPr>
          <w:p>
            <w:pPr>
              <w:jc w:val="left"/>
            </w:pPr>
            <w:r>
              <w:rPr>
                <w:b/>
                <w:i w:val="0"/>
                <w:color w:val="001F5B"/>
                <w:sz w:val="18"/>
              </w:rPr>
              <w:t>Timeout</w:t>
            </w:r>
          </w:p>
        </w:tc>
        <w:tc>
          <w:tcPr>
            <w:tcW w:type="dxa" w:w="4707"/>
            <w:shd w:val="clear" w:color="auto" w:fill="FFFFFF"/>
            <w:vAlign w:val="center"/>
          </w:tcPr>
          <w:p>
            <w:pPr>
              <w:jc w:val="left"/>
            </w:pPr>
            <w:r>
              <w:rPr>
                <w:b w:val="0"/>
                <w:i w:val="0"/>
                <w:color w:val="111827"/>
                <w:sz w:val="18"/>
              </w:rPr>
              <w:t>30 seconds — configured on the requests.post() call</w:t>
            </w:r>
          </w:p>
        </w:tc>
      </w:tr>
      <w:tr>
        <w:tc>
          <w:tcPr>
            <w:tcW w:type="dxa" w:w="4707"/>
            <w:shd w:val="clear" w:color="auto" w:fill="F3F4F6"/>
            <w:vAlign w:val="center"/>
          </w:tcPr>
          <w:p>
            <w:pPr>
              <w:jc w:val="left"/>
            </w:pPr>
            <w:r>
              <w:rPr>
                <w:b/>
                <w:i w:val="0"/>
                <w:color w:val="001F5B"/>
                <w:sz w:val="18"/>
              </w:rPr>
              <w:t>Retry Policy</w:t>
            </w:r>
          </w:p>
        </w:tc>
        <w:tc>
          <w:tcPr>
            <w:tcW w:type="dxa" w:w="4707"/>
            <w:shd w:val="clear" w:color="auto" w:fill="FFFFFF"/>
            <w:vAlign w:val="center"/>
          </w:tcPr>
          <w:p>
            <w:pPr>
              <w:jc w:val="left"/>
            </w:pPr>
            <w:r>
              <w:rPr>
                <w:b w:val="0"/>
                <w:i w:val="0"/>
                <w:color w:val="111827"/>
                <w:sz w:val="18"/>
              </w:rPr>
              <w:t>No automatic retry in dashboard (manual re-post). Scheduler retries on next 5-min cycle.</w:t>
            </w:r>
          </w:p>
        </w:tc>
      </w:tr>
    </w:tbl>
    <w:p>
      <w:pPr>
        <w:spacing w:after="80"/>
      </w:pPr>
    </w:p>
    <w:p>
      <w:pPr>
        <w:spacing w:before="220" w:after="60"/>
      </w:pPr>
      <w:r>
        <w:rPr>
          <w:b/>
          <w:color w:val="001F5B"/>
          <w:sz w:val="22"/>
        </w:rPr>
        <w:t>8.2  Invoice Submission Payload</w:t>
      </w:r>
    </w:p>
    <w:p>
      <w:pPr>
        <w:spacing w:before="40" w:after="60"/>
      </w:pPr>
      <w:r>
        <w:rPr>
          <w:b w:val="0"/>
          <w:i w:val="0"/>
          <w:color w:val="111827"/>
          <w:sz w:val="19"/>
        </w:rPr>
        <w:t>The payload is constructed from dbo.REPORT columns for each invoice:</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FIRS API Request Payload</w:t>
              <w:br/>
            </w:r>
            <w:r>
              <w:rPr>
                <w:rFonts w:ascii="Courier New" w:hAnsi="Courier New"/>
                <w:color w:val="111827"/>
                <w:sz w:val="16"/>
              </w:rPr>
              <w:t>{</w:t>
              <w:br/>
              <w:t xml:space="preserve">  "apiKey":        "sk_live_f0ee420acf...",        // from config.json</w:t>
              <w:br/>
              <w:t xml:space="preserve">  "invoiceNumber": "FT26008939582204",              // TRANSACTION_REF</w:t>
              <w:br/>
              <w:t xml:space="preserve">  "invoiceDate":   "2026-01-15",                   // BOOKING_DATE (YYYY-MM-DD)</w:t>
              <w:br/>
              <w:t xml:space="preserve">  "invoiceType":   "Sales Invoice",                // INVOICE_TYPE</w:t>
              <w:br/>
              <w:t xml:space="preserve">  "currency":      "USD",                          // CURRENCY_CODE</w:t>
              <w:br/>
              <w:t xml:space="preserve">  "environment":   "PREPROD",                      // config.json api.environment</w:t>
              <w:br/>
              <w:t xml:space="preserve">  "customer": {</w:t>
              <w:br/>
              <w:t xml:space="preserve">    "name":         "ACME CORPORATION LTD",        // CUSTOMER_NAME</w:t>
              <w:br/>
              <w:t xml:space="preserve">    "tin":          "12345678-0001",                // CUSTOMER_TIN (XXXXXXXX-XXXX)</w:t>
              <w:br/>
              <w:t xml:space="preserve">    "accountNumber":"0012345678",                   // ACCOUNT_NUMBER</w:t>
              <w:br/>
              <w:t xml:space="preserve">    "address":      "5 Marina Street, Lagos",      // CUSTOMER_ADDRESS</w:t>
              <w:br/>
              <w:t xml:space="preserve">    "phone":        "+234-80-1234-5678"             // CUSTOMER_PHONE</w:t>
              <w:br/>
              <w:t xml:space="preserve">  },</w:t>
              <w:br/>
              <w:t xml:space="preserve">  "lines": [</w:t>
              <w:br/>
              <w:t xml:space="preserve">    {</w:t>
              <w:br/>
              <w:t xml:space="preserve">      "description": "Trade Finance Fees — Q1 2026", // SERVICE_DESCRIPTION</w:t>
              <w:br/>
              <w:t xml:space="preserve">      "hsnCode":     "9999.99",                    // HSN_CODE (XXXX.XX format)</w:t>
              <w:br/>
              <w:t xml:space="preserve">      "taxCategory": "VAT",                        // TAX_CATEGORY</w:t>
              <w:br/>
              <w:t xml:space="preserve">      "amount":       50000.00,                    // AMOUNT (numeric, not string)</w:t>
              <w:br/>
              <w:t xml:space="preserve">      "vatAmount":    3750.00                      // VAT_AMOUNT</w:t>
              <w:br/>
              <w:t xml:space="preserve">    }</w:t>
              <w:br/>
              <w:t xml:space="preserve">  ],</w:t>
              <w:br/>
              <w:t xml:space="preserve">  "totals": {</w:t>
              <w:br/>
              <w:t xml:space="preserve">    "subtotal":  50000.00,</w:t>
              <w:br/>
              <w:t xml:space="preserve">    "vat":        3750.00,</w:t>
              <w:br/>
              <w:t xml:space="preserve">    "total":     53750.00</w:t>
              <w:br/>
              <w:t xml:space="preserve">  }</w:t>
              <w:br/>
              <w:t>}</w:t>
            </w:r>
          </w:p>
        </w:tc>
      </w:tr>
    </w:tbl>
    <w:p>
      <w:pPr>
        <w:spacing w:after="60"/>
      </w:pPr>
    </w:p>
    <w:p>
      <w:pPr>
        <w:spacing w:before="220" w:after="60"/>
      </w:pPr>
      <w:r>
        <w:rPr>
          <w:b/>
          <w:color w:val="001F5B"/>
          <w:sz w:val="22"/>
        </w:rPr>
        <w:t>8.3  API Response Handling</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Response Type</w:t>
            </w:r>
          </w:p>
        </w:tc>
        <w:tc>
          <w:tcPr>
            <w:tcW w:type="dxa" w:w="4707"/>
            <w:shd w:val="clear" w:color="auto" w:fill="003087"/>
            <w:vAlign w:val="center"/>
          </w:tcPr>
          <w:p>
            <w:pPr>
              <w:jc w:val="center"/>
            </w:pPr>
            <w:r>
              <w:rPr>
                <w:b/>
                <w:i w:val="0"/>
                <w:color w:val="FFFFFF"/>
                <w:sz w:val="18"/>
              </w:rPr>
              <w:t>Handling Logic</w:t>
            </w:r>
          </w:p>
        </w:tc>
      </w:tr>
      <w:tr>
        <w:tc>
          <w:tcPr>
            <w:tcW w:type="dxa" w:w="4707"/>
            <w:shd w:val="clear" w:color="auto" w:fill="F3F4F6"/>
            <w:vAlign w:val="center"/>
          </w:tcPr>
          <w:p>
            <w:pPr>
              <w:jc w:val="left"/>
            </w:pPr>
            <w:r>
              <w:rPr>
                <w:b/>
                <w:i w:val="0"/>
                <w:color w:val="001F5B"/>
                <w:sz w:val="18"/>
              </w:rPr>
              <w:t>HTTP 200 — Success</w:t>
            </w:r>
          </w:p>
        </w:tc>
        <w:tc>
          <w:tcPr>
            <w:tcW w:type="dxa" w:w="4707"/>
            <w:shd w:val="clear" w:color="auto" w:fill="FFFFFF"/>
            <w:vAlign w:val="center"/>
          </w:tcPr>
          <w:p>
            <w:pPr>
              <w:jc w:val="left"/>
            </w:pPr>
            <w:r>
              <w:rPr>
                <w:b w:val="0"/>
                <w:i w:val="0"/>
                <w:color w:val="111827"/>
                <w:sz w:val="18"/>
              </w:rPr>
              <w:t>JSON body: {"status":"success","irn":"IRN-2026-KB-XXXXXXXX","qrCodeUrl":"https://..."}</w:t>
              <w:br/>
              <w:t>→ Update DB: REPORTING_STATUS=1, IRN=irn, QR_CODE_URL=qrCodeUrl, EXCEPTION_MESSAGE=NULL</w:t>
            </w:r>
          </w:p>
        </w:tc>
      </w:tr>
      <w:tr>
        <w:tc>
          <w:tcPr>
            <w:tcW w:type="dxa" w:w="4707"/>
            <w:shd w:val="clear" w:color="auto" w:fill="F3F4F6"/>
            <w:vAlign w:val="center"/>
          </w:tcPr>
          <w:p>
            <w:pPr>
              <w:jc w:val="left"/>
            </w:pPr>
            <w:r>
              <w:rPr>
                <w:b/>
                <w:i w:val="0"/>
                <w:color w:val="001F5B"/>
                <w:sz w:val="18"/>
              </w:rPr>
              <w:t>HTTP 200 — Error in body</w:t>
            </w:r>
          </w:p>
        </w:tc>
        <w:tc>
          <w:tcPr>
            <w:tcW w:type="dxa" w:w="4707"/>
            <w:shd w:val="clear" w:color="auto" w:fill="FFFFFF"/>
            <w:vAlign w:val="center"/>
          </w:tcPr>
          <w:p>
            <w:pPr>
              <w:jc w:val="left"/>
            </w:pPr>
            <w:r>
              <w:rPr>
                <w:b w:val="0"/>
                <w:i w:val="0"/>
                <w:color w:val="111827"/>
                <w:sz w:val="18"/>
              </w:rPr>
              <w:t>JSON body: {"status":"error","message":"Customer TIN is required"}</w:t>
              <w:br/>
              <w:t>→ Treat as failure: REPORTING_STATUS=0, EXCEPTION_MESSAGE=message</w:t>
            </w:r>
          </w:p>
        </w:tc>
      </w:tr>
      <w:tr>
        <w:tc>
          <w:tcPr>
            <w:tcW w:type="dxa" w:w="4707"/>
            <w:shd w:val="clear" w:color="auto" w:fill="F3F4F6"/>
            <w:vAlign w:val="center"/>
          </w:tcPr>
          <w:p>
            <w:pPr>
              <w:jc w:val="left"/>
            </w:pPr>
            <w:r>
              <w:rPr>
                <w:b/>
                <w:i w:val="0"/>
                <w:color w:val="001F5B"/>
                <w:sz w:val="18"/>
              </w:rPr>
              <w:t>HTTP 400 / 422</w:t>
            </w:r>
          </w:p>
        </w:tc>
        <w:tc>
          <w:tcPr>
            <w:tcW w:type="dxa" w:w="4707"/>
            <w:shd w:val="clear" w:color="auto" w:fill="FFFFFF"/>
            <w:vAlign w:val="center"/>
          </w:tcPr>
          <w:p>
            <w:pPr>
              <w:jc w:val="left"/>
            </w:pPr>
            <w:r>
              <w:rPr>
                <w:b w:val="0"/>
                <w:i w:val="0"/>
                <w:color w:val="111827"/>
                <w:sz w:val="18"/>
              </w:rPr>
              <w:t>Payload validation error from API. Parse error message from response body.</w:t>
              <w:br/>
              <w:t>→ REPORTING_STATUS=0, EXCEPTION_MESSAGE=&lt;parsed message&gt;</w:t>
            </w:r>
          </w:p>
        </w:tc>
      </w:tr>
      <w:tr>
        <w:tc>
          <w:tcPr>
            <w:tcW w:type="dxa" w:w="4707"/>
            <w:shd w:val="clear" w:color="auto" w:fill="F3F4F6"/>
            <w:vAlign w:val="center"/>
          </w:tcPr>
          <w:p>
            <w:pPr>
              <w:jc w:val="left"/>
            </w:pPr>
            <w:r>
              <w:rPr>
                <w:b/>
                <w:i w:val="0"/>
                <w:color w:val="001F5B"/>
                <w:sz w:val="18"/>
              </w:rPr>
              <w:t>HTTP 401</w:t>
            </w:r>
          </w:p>
        </w:tc>
        <w:tc>
          <w:tcPr>
            <w:tcW w:type="dxa" w:w="4707"/>
            <w:shd w:val="clear" w:color="auto" w:fill="FFFFFF"/>
            <w:vAlign w:val="center"/>
          </w:tcPr>
          <w:p>
            <w:pPr>
              <w:jc w:val="left"/>
            </w:pPr>
            <w:r>
              <w:rPr>
                <w:b w:val="0"/>
                <w:i w:val="0"/>
                <w:color w:val="111827"/>
                <w:sz w:val="18"/>
              </w:rPr>
              <w:t>Invalid or expired API key.</w:t>
              <w:br/>
              <w:t>→ REPORTING_STATUS=0, EXCEPTION_MESSAGE="API authentication failed — check api_key"</w:t>
            </w:r>
          </w:p>
        </w:tc>
      </w:tr>
      <w:tr>
        <w:tc>
          <w:tcPr>
            <w:tcW w:type="dxa" w:w="4707"/>
            <w:shd w:val="clear" w:color="auto" w:fill="F3F4F6"/>
            <w:vAlign w:val="center"/>
          </w:tcPr>
          <w:p>
            <w:pPr>
              <w:jc w:val="left"/>
            </w:pPr>
            <w:r>
              <w:rPr>
                <w:b/>
                <w:i w:val="0"/>
                <w:color w:val="001F5B"/>
                <w:sz w:val="18"/>
              </w:rPr>
              <w:t>HTTP 429</w:t>
            </w:r>
          </w:p>
        </w:tc>
        <w:tc>
          <w:tcPr>
            <w:tcW w:type="dxa" w:w="4707"/>
            <w:shd w:val="clear" w:color="auto" w:fill="FFFFFF"/>
            <w:vAlign w:val="center"/>
          </w:tcPr>
          <w:p>
            <w:pPr>
              <w:jc w:val="left"/>
            </w:pPr>
            <w:r>
              <w:rPr>
                <w:b w:val="0"/>
                <w:i w:val="0"/>
                <w:color w:val="111827"/>
                <w:sz w:val="18"/>
              </w:rPr>
              <w:t>Rate limit exceeded (too many requests).</w:t>
              <w:br/>
              <w:t>→ REPORTING_STATUS remains NULL (not set to 0) — will retry next cycle</w:t>
            </w:r>
          </w:p>
        </w:tc>
      </w:tr>
      <w:tr>
        <w:tc>
          <w:tcPr>
            <w:tcW w:type="dxa" w:w="4707"/>
            <w:shd w:val="clear" w:color="auto" w:fill="F3F4F6"/>
            <w:vAlign w:val="center"/>
          </w:tcPr>
          <w:p>
            <w:pPr>
              <w:jc w:val="left"/>
            </w:pPr>
            <w:r>
              <w:rPr>
                <w:b/>
                <w:i w:val="0"/>
                <w:color w:val="001F5B"/>
                <w:sz w:val="18"/>
              </w:rPr>
              <w:t>Connection Timeout</w:t>
            </w:r>
          </w:p>
        </w:tc>
        <w:tc>
          <w:tcPr>
            <w:tcW w:type="dxa" w:w="4707"/>
            <w:shd w:val="clear" w:color="auto" w:fill="FFFFFF"/>
            <w:vAlign w:val="center"/>
          </w:tcPr>
          <w:p>
            <w:pPr>
              <w:jc w:val="left"/>
            </w:pPr>
            <w:r>
              <w:rPr>
                <w:b w:val="0"/>
                <w:i w:val="0"/>
                <w:color w:val="111827"/>
                <w:sz w:val="18"/>
              </w:rPr>
              <w:t>requests.exceptions.Timeout after 30 seconds.</w:t>
              <w:br/>
              <w:t>→ REPORTING_STATUS=0, EXCEPTION_MESSAGE="API request timed out after 30s"</w:t>
            </w:r>
          </w:p>
        </w:tc>
      </w:tr>
      <w:tr>
        <w:tc>
          <w:tcPr>
            <w:tcW w:type="dxa" w:w="4707"/>
            <w:shd w:val="clear" w:color="auto" w:fill="F3F4F6"/>
            <w:vAlign w:val="center"/>
          </w:tcPr>
          <w:p>
            <w:pPr>
              <w:jc w:val="left"/>
            </w:pPr>
            <w:r>
              <w:rPr>
                <w:b/>
                <w:i w:val="0"/>
                <w:color w:val="001F5B"/>
                <w:sz w:val="18"/>
              </w:rPr>
              <w:t>Non-JSON Response</w:t>
            </w:r>
          </w:p>
        </w:tc>
        <w:tc>
          <w:tcPr>
            <w:tcW w:type="dxa" w:w="4707"/>
            <w:shd w:val="clear" w:color="auto" w:fill="FFFFFF"/>
            <w:vAlign w:val="center"/>
          </w:tcPr>
          <w:p>
            <w:pPr>
              <w:jc w:val="left"/>
            </w:pPr>
            <w:r>
              <w:rPr>
                <w:b w:val="0"/>
                <w:i w:val="0"/>
                <w:color w:val="111827"/>
                <w:sz w:val="18"/>
              </w:rPr>
              <w:t>API returns HTML (e.g. 503 maintenance page) — JSON parse fails.</w:t>
              <w:br/>
              <w:t>→ REPORTING_STATUS=0, EXCEPTION_MESSAGE="Unexpected API response format"</w:t>
            </w:r>
          </w:p>
        </w:tc>
      </w:tr>
    </w:tbl>
    <w:p>
      <w:pPr>
        <w:spacing w:after="8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9 — Authentication &amp; Session Design</w:t>
            </w:r>
          </w:p>
          <w:p>
            <w:pPr>
              <w:spacing w:before="0" w:after="100"/>
              <w:jc w:val="left"/>
            </w:pPr>
            <w:r>
              <w:rPr>
                <w:color w:val="BFD7FF"/>
                <w:sz w:val="17"/>
              </w:rPr>
              <w:t xml:space="preserve">  Login Flow · PBKDF2 · Session · Rate Limiting</w:t>
            </w:r>
          </w:p>
        </w:tc>
      </w:tr>
    </w:tbl>
    <w:p>
      <w:pPr>
        <w:spacing w:after="80"/>
      </w:pPr>
    </w:p>
    <w:p>
      <w:pPr>
        <w:spacing w:before="320" w:after="100"/>
        <w:pBdr>
          <w:bottom w:val="single" w:sz="8" w:space="2" w:color="003087"/>
        </w:pBdr>
      </w:pPr>
      <w:r>
        <w:rPr>
          <w:b/>
          <w:color w:val="003087"/>
          <w:sz w:val="26"/>
        </w:rPr>
        <w:t>9. Authentication &amp; Session Design</w:t>
      </w:r>
    </w:p>
    <w:p>
      <w:pPr>
        <w:spacing w:before="220" w:after="60"/>
      </w:pPr>
      <w:r>
        <w:rPr>
          <w:b/>
          <w:color w:val="001F5B"/>
          <w:sz w:val="22"/>
        </w:rPr>
        <w:t>9.1  Login Flow</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Data Flow / Sequence</w:t>
              <w:br/>
            </w:r>
            <w:r>
              <w:rPr>
                <w:rFonts w:ascii="Courier New" w:hAnsi="Courier New"/>
                <w:color w:val="111827"/>
                <w:sz w:val="16"/>
              </w:rPr>
              <w:t>Browser POST /login</w:t>
              <w:br/>
              <w:t xml:space="preserve">  │</w:t>
              <w:br/>
              <w:t xml:space="preserve">  ├─ 1. _check_lockout(ip)</w:t>
              <w:br/>
              <w:t xml:space="preserve">  │      ├─ locked?  → return flash("Locked — try in Xm Xs") [HTTP 200]</w:t>
              <w:br/>
              <w:t xml:space="preserve">  │      └─ not locked → continue</w:t>
              <w:br/>
              <w:t xml:space="preserve">  │</w:t>
              <w:br/>
              <w:t xml:space="preserve">  ├─ 2. SELECT * FROM dbo.FIRS_USERS WHERE EMAIL = ? AND IS_ACTIVE = 1</w:t>
              <w:br/>
              <w:t xml:space="preserve">  │      └─ no row → _record_failure(ip) → flash("Invalid credentials")</w:t>
              <w:br/>
              <w:t xml:space="preserve">  │</w:t>
              <w:br/>
              <w:t xml:space="preserve">  ├─ 3. check_password_hash(row.PASSWORD_HASH, submitted_password)</w:t>
              <w:br/>
              <w:t xml:space="preserve">  │      └─ False → _record_failure(ip) → flash("Invalid credentials. N attempts remaining")</w:t>
              <w:br/>
              <w:t xml:space="preserve">  │</w:t>
              <w:br/>
              <w:t xml:space="preserve">  ├─ 4. _clear_attempts(ip)  (reset lockout counter on success)</w:t>
              <w:br/>
              <w:t xml:space="preserve">  │</w:t>
              <w:br/>
              <w:t xml:space="preserve">  ├─ 5. UPDATE dbo.FIRS_USERS SET LAST_LOGIN = GETDATE() WHERE EMAIL = ?</w:t>
              <w:br/>
              <w:t xml:space="preserve">  │</w:t>
              <w:br/>
              <w:t xml:space="preserve">  ├─ 6. session["user_id"]       = row.EMAIL</w:t>
              <w:br/>
              <w:t xml:space="preserve">  │     session["full_name"]     = row.FULL_NAME</w:t>
              <w:br/>
              <w:t xml:space="preserve">  │     session["role"]          = row.ROLE</w:t>
              <w:br/>
              <w:t xml:space="preserve">  │     session["_last_activity"] = time.time()</w:t>
              <w:br/>
              <w:t xml:space="preserve">  │     session.permanent        = True</w:t>
              <w:br/>
              <w:t xml:space="preserve">  │</w:t>
              <w:br/>
              <w:t xml:space="preserve">  └─ 7. HTTP 302 → /  (dashboard home)</w:t>
            </w:r>
          </w:p>
        </w:tc>
      </w:tr>
    </w:tbl>
    <w:p>
      <w:pPr>
        <w:spacing w:after="60"/>
      </w:pPr>
    </w:p>
    <w:p>
      <w:pPr>
        <w:spacing w:before="220" w:after="60"/>
      </w:pPr>
      <w:r>
        <w:rPr>
          <w:b/>
          <w:color w:val="001F5B"/>
          <w:sz w:val="22"/>
        </w:rPr>
        <w:t>9.2  Password Storage — PBKDF2-SHA256</w:t>
      </w:r>
    </w:p>
    <w:p>
      <w:pPr>
        <w:spacing w:before="40" w:after="60"/>
      </w:pPr>
      <w:r>
        <w:rPr>
          <w:b w:val="0"/>
          <w:i w:val="0"/>
          <w:color w:val="111827"/>
          <w:sz w:val="19"/>
        </w:rPr>
        <w:t>Passwords are hashed using Werkzeug's generate_password_hash() which implements PBKDF2-HMAC-SHA256 with a randomly generated 16-byte salt and 260,000 iterations (Werkzeug 3.x default). The full hash string is stored in PASSWORD_HASH and has the format:</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PASSWORD_HASH column format</w:t>
              <w:br/>
            </w:r>
            <w:r>
              <w:rPr>
                <w:rFonts w:ascii="Courier New" w:hAnsi="Courier New"/>
                <w:color w:val="111827"/>
                <w:sz w:val="16"/>
              </w:rPr>
              <w:t>pbkdf2:sha256:260000$&lt;16-byte-random-salt&gt;$&lt;64-char-hex-hash&gt;</w:t>
            </w:r>
          </w:p>
        </w:tc>
      </w:tr>
    </w:tbl>
    <w:p>
      <w:pPr>
        <w:spacing w:after="60"/>
      </w:pPr>
    </w:p>
    <w:p>
      <w:pPr>
        <w:spacing w:before="40" w:after="60"/>
      </w:pPr>
      <w:r>
        <w:rPr>
          <w:b w:val="0"/>
          <w:i w:val="0"/>
          <w:color w:val="111827"/>
          <w:sz w:val="19"/>
        </w:rPr>
        <w:t>Password verification uses check_password_hash() which re-derives the hash using the stored salt and iteration count, then compares using a timing-safe comparison function to prevent timing-based side-channel attacks. The plaintext password is never stored or logged anywhere in the system.</w:t>
      </w:r>
    </w:p>
    <w:p>
      <w:pPr>
        <w:spacing w:before="220" w:after="60"/>
      </w:pPr>
      <w:r>
        <w:rPr>
          <w:b/>
          <w:color w:val="001F5B"/>
          <w:sz w:val="22"/>
        </w:rPr>
        <w:t>9.3  Session Management</w:t>
      </w:r>
    </w:p>
    <w:p>
      <w:pPr>
        <w:spacing w:before="40" w:after="60"/>
      </w:pPr>
      <w:r>
        <w:rPr>
          <w:b w:val="0"/>
          <w:i w:val="0"/>
          <w:color w:val="111827"/>
          <w:sz w:val="19"/>
        </w:rPr>
        <w:t>Flask sessions use a cryptographically signed cookie (HMAC-SHA1 over the session payload using app.secret_key). The session payload contains: user_id, full_name, role, and _last_activity (Unix timestamp). Sessions are permanent with a lifetime of 15 minutes (PERMANENT_SESSION_LIFETIME). The before_request hook enforces the inactivity timeout server-side — the client-side JS timer is a UX aid only and does not gate security.</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F3F4F6"/>
            <w:vAlign w:val="center"/>
          </w:tcPr>
          <w:p>
            <w:pPr>
              <w:jc w:val="left"/>
            </w:pPr>
            <w:r>
              <w:rPr>
                <w:b/>
                <w:i w:val="0"/>
                <w:color w:val="001F5B"/>
                <w:sz w:val="18"/>
              </w:rPr>
              <w:t>Session Storage</w:t>
            </w:r>
          </w:p>
        </w:tc>
        <w:tc>
          <w:tcPr>
            <w:tcW w:type="dxa" w:w="4707"/>
            <w:shd w:val="clear" w:color="auto" w:fill="FFFFFF"/>
            <w:vAlign w:val="center"/>
          </w:tcPr>
          <w:p>
            <w:pPr>
              <w:jc w:val="left"/>
            </w:pPr>
            <w:r>
              <w:rPr>
                <w:b w:val="0"/>
                <w:i w:val="0"/>
                <w:color w:val="111827"/>
                <w:sz w:val="18"/>
              </w:rPr>
              <w:t>Client-side signed cookie — no server-side session store required</w:t>
            </w:r>
          </w:p>
        </w:tc>
      </w:tr>
      <w:tr>
        <w:tc>
          <w:tcPr>
            <w:tcW w:type="dxa" w:w="4707"/>
            <w:shd w:val="clear" w:color="auto" w:fill="F3F4F6"/>
            <w:vAlign w:val="center"/>
          </w:tcPr>
          <w:p>
            <w:pPr>
              <w:jc w:val="left"/>
            </w:pPr>
            <w:r>
              <w:rPr>
                <w:b/>
                <w:i w:val="0"/>
                <w:color w:val="001F5B"/>
                <w:sz w:val="18"/>
              </w:rPr>
              <w:t>Signing Algorithm</w:t>
            </w:r>
          </w:p>
        </w:tc>
        <w:tc>
          <w:tcPr>
            <w:tcW w:type="dxa" w:w="4707"/>
            <w:shd w:val="clear" w:color="auto" w:fill="FFFFFF"/>
            <w:vAlign w:val="center"/>
          </w:tcPr>
          <w:p>
            <w:pPr>
              <w:jc w:val="left"/>
            </w:pPr>
            <w:r>
              <w:rPr>
                <w:b w:val="0"/>
                <w:i w:val="0"/>
                <w:color w:val="111827"/>
                <w:sz w:val="18"/>
              </w:rPr>
              <w:t>HMAC-SHA1 (Flask default via itsdangerous)</w:t>
            </w:r>
          </w:p>
        </w:tc>
      </w:tr>
      <w:tr>
        <w:tc>
          <w:tcPr>
            <w:tcW w:type="dxa" w:w="4707"/>
            <w:shd w:val="clear" w:color="auto" w:fill="F3F4F6"/>
            <w:vAlign w:val="center"/>
          </w:tcPr>
          <w:p>
            <w:pPr>
              <w:jc w:val="left"/>
            </w:pPr>
            <w:r>
              <w:rPr>
                <w:b/>
                <w:i w:val="0"/>
                <w:color w:val="001F5B"/>
                <w:sz w:val="18"/>
              </w:rPr>
              <w:t>Inactivity Timeout</w:t>
            </w:r>
          </w:p>
        </w:tc>
        <w:tc>
          <w:tcPr>
            <w:tcW w:type="dxa" w:w="4707"/>
            <w:shd w:val="clear" w:color="auto" w:fill="FFFFFF"/>
            <w:vAlign w:val="center"/>
          </w:tcPr>
          <w:p>
            <w:pPr>
              <w:jc w:val="left"/>
            </w:pPr>
            <w:r>
              <w:rPr>
                <w:b w:val="0"/>
                <w:i w:val="0"/>
                <w:color w:val="111827"/>
                <w:sz w:val="18"/>
              </w:rPr>
              <w:t>900 seconds (15 minutes) — enforced server-side on every request</w:t>
            </w:r>
          </w:p>
        </w:tc>
      </w:tr>
      <w:tr>
        <w:tc>
          <w:tcPr>
            <w:tcW w:type="dxa" w:w="4707"/>
            <w:shd w:val="clear" w:color="auto" w:fill="F3F4F6"/>
            <w:vAlign w:val="center"/>
          </w:tcPr>
          <w:p>
            <w:pPr>
              <w:jc w:val="left"/>
            </w:pPr>
            <w:r>
              <w:rPr>
                <w:b/>
                <w:i w:val="0"/>
                <w:color w:val="001F5B"/>
                <w:sz w:val="18"/>
              </w:rPr>
              <w:t>Client Warning</w:t>
            </w:r>
          </w:p>
        </w:tc>
        <w:tc>
          <w:tcPr>
            <w:tcW w:type="dxa" w:w="4707"/>
            <w:shd w:val="clear" w:color="auto" w:fill="FFFFFF"/>
            <w:vAlign w:val="center"/>
          </w:tcPr>
          <w:p>
            <w:pPr>
              <w:jc w:val="left"/>
            </w:pPr>
            <w:r>
              <w:rPr>
                <w:b w:val="0"/>
                <w:i w:val="0"/>
                <w:color w:val="111827"/>
                <w:sz w:val="18"/>
              </w:rPr>
              <w:t>JS timer fires at 780 seconds (13 min) — shows Bootstrap modal with 120-second countdown</w:t>
            </w:r>
          </w:p>
        </w:tc>
      </w:tr>
      <w:tr>
        <w:tc>
          <w:tcPr>
            <w:tcW w:type="dxa" w:w="4707"/>
            <w:shd w:val="clear" w:color="auto" w:fill="F3F4F6"/>
            <w:vAlign w:val="center"/>
          </w:tcPr>
          <w:p>
            <w:pPr>
              <w:jc w:val="left"/>
            </w:pPr>
            <w:r>
              <w:rPr>
                <w:b/>
                <w:i w:val="0"/>
                <w:color w:val="001F5B"/>
                <w:sz w:val="18"/>
              </w:rPr>
              <w:t>Keepalive</w:t>
            </w:r>
          </w:p>
        </w:tc>
        <w:tc>
          <w:tcPr>
            <w:tcW w:type="dxa" w:w="4707"/>
            <w:shd w:val="clear" w:color="auto" w:fill="FFFFFF"/>
            <w:vAlign w:val="center"/>
          </w:tcPr>
          <w:p>
            <w:pPr>
              <w:jc w:val="left"/>
            </w:pPr>
            <w:r>
              <w:rPr>
                <w:b w:val="0"/>
                <w:i w:val="0"/>
                <w:color w:val="111827"/>
                <w:sz w:val="18"/>
              </w:rPr>
              <w:t>GET /api/ping resets _last_activity — called by JS when user is active</w:t>
            </w:r>
          </w:p>
        </w:tc>
      </w:tr>
      <w:tr>
        <w:tc>
          <w:tcPr>
            <w:tcW w:type="dxa" w:w="4707"/>
            <w:shd w:val="clear" w:color="auto" w:fill="F3F4F6"/>
            <w:vAlign w:val="center"/>
          </w:tcPr>
          <w:p>
            <w:pPr>
              <w:jc w:val="left"/>
            </w:pPr>
            <w:r>
              <w:rPr>
                <w:b/>
                <w:i w:val="0"/>
                <w:color w:val="001F5B"/>
                <w:sz w:val="18"/>
              </w:rPr>
              <w:t>Logout</w:t>
            </w:r>
          </w:p>
        </w:tc>
        <w:tc>
          <w:tcPr>
            <w:tcW w:type="dxa" w:w="4707"/>
            <w:shd w:val="clear" w:color="auto" w:fill="FFFFFF"/>
            <w:vAlign w:val="center"/>
          </w:tcPr>
          <w:p>
            <w:pPr>
              <w:jc w:val="left"/>
            </w:pPr>
            <w:r>
              <w:rPr>
                <w:b w:val="0"/>
                <w:i w:val="0"/>
                <w:color w:val="111827"/>
                <w:sz w:val="18"/>
              </w:rPr>
              <w:t>session.clear() — invalidates all session data</w:t>
            </w:r>
          </w:p>
        </w:tc>
      </w:tr>
      <w:tr>
        <w:tc>
          <w:tcPr>
            <w:tcW w:type="dxa" w:w="4707"/>
            <w:shd w:val="clear" w:color="auto" w:fill="F3F4F6"/>
            <w:vAlign w:val="center"/>
          </w:tcPr>
          <w:p>
            <w:pPr>
              <w:jc w:val="left"/>
            </w:pPr>
            <w:r>
              <w:rPr>
                <w:b/>
                <w:i w:val="0"/>
                <w:color w:val="001F5B"/>
                <w:sz w:val="18"/>
              </w:rPr>
              <w:t>Cookie Flags</w:t>
            </w:r>
          </w:p>
        </w:tc>
        <w:tc>
          <w:tcPr>
            <w:tcW w:type="dxa" w:w="4707"/>
            <w:shd w:val="clear" w:color="auto" w:fill="FFFFFF"/>
            <w:vAlign w:val="center"/>
          </w:tcPr>
          <w:p>
            <w:pPr>
              <w:jc w:val="left"/>
            </w:pPr>
            <w:r>
              <w:rPr>
                <w:b w:val="0"/>
                <w:i w:val="0"/>
                <w:color w:val="111827"/>
                <w:sz w:val="18"/>
              </w:rPr>
              <w:t>Secure=True (HTTPS only)  |  HttpOnly=True (no JS access)</w:t>
            </w:r>
          </w:p>
        </w:tc>
      </w:tr>
    </w:tbl>
    <w:p>
      <w:pPr>
        <w:spacing w:after="80"/>
      </w:pPr>
    </w:p>
    <w:p>
      <w:pPr>
        <w:spacing w:before="220" w:after="60"/>
      </w:pPr>
      <w:r>
        <w:rPr>
          <w:b/>
          <w:color w:val="001F5B"/>
          <w:sz w:val="22"/>
        </w:rPr>
        <w:t>9.4  Rate Limiting — IP-Based Progressive Lockout</w:t>
      </w:r>
    </w:p>
    <w:p>
      <w:pPr>
        <w:spacing w:before="40" w:after="60"/>
      </w:pPr>
      <w:r>
        <w:rPr>
          <w:b w:val="0"/>
          <w:i w:val="0"/>
          <w:color w:val="111827"/>
          <w:sz w:val="19"/>
        </w:rPr>
        <w:t>The rate limiter uses an in-memory Python dict (_login_attempts) keyed by client IP address. The dict is thread-safe via a threading.Lock() (_attempts_lock). On server restart, all lockout state is lost — this is an accepted trade-off for simplicity given the single-server deployment model.</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Rate limiting data structure</w:t>
              <w:br/>
            </w:r>
            <w:r>
              <w:rPr>
                <w:rFonts w:ascii="Courier New" w:hAnsi="Courier New"/>
                <w:color w:val="111827"/>
                <w:sz w:val="16"/>
              </w:rPr>
              <w:t>_login_attempts = {}        # {ip: {"count": N, "locked_until": timestamp}}</w:t>
              <w:br/>
              <w:t>_attempts_lock  = threading.Lock()</w:t>
              <w:br/>
              <w:t>MAX_ATTEMPTS    = 5</w:t>
              <w:br/>
              <w:t>LOCKOUT_SECS    = [0, 300, 900, 1800, 3600]  # 0=none, 5min, 15min, 30min, 60min</w:t>
              <w:br/>
              <w:br/>
              <w:t># Lockout escalation:</w:t>
              <w:br/>
              <w:t>#   1st lockout:  300 seconds  (5 minutes)</w:t>
              <w:br/>
              <w:t>#   2nd lockout:  900 seconds  (15 minutes)</w:t>
              <w:br/>
              <w:t>#   3rd lockout: 1800 seconds  (30 minutes)</w:t>
              <w:br/>
              <w:t>#   4th+ lockout:3600 seconds  (60 minutes)</w:t>
            </w:r>
          </w:p>
        </w:tc>
      </w:tr>
    </w:tbl>
    <w:p>
      <w:pPr>
        <w:spacing w:after="60"/>
      </w:pPr>
    </w:p>
    <w:p>
      <w:r>
        <w:br w:type="page"/>
      </w:r>
    </w:p>
    <w:p>
      <w:pPr>
        <w:spacing w:before="320" w:after="100"/>
        <w:pBdr>
          <w:bottom w:val="single" w:sz="8" w:space="2" w:color="003087"/>
        </w:pBdr>
      </w:pPr>
      <w:r>
        <w:rPr>
          <w:b/>
          <w:color w:val="003087"/>
          <w:sz w:val="26"/>
        </w:rPr>
        <w:t>10. Role-Based Access Control (RBAC)</w:t>
      </w:r>
    </w:p>
    <w:p>
      <w:pPr>
        <w:spacing w:before="40" w:after="60"/>
      </w:pPr>
      <w:r>
        <w:rPr>
          <w:b w:val="0"/>
          <w:i w:val="0"/>
          <w:color w:val="111827"/>
          <w:sz w:val="19"/>
        </w:rPr>
        <w:t>Four roles are defined in the ROLES dict in dashboard.py. Each role is a named dict of boolean capability flags. The role_required() decorator and Jinja2 template conditionals use these flags consistently — there is no separate ACL table in the database.</w:t>
      </w:r>
    </w:p>
    <w:tbl>
      <w:tblPr>
        <w:tblStyle w:val="TableGrid"/>
        <w:tblW w:type="auto" w:w="0"/>
        <w:jc w:val="left"/>
        <w:tblLook w:firstColumn="1" w:firstRow="1" w:lastColumn="0" w:lastRow="0" w:noHBand="0" w:noVBand="1" w:val="04A0"/>
      </w:tblPr>
      <w:tblGrid>
        <w:gridCol w:w="3024"/>
        <w:gridCol w:w="1728"/>
        <w:gridCol w:w="1728"/>
        <w:gridCol w:w="1728"/>
        <w:gridCol w:w="1440"/>
      </w:tblGrid>
      <w:tr>
        <w:tc>
          <w:tcPr>
            <w:tcW w:type="dxa" w:w="1883"/>
            <w:shd w:val="clear" w:color="auto" w:fill="003087"/>
            <w:vAlign w:val="center"/>
          </w:tcPr>
          <w:p>
            <w:pPr>
              <w:jc w:val="center"/>
            </w:pPr>
            <w:r>
              <w:rPr>
                <w:b/>
                <w:i w:val="0"/>
                <w:color w:val="FFFFFF"/>
                <w:sz w:val="18"/>
              </w:rPr>
              <w:t>Capability / Permission</w:t>
            </w:r>
          </w:p>
        </w:tc>
        <w:tc>
          <w:tcPr>
            <w:tcW w:type="dxa" w:w="1883"/>
            <w:shd w:val="clear" w:color="auto" w:fill="003087"/>
            <w:vAlign w:val="center"/>
          </w:tcPr>
          <w:p>
            <w:pPr>
              <w:jc w:val="center"/>
            </w:pPr>
            <w:r>
              <w:rPr>
                <w:b/>
                <w:i w:val="0"/>
                <w:color w:val="FFFFFF"/>
                <w:sz w:val="18"/>
              </w:rPr>
              <w:t>Administrator</w:t>
            </w:r>
          </w:p>
        </w:tc>
        <w:tc>
          <w:tcPr>
            <w:tcW w:type="dxa" w:w="1883"/>
            <w:shd w:val="clear" w:color="auto" w:fill="003087"/>
            <w:vAlign w:val="center"/>
          </w:tcPr>
          <w:p>
            <w:pPr>
              <w:jc w:val="center"/>
            </w:pPr>
            <w:r>
              <w:rPr>
                <w:b/>
                <w:i w:val="0"/>
                <w:color w:val="FFFFFF"/>
                <w:sz w:val="18"/>
              </w:rPr>
              <w:t>Manager</w:t>
            </w:r>
          </w:p>
        </w:tc>
        <w:tc>
          <w:tcPr>
            <w:tcW w:type="dxa" w:w="1883"/>
            <w:shd w:val="clear" w:color="auto" w:fill="003087"/>
            <w:vAlign w:val="center"/>
          </w:tcPr>
          <w:p>
            <w:pPr>
              <w:jc w:val="center"/>
            </w:pPr>
            <w:r>
              <w:rPr>
                <w:b/>
                <w:i w:val="0"/>
                <w:color w:val="FFFFFF"/>
                <w:sz w:val="18"/>
              </w:rPr>
              <w:t>Operator</w:t>
            </w:r>
          </w:p>
        </w:tc>
        <w:tc>
          <w:tcPr>
            <w:tcW w:type="dxa" w:w="1883"/>
            <w:shd w:val="clear" w:color="auto" w:fill="003087"/>
            <w:vAlign w:val="center"/>
          </w:tcPr>
          <w:p>
            <w:pPr>
              <w:jc w:val="center"/>
            </w:pPr>
            <w:r>
              <w:rPr>
                <w:b/>
                <w:i w:val="0"/>
                <w:color w:val="FFFFFF"/>
                <w:sz w:val="18"/>
              </w:rPr>
              <w:t>Viewer</w:t>
            </w:r>
          </w:p>
        </w:tc>
      </w:tr>
      <w:tr>
        <w:tc>
          <w:tcPr>
            <w:tcW w:type="dxa" w:w="1883"/>
            <w:shd w:val="clear" w:color="auto" w:fill="FFFFFF"/>
            <w:vAlign w:val="center"/>
          </w:tcPr>
          <w:p>
            <w:pPr>
              <w:jc w:val="left"/>
            </w:pPr>
            <w:r>
              <w:rPr>
                <w:b/>
                <w:i w:val="0"/>
                <w:color w:val="001F5B"/>
                <w:sz w:val="18"/>
              </w:rPr>
              <w:t>View Dashboard &amp; KPI Cards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r>
      <w:tr>
        <w:tc>
          <w:tcPr>
            <w:tcW w:type="dxa" w:w="1883"/>
            <w:shd w:val="clear" w:color="auto" w:fill="F3F4F6"/>
            <w:vAlign w:val="center"/>
          </w:tcPr>
          <w:p>
            <w:pPr>
              <w:jc w:val="left"/>
            </w:pPr>
            <w:r>
              <w:rPr>
                <w:b/>
                <w:i w:val="0"/>
                <w:color w:val="001F5B"/>
                <w:sz w:val="18"/>
              </w:rPr>
              <w:t>View Invoice List &amp; Detail</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r>
      <w:tr>
        <w:tc>
          <w:tcPr>
            <w:tcW w:type="dxa" w:w="1883"/>
            <w:shd w:val="clear" w:color="auto" w:fill="FFFFFF"/>
            <w:vAlign w:val="center"/>
          </w:tcPr>
          <w:p>
            <w:pPr>
              <w:jc w:val="left"/>
            </w:pPr>
            <w:r>
              <w:rPr>
                <w:b/>
                <w:i w:val="0"/>
                <w:color w:val="001F5B"/>
                <w:sz w:val="18"/>
              </w:rPr>
              <w:t>Post Invoice to FIRS (Manual)</w:t>
            </w:r>
          </w:p>
        </w:tc>
        <w:tc>
          <w:tcPr>
            <w:tcW w:type="dxa" w:w="1883"/>
            <w:shd w:val="clear" w:color="auto" w:fill="D1FAE5"/>
            <w:vAlign w:val="center"/>
          </w:tcPr>
          <w:p>
            <w:pPr>
              <w:jc w:val="center"/>
            </w:pPr>
            <w:r>
              <w:rPr>
                <w:b/>
                <w:i w:val="0"/>
                <w:color w:val="16A34A"/>
                <w:sz w:val="18"/>
              </w:rPr>
              <w:t>✓ YES</w:t>
            </w:r>
          </w:p>
        </w:tc>
        <w:tc>
          <w:tcPr>
            <w:tcW w:type="dxa" w:w="1883"/>
            <w:shd w:val="clear" w:color="auto" w:fill="FEE2E2"/>
            <w:vAlign w:val="center"/>
          </w:tcPr>
          <w:p>
            <w:pPr>
              <w:jc w:val="center"/>
            </w:pPr>
            <w:r>
              <w:rPr>
                <w:b/>
                <w:i w:val="0"/>
                <w:color w:val="DC2626"/>
                <w:sz w:val="18"/>
              </w:rPr>
              <w:t>–  NO</w:t>
            </w:r>
          </w:p>
        </w:tc>
        <w:tc>
          <w:tcPr>
            <w:tcW w:type="dxa" w:w="1883"/>
            <w:shd w:val="clear" w:color="auto" w:fill="D1FAE5"/>
            <w:vAlign w:val="center"/>
          </w:tcPr>
          <w:p>
            <w:pPr>
              <w:jc w:val="center"/>
            </w:pPr>
            <w:r>
              <w:rPr>
                <w:b/>
                <w:i w:val="0"/>
                <w:color w:val="16A34A"/>
                <w:sz w:val="18"/>
              </w:rPr>
              <w:t>✓ YES</w:t>
            </w:r>
          </w:p>
        </w:tc>
        <w:tc>
          <w:tcPr>
            <w:tcW w:type="dxa" w:w="1883"/>
            <w:shd w:val="clear" w:color="auto" w:fill="FEE2E2"/>
            <w:vAlign w:val="center"/>
          </w:tcPr>
          <w:p>
            <w:pPr>
              <w:jc w:val="center"/>
            </w:pPr>
            <w:r>
              <w:rPr>
                <w:b/>
                <w:i w:val="0"/>
                <w:color w:val="DC2626"/>
                <w:sz w:val="18"/>
              </w:rPr>
              <w:t>–  NO</w:t>
            </w:r>
          </w:p>
        </w:tc>
      </w:tr>
      <w:tr>
        <w:tc>
          <w:tcPr>
            <w:tcW w:type="dxa" w:w="1883"/>
            <w:shd w:val="clear" w:color="auto" w:fill="F3F4F6"/>
            <w:vAlign w:val="center"/>
          </w:tcPr>
          <w:p>
            <w:pPr>
              <w:jc w:val="left"/>
            </w:pPr>
            <w:r>
              <w:rPr>
                <w:b/>
                <w:i w:val="0"/>
                <w:color w:val="001F5B"/>
                <w:sz w:val="18"/>
              </w:rPr>
              <w:t>Print View &amp; PDF Download</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r>
      <w:tr>
        <w:tc>
          <w:tcPr>
            <w:tcW w:type="dxa" w:w="1883"/>
            <w:shd w:val="clear" w:color="auto" w:fill="FFFFFF"/>
            <w:vAlign w:val="center"/>
          </w:tcPr>
          <w:p>
            <w:pPr>
              <w:jc w:val="left"/>
            </w:pPr>
            <w:r>
              <w:rPr>
                <w:b/>
                <w:i w:val="0"/>
                <w:color w:val="001F5B"/>
                <w:sz w:val="18"/>
              </w:rPr>
              <w:t>Excel Export (Invoices)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FEE2E2"/>
            <w:vAlign w:val="center"/>
          </w:tcPr>
          <w:p>
            <w:pPr>
              <w:jc w:val="center"/>
            </w:pPr>
            <w:r>
              <w:rPr>
                <w:b/>
                <w:i w:val="0"/>
                <w:color w:val="DC2626"/>
                <w:sz w:val="18"/>
              </w:rPr>
              <w:t>–  NO</w:t>
            </w:r>
          </w:p>
        </w:tc>
      </w:tr>
      <w:tr>
        <w:tc>
          <w:tcPr>
            <w:tcW w:type="dxa" w:w="1883"/>
            <w:shd w:val="clear" w:color="auto" w:fill="F3F4F6"/>
            <w:vAlign w:val="center"/>
          </w:tcPr>
          <w:p>
            <w:pPr>
              <w:jc w:val="left"/>
            </w:pPr>
            <w:r>
              <w:rPr>
                <w:b/>
                <w:i w:val="0"/>
                <w:color w:val="001F5B"/>
                <w:sz w:val="18"/>
              </w:rPr>
              <w:t>CFO Report Page</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FEE2E2"/>
            <w:vAlign w:val="center"/>
          </w:tcPr>
          <w:p>
            <w:pPr>
              <w:jc w:val="center"/>
            </w:pPr>
            <w:r>
              <w:rPr>
                <w:b/>
                <w:i w:val="0"/>
                <w:color w:val="DC2626"/>
                <w:sz w:val="18"/>
              </w:rPr>
              <w:t>–  NO</w:t>
            </w:r>
          </w:p>
        </w:tc>
        <w:tc>
          <w:tcPr>
            <w:tcW w:type="dxa" w:w="1883"/>
            <w:shd w:val="clear" w:color="auto" w:fill="FEE2E2"/>
            <w:vAlign w:val="center"/>
          </w:tcPr>
          <w:p>
            <w:pPr>
              <w:jc w:val="center"/>
            </w:pPr>
            <w:r>
              <w:rPr>
                <w:b/>
                <w:i w:val="0"/>
                <w:color w:val="DC2626"/>
                <w:sz w:val="18"/>
              </w:rPr>
              <w:t>–  NO</w:t>
            </w:r>
          </w:p>
        </w:tc>
      </w:tr>
      <w:tr>
        <w:tc>
          <w:tcPr>
            <w:tcW w:type="dxa" w:w="1883"/>
            <w:shd w:val="clear" w:color="auto" w:fill="FFFFFF"/>
            <w:vAlign w:val="center"/>
          </w:tcPr>
          <w:p>
            <w:pPr>
              <w:jc w:val="left"/>
            </w:pPr>
            <w:r>
              <w:rPr>
                <w:b/>
                <w:i w:val="0"/>
                <w:color w:val="001F5B"/>
                <w:sz w:val="18"/>
              </w:rPr>
              <w:t>Full Report Excel Export</w:t>
            </w:r>
          </w:p>
        </w:tc>
        <w:tc>
          <w:tcPr>
            <w:tcW w:type="dxa" w:w="1883"/>
            <w:shd w:val="clear" w:color="auto" w:fill="D1FAE5"/>
            <w:vAlign w:val="center"/>
          </w:tcPr>
          <w:p>
            <w:pPr>
              <w:jc w:val="center"/>
            </w:pPr>
            <w:r>
              <w:rPr>
                <w:b/>
                <w:i w:val="0"/>
                <w:color w:val="16A34A"/>
                <w:sz w:val="18"/>
              </w:rPr>
              <w:t>✓ YES</w:t>
            </w:r>
          </w:p>
        </w:tc>
        <w:tc>
          <w:tcPr>
            <w:tcW w:type="dxa" w:w="1883"/>
            <w:shd w:val="clear" w:color="auto" w:fill="D1FAE5"/>
            <w:vAlign w:val="center"/>
          </w:tcPr>
          <w:p>
            <w:pPr>
              <w:jc w:val="center"/>
            </w:pPr>
            <w:r>
              <w:rPr>
                <w:b/>
                <w:i w:val="0"/>
                <w:color w:val="16A34A"/>
                <w:sz w:val="18"/>
              </w:rPr>
              <w:t>✓ YES</w:t>
            </w:r>
          </w:p>
        </w:tc>
        <w:tc>
          <w:tcPr>
            <w:tcW w:type="dxa" w:w="1883"/>
            <w:shd w:val="clear" w:color="auto" w:fill="FEE2E2"/>
            <w:vAlign w:val="center"/>
          </w:tcPr>
          <w:p>
            <w:pPr>
              <w:jc w:val="center"/>
            </w:pPr>
            <w:r>
              <w:rPr>
                <w:b/>
                <w:i w:val="0"/>
                <w:color w:val="DC2626"/>
                <w:sz w:val="18"/>
              </w:rPr>
              <w:t>–  NO</w:t>
            </w:r>
          </w:p>
        </w:tc>
        <w:tc>
          <w:tcPr>
            <w:tcW w:type="dxa" w:w="1883"/>
            <w:shd w:val="clear" w:color="auto" w:fill="FEE2E2"/>
            <w:vAlign w:val="center"/>
          </w:tcPr>
          <w:p>
            <w:pPr>
              <w:jc w:val="center"/>
            </w:pPr>
            <w:r>
              <w:rPr>
                <w:b/>
                <w:i w:val="0"/>
                <w:color w:val="DC2626"/>
                <w:sz w:val="18"/>
              </w:rPr>
              <w:t>–  NO</w:t>
            </w:r>
          </w:p>
        </w:tc>
      </w:tr>
      <w:tr>
        <w:tc>
          <w:tcPr>
            <w:tcW w:type="dxa" w:w="1883"/>
            <w:shd w:val="clear" w:color="auto" w:fill="F3F4F6"/>
            <w:vAlign w:val="center"/>
          </w:tcPr>
          <w:p>
            <w:pPr>
              <w:jc w:val="left"/>
            </w:pPr>
            <w:r>
              <w:rPr>
                <w:b/>
                <w:i w:val="0"/>
                <w:color w:val="001F5B"/>
                <w:sz w:val="18"/>
              </w:rPr>
              <w:t>User Management (RBAC Admin)</w:t>
            </w:r>
          </w:p>
        </w:tc>
        <w:tc>
          <w:tcPr>
            <w:tcW w:type="dxa" w:w="1883"/>
            <w:shd w:val="clear" w:color="auto" w:fill="D1FAE5"/>
            <w:vAlign w:val="center"/>
          </w:tcPr>
          <w:p>
            <w:pPr>
              <w:jc w:val="center"/>
            </w:pPr>
            <w:r>
              <w:rPr>
                <w:b/>
                <w:i w:val="0"/>
                <w:color w:val="16A34A"/>
                <w:sz w:val="18"/>
              </w:rPr>
              <w:t>✓ YES</w:t>
            </w:r>
          </w:p>
        </w:tc>
        <w:tc>
          <w:tcPr>
            <w:tcW w:type="dxa" w:w="1883"/>
            <w:shd w:val="clear" w:color="auto" w:fill="FEE2E2"/>
            <w:vAlign w:val="center"/>
          </w:tcPr>
          <w:p>
            <w:pPr>
              <w:jc w:val="center"/>
            </w:pPr>
            <w:r>
              <w:rPr>
                <w:b/>
                <w:i w:val="0"/>
                <w:color w:val="DC2626"/>
                <w:sz w:val="18"/>
              </w:rPr>
              <w:t>–  NO</w:t>
            </w:r>
          </w:p>
        </w:tc>
        <w:tc>
          <w:tcPr>
            <w:tcW w:type="dxa" w:w="1883"/>
            <w:shd w:val="clear" w:color="auto" w:fill="FEE2E2"/>
            <w:vAlign w:val="center"/>
          </w:tcPr>
          <w:p>
            <w:pPr>
              <w:jc w:val="center"/>
            </w:pPr>
            <w:r>
              <w:rPr>
                <w:b/>
                <w:i w:val="0"/>
                <w:color w:val="DC2626"/>
                <w:sz w:val="18"/>
              </w:rPr>
              <w:t>–  NO</w:t>
            </w:r>
          </w:p>
        </w:tc>
        <w:tc>
          <w:tcPr>
            <w:tcW w:type="dxa" w:w="1883"/>
            <w:shd w:val="clear" w:color="auto" w:fill="FEE2E2"/>
            <w:vAlign w:val="center"/>
          </w:tcPr>
          <w:p>
            <w:pPr>
              <w:jc w:val="center"/>
            </w:pPr>
            <w:r>
              <w:rPr>
                <w:b/>
                <w:i w:val="0"/>
                <w:color w:val="DC2626"/>
                <w:sz w:val="18"/>
              </w:rPr>
              <w:t>–  NO</w:t>
            </w:r>
          </w:p>
        </w:tc>
      </w:tr>
    </w:tbl>
    <w:p/>
    <w:p>
      <w:pPr>
        <w:spacing w:before="40" w:after="60"/>
      </w:pPr>
      <w:r>
        <w:rPr>
          <w:b w:val="0"/>
          <w:i w:val="0"/>
          <w:color w:val="111827"/>
          <w:sz w:val="19"/>
        </w:rPr>
        <w:t>Role enforcement occurs at three layers: (1) the @role_required() route decorator returns a 302 redirect with a flash message before any handler logic executes, (2) the Jinja2 template conditionals hide UI elements (buttons, menu items) to prevent confusion, and (3) the inject_globals() context processor ensures the current_role flags are always available to templates without additional DB queries.</w:t>
      </w:r>
    </w:p>
    <w:p>
      <w:r>
        <w:br w:type="page"/>
      </w:r>
    </w:p>
    <w:p>
      <w:pPr>
        <w:spacing w:before="320" w:after="100"/>
        <w:pBdr>
          <w:bottom w:val="single" w:sz="8" w:space="2" w:color="003087"/>
        </w:pBdr>
      </w:pPr>
      <w:r>
        <w:rPr>
          <w:b/>
          <w:color w:val="003087"/>
          <w:sz w:val="26"/>
        </w:rPr>
        <w:t>11. Data Flow Diagrams</w:t>
      </w:r>
    </w:p>
    <w:p>
      <w:pPr>
        <w:spacing w:before="220" w:after="60"/>
      </w:pPr>
      <w:r>
        <w:rPr>
          <w:b/>
          <w:color w:val="001F5B"/>
          <w:sz w:val="22"/>
        </w:rPr>
        <w:t>11.1  Invoice Auto-Submit Flow  (Scheduler — every 5 minutes)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Data Flow / Sequence</w:t>
              <w:br/>
            </w:r>
            <w:r>
              <w:rPr>
                <w:rFonts w:ascii="Courier New" w:hAnsi="Courier New"/>
                <w:color w:val="111827"/>
                <w:sz w:val="16"/>
              </w:rPr>
              <w:t xml:space="preserve">  APScheduler (BlockingScheduler)</w:t>
              <w:br/>
              <w:t xml:space="preserve">       │  fires every 300 seconds</w:t>
              <w:br/>
              <w:t xml:space="preserve">       ▼</w:t>
              <w:br/>
              <w:t xml:space="preserve">  pymssql.connect(KBL-FIRS-SVR:1433, FIRSINVOICEDB)</w:t>
              <w:br/>
              <w:t xml:space="preserve">       │</w:t>
              <w:br/>
              <w:t xml:space="preserve">       ▼</w:t>
              <w:br/>
              <w:t xml:space="preserve">  SELECT * FROM dbo.REPORT WHERE REPORTING_STATUS IS NULL</w:t>
              <w:br/>
              <w:t xml:space="preserve">       │</w:t>
              <w:br/>
              <w:t xml:space="preserve">       ├── 0 rows → close conn → sleep 5 min</w:t>
              <w:br/>
              <w:t xml:space="preserve">       │</w:t>
              <w:br/>
              <w:t xml:space="preserve">       └── N rows → FOR EACH invoice:</w:t>
              <w:br/>
              <w:t xml:space="preserve">             │</w:t>
              <w:br/>
              <w:t xml:space="preserve">             ├─ Build JSON payload (TRANSACTION_REF, BOOKING_DATE, CUSTOMER_TIN...)</w:t>
              <w:br/>
              <w:t xml:space="preserve">             │</w:t>
              <w:br/>
              <w:t xml:space="preserve">             ├─ requests.post(api.base_url + "/submit", json=payload, timeout=30)</w:t>
              <w:br/>
              <w:t xml:space="preserve">             │</w:t>
              <w:br/>
              <w:t xml:space="preserve">             ├─ response.status_code == 200 AND response.json()["status"] == "success"</w:t>
              <w:br/>
              <w:t xml:space="preserve">             │    ├── True:</w:t>
              <w:br/>
              <w:t xml:space="preserve">             │    │    UPDATE dbo.REPORT SET</w:t>
              <w:br/>
              <w:t xml:space="preserve">             │    │      REPORTING_STATUS=1, IRN=irn, QR_CODE_URL=url,</w:t>
              <w:br/>
              <w:t xml:space="preserve">             │    │      EXCEPTION_MESSAGE=NULL, LAST_UPDATED=now</w:t>
              <w:br/>
              <w:t xml:space="preserve">             │    │    WHERE TRANSACTION_REF = ref</w:t>
              <w:br/>
              <w:t xml:space="preserve">             │    │    conn.commit()</w:t>
              <w:br/>
              <w:t xml:space="preserve">             │    └── False (any error / bad status):</w:t>
              <w:br/>
              <w:t xml:space="preserve">             │         UPDATE dbo.REPORT SET</w:t>
              <w:br/>
              <w:t xml:space="preserve">             │           REPORTING_STATUS=0, EXCEPTION_MESSAGE=error_msg,</w:t>
              <w:br/>
              <w:t xml:space="preserve">             │           LAST_UPDATED=now</w:t>
              <w:br/>
              <w:t xml:space="preserve">             │         WHERE TRANSACTION_REF = ref</w:t>
              <w:br/>
              <w:t xml:space="preserve">             │         conn.commit()</w:t>
              <w:br/>
              <w:t xml:space="preserve">             │</w:t>
              <w:br/>
              <w:t xml:space="preserve">             └─ next invoice...</w:t>
              <w:br/>
              <w:t xml:space="preserve">       │</w:t>
              <w:br/>
              <w:t xml:space="preserve">       ▼</w:t>
              <w:br/>
              <w:t xml:space="preserve">  close conn → scheduler sleeps 5 min → repeat</w:t>
            </w:r>
          </w:p>
        </w:tc>
      </w:tr>
    </w:tbl>
    <w:p>
      <w:pPr>
        <w:spacing w:after="60"/>
      </w:pPr>
    </w:p>
    <w:p>
      <w:pPr>
        <w:spacing w:before="220" w:after="60"/>
      </w:pPr>
      <w:r>
        <w:rPr>
          <w:b/>
          <w:color w:val="001F5B"/>
          <w:sz w:val="22"/>
        </w:rPr>
        <w:t>11.2  Manual Post Flow  (Dashboard Operator)</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Data Flow / Sequence</w:t>
              <w:br/>
            </w:r>
            <w:r>
              <w:rPr>
                <w:rFonts w:ascii="Courier New" w:hAnsi="Courier New"/>
                <w:color w:val="111827"/>
                <w:sz w:val="16"/>
              </w:rPr>
              <w:t xml:space="preserve">  Operator clicks Post button on invoice row</w:t>
              <w:br/>
              <w:t xml:space="preserve">       │  JavaScript POST /invoices/&lt;ref&gt;/post  (AJAX)</w:t>
              <w:br/>
              <w:t xml:space="preserve">       ▼</w:t>
              <w:br/>
              <w:t xml:space="preserve">  Flask /invoices/&lt;ref&gt;/post handler</w:t>
              <w:br/>
              <w:t xml:space="preserve">       │</w:t>
              <w:br/>
              <w:t xml:space="preserve">       ├─ @login_required + @role_required(['Operator','Administrator'])</w:t>
              <w:br/>
              <w:t xml:space="preserve">       │    └─ Viewer/Manager → 302 redirect + flash "Access denied"</w:t>
              <w:br/>
              <w:t xml:space="preserve">       │</w:t>
              <w:br/>
              <w:t xml:space="preserve">       ├─ SELECT * FROM dbo.REPORT WHERE TRANSACTION_REF=ref</w:t>
              <w:br/>
              <w:t xml:space="preserve">       │    ├─ REPORTING_STATUS == 1 → return {"status":"already","irn":irn}</w:t>
              <w:br/>
              <w:t xml:space="preserve">       │    └─ REPORTING_STATUS IS NULL or 0 → continue</w:t>
              <w:br/>
              <w:t xml:space="preserve">       │</w:t>
              <w:br/>
              <w:t xml:space="preserve">       ├─ Build JSON payload</w:t>
              <w:br/>
              <w:t xml:space="preserve">       ├─ requests.post(API, json=payload, timeout=30)</w:t>
              <w:br/>
              <w:t xml:space="preserve">       │</w:t>
              <w:br/>
              <w:t xml:space="preserve">       ├─ SUCCESS → UPDATE DB → return {"status":"ok","irn":irn}</w:t>
              <w:br/>
              <w:t xml:space="preserve">       │    DataTables row badge → Submitted (blue)</w:t>
              <w:br/>
              <w:t xml:space="preserve">       │    Toast notification → "Posted — IRN: &lt;irn&gt;"</w:t>
              <w:br/>
              <w:t xml:space="preserve">       │    Post button removed from row</w:t>
              <w:br/>
              <w:t xml:space="preserve">       │</w:t>
              <w:br/>
              <w:t xml:space="preserve">       └─ FAILURE → UPDATE DB (status=0) → return {"status":"error","message":msg}</w:t>
              <w:br/>
              <w:t xml:space="preserve">            Toast notification → red error text</w:t>
              <w:br/>
              <w:t xml:space="preserve">            Row badge → Failed (red)</w:t>
            </w:r>
          </w:p>
        </w:tc>
      </w:tr>
    </w:tbl>
    <w:p>
      <w:pPr>
        <w:spacing w:after="60"/>
      </w:pPr>
    </w:p>
    <w:p>
      <w:pPr>
        <w:spacing w:before="220" w:after="60"/>
      </w:pPr>
      <w:r>
        <w:rPr>
          <w:b/>
          <w:color w:val="001F5B"/>
          <w:sz w:val="22"/>
        </w:rPr>
        <w:t>11.3  Authentication Flow</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Data Flow / Sequence</w:t>
              <w:br/>
            </w:r>
            <w:r>
              <w:rPr>
                <w:rFonts w:ascii="Courier New" w:hAnsi="Courier New"/>
                <w:color w:val="111827"/>
                <w:sz w:val="16"/>
              </w:rPr>
              <w:t xml:space="preserve">  Browser GET https://10.40.24.41:5443</w:t>
              <w:br/>
              <w:t xml:space="preserve">       │  HTTP :5000 → 301 → HTTPS :5443 (if HTTP used)</w:t>
              <w:br/>
              <w:t xml:space="preserve">       ▼</w:t>
              <w:br/>
              <w:t xml:space="preserve">  Flask before_request: _check_session_timeout()</w:t>
              <w:br/>
              <w:t xml:space="preserve">       ├─ No session → redirect /login</w:t>
              <w:br/>
              <w:t xml:space="preserve">       └─ Session present + active → continue to requested page</w:t>
              <w:br/>
              <w:br/>
              <w:t xml:space="preserve">  User submits login form → POST /login</w:t>
              <w:br/>
              <w:t xml:space="preserve">       │</w:t>
              <w:br/>
              <w:t xml:space="preserve">       ├─ _check_lockout(ip) → locked? → show lockout message</w:t>
              <w:br/>
              <w:t xml:space="preserve">       ├─ DB lookup → not found / IS_ACTIVE=0 → _record_failure → show error</w:t>
              <w:br/>
              <w:t xml:space="preserve">       ├─ check_password_hash → mismatch → _record_failure → show error</w:t>
              <w:br/>
              <w:t xml:space="preserve">       └─ Match → _clear_attempts → set session → 302 /</w:t>
              <w:br/>
              <w:br/>
              <w:t xml:space="preserve">  Client-side session timer (JS in base.html):</w:t>
              <w:br/>
              <w:t xml:space="preserve">       ├─ Counts down from 900s (15 min)</w:t>
              <w:br/>
              <w:t xml:space="preserve">       ├─ User active → GET /api/ping every 60s → resets server _last_activity</w:t>
              <w:br/>
              <w:t xml:space="preserve">       ├─ At 780s inactivity → show Bootstrap modal "Session Expiring in 2:00"</w:t>
              <w:br/>
              <w:t xml:space="preserve">       ├─ "Stay Logged In" → GET /api/ping → reset timer</w:t>
              <w:br/>
              <w:t xml:space="preserve">       └─ Timer reaches 0 → window.location = "/login"</w:t>
            </w:r>
          </w:p>
        </w:tc>
      </w:tr>
    </w:tbl>
    <w:p>
      <w:pPr>
        <w:spacing w:after="6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12 — Security Design</w:t>
            </w:r>
          </w:p>
          <w:p>
            <w:pPr>
              <w:spacing w:before="0" w:after="100"/>
              <w:jc w:val="left"/>
            </w:pPr>
            <w:r>
              <w:rPr>
                <w:color w:val="BFD7FF"/>
                <w:sz w:val="17"/>
              </w:rPr>
              <w:t xml:space="preserve">  VAPT Remediations · Transport · Authentication · Session · RBAC · Password Policy</w:t>
            </w:r>
          </w:p>
        </w:tc>
      </w:tr>
    </w:tbl>
    <w:p>
      <w:pPr>
        <w:spacing w:after="80"/>
      </w:pPr>
    </w:p>
    <w:p>
      <w:pPr>
        <w:spacing w:before="320" w:after="100"/>
        <w:pBdr>
          <w:bottom w:val="single" w:sz="8" w:space="2" w:color="003087"/>
        </w:pBdr>
      </w:pPr>
      <w:r>
        <w:rPr>
          <w:b/>
          <w:color w:val="003087"/>
          <w:sz w:val="26"/>
        </w:rPr>
        <w:t>12. Security Design</w:t>
      </w:r>
    </w:p>
    <w:p>
      <w:pPr>
        <w:spacing w:before="220" w:after="60"/>
      </w:pPr>
      <w:r>
        <w:rPr>
          <w:b/>
          <w:color w:val="001F5B"/>
          <w:sz w:val="22"/>
        </w:rPr>
        <w:t>12.1  Security Architecture Overview</w:t>
      </w:r>
    </w:p>
    <w:p>
      <w:pPr>
        <w:spacing w:before="40" w:after="60"/>
      </w:pPr>
      <w:r>
        <w:rPr>
          <w:b w:val="0"/>
          <w:i w:val="0"/>
          <w:color w:val="111827"/>
          <w:sz w:val="19"/>
        </w:rPr>
        <w:t>The security design addresses four of the OWASP Top 10 categories most relevant to this application type: Broken Access Control (A01), Cryptographic Failures (A02), Injection (A03), and Identification and Authentication Failures (A07). Additionally, all four findings from the formal VAPT assessment are remediated and documented below.</w:t>
      </w:r>
    </w:p>
    <w:p>
      <w:pPr>
        <w:spacing w:before="220" w:after="60"/>
      </w:pPr>
      <w:r>
        <w:rPr>
          <w:b/>
          <w:color w:val="001F5B"/>
          <w:sz w:val="22"/>
        </w:rPr>
        <w:t>12.2  VAPT Findings &amp; Remediations</w:t>
      </w:r>
    </w:p>
    <w:tbl>
      <w:tblPr>
        <w:tblStyle w:val="TableGrid"/>
        <w:tblW w:type="auto" w:w="0"/>
        <w:jc w:val="left"/>
        <w:tblLook w:firstColumn="1" w:firstRow="1" w:lastColumn="0" w:lastRow="0" w:noHBand="0" w:noVBand="1" w:val="04A0"/>
      </w:tblPr>
      <w:tblGrid>
        <w:gridCol w:w="720"/>
        <w:gridCol w:w="2448"/>
        <w:gridCol w:w="4320"/>
        <w:gridCol w:w="2160"/>
      </w:tblGrid>
      <w:tr>
        <w:tc>
          <w:tcPr>
            <w:tcW w:type="dxa" w:w="2354"/>
            <w:shd w:val="clear" w:color="auto" w:fill="003087"/>
            <w:vAlign w:val="center"/>
          </w:tcPr>
          <w:p>
            <w:pPr>
              <w:jc w:val="center"/>
            </w:pPr>
            <w:r>
              <w:rPr>
                <w:b/>
                <w:i w:val="0"/>
                <w:color w:val="FFFFFF"/>
                <w:sz w:val="18"/>
              </w:rPr>
              <w:t>Ref</w:t>
            </w:r>
          </w:p>
        </w:tc>
        <w:tc>
          <w:tcPr>
            <w:tcW w:type="dxa" w:w="2354"/>
            <w:shd w:val="clear" w:color="auto" w:fill="003087"/>
            <w:vAlign w:val="center"/>
          </w:tcPr>
          <w:p>
            <w:pPr>
              <w:jc w:val="center"/>
            </w:pPr>
            <w:r>
              <w:rPr>
                <w:b/>
                <w:i w:val="0"/>
                <w:color w:val="FFFFFF"/>
                <w:sz w:val="18"/>
              </w:rPr>
              <w:t>Finding</w:t>
            </w:r>
          </w:p>
        </w:tc>
        <w:tc>
          <w:tcPr>
            <w:tcW w:type="dxa" w:w="2354"/>
            <w:shd w:val="clear" w:color="auto" w:fill="003087"/>
            <w:vAlign w:val="center"/>
          </w:tcPr>
          <w:p>
            <w:pPr>
              <w:jc w:val="center"/>
            </w:pPr>
            <w:r>
              <w:rPr>
                <w:b/>
                <w:i w:val="0"/>
                <w:color w:val="FFFFFF"/>
                <w:sz w:val="18"/>
              </w:rPr>
              <w:t>Remediation Implemented</w:t>
            </w:r>
          </w:p>
        </w:tc>
        <w:tc>
          <w:tcPr>
            <w:tcW w:type="dxa" w:w="2354"/>
            <w:shd w:val="clear" w:color="auto" w:fill="003087"/>
            <w:vAlign w:val="center"/>
          </w:tcPr>
          <w:p>
            <w:pPr>
              <w:jc w:val="center"/>
            </w:pPr>
            <w:r>
              <w:rPr>
                <w:b/>
                <w:i w:val="0"/>
                <w:color w:val="FFFFFF"/>
                <w:sz w:val="18"/>
              </w:rPr>
              <w:t>Status</w:t>
            </w:r>
          </w:p>
        </w:tc>
      </w:tr>
      <w:tr>
        <w:tc>
          <w:tcPr>
            <w:tcW w:type="dxa" w:w="2354"/>
            <w:shd w:val="clear" w:color="auto" w:fill="FFFFFF"/>
            <w:vAlign w:val="center"/>
          </w:tcPr>
          <w:p>
            <w:pPr>
              <w:jc w:val="center"/>
            </w:pPr>
            <w:r>
              <w:rPr>
                <w:b/>
                <w:i w:val="0"/>
                <w:color w:val="001F5B"/>
                <w:sz w:val="18"/>
              </w:rPr>
              <w:t>V-01</w:t>
            </w:r>
          </w:p>
        </w:tc>
        <w:tc>
          <w:tcPr>
            <w:tcW w:type="dxa" w:w="2354"/>
            <w:shd w:val="clear" w:color="auto" w:fill="FFFFFF"/>
            <w:vAlign w:val="center"/>
          </w:tcPr>
          <w:p>
            <w:pPr>
              <w:jc w:val="left"/>
            </w:pPr>
            <w:r>
              <w:rPr>
                <w:b/>
                <w:i w:val="0"/>
                <w:color w:val="DC2626"/>
                <w:sz w:val="18"/>
              </w:rPr>
              <w:t>No HTTPS / TLS</w:t>
            </w:r>
          </w:p>
        </w:tc>
        <w:tc>
          <w:tcPr>
            <w:tcW w:type="dxa" w:w="2354"/>
            <w:shd w:val="clear" w:color="auto" w:fill="FFFFFF"/>
            <w:vAlign w:val="center"/>
          </w:tcPr>
          <w:p>
            <w:pPr>
              <w:jc w:val="left"/>
            </w:pPr>
            <w:r>
              <w:rPr>
                <w:b w:val="0"/>
                <w:i w:val="0"/>
                <w:color w:val="111827"/>
                <w:sz w:val="17"/>
              </w:rPr>
              <w:t>Flask runs with ssl_context=(cert, key) on port 5443. HTTP port 5000 serves only 301 redirects. Session cookie has Secure=True flag — never transmitted over HTTP.</w:t>
            </w:r>
          </w:p>
        </w:tc>
        <w:tc>
          <w:tcPr>
            <w:tcW w:type="dxa" w:w="2354"/>
            <w:shd w:val="clear" w:color="auto" w:fill="FFFFFF"/>
            <w:shd w:val="clear" w:color="auto" w:fill="D1FAE5"/>
            <w:vAlign w:val="center"/>
          </w:tcPr>
          <w:p>
            <w:pPr>
              <w:jc w:val="center"/>
            </w:pPr>
            <w:r>
              <w:rPr>
                <w:b/>
                <w:i w:val="0"/>
                <w:color w:val="16A34A"/>
                <w:sz w:val="18"/>
              </w:rPr>
              <w:t>CLOSED</w:t>
            </w:r>
          </w:p>
        </w:tc>
      </w:tr>
      <w:tr>
        <w:tc>
          <w:tcPr>
            <w:tcW w:type="dxa" w:w="2354"/>
            <w:shd w:val="clear" w:color="auto" w:fill="F3F4F6"/>
            <w:vAlign w:val="center"/>
          </w:tcPr>
          <w:p>
            <w:pPr>
              <w:jc w:val="center"/>
            </w:pPr>
            <w:r>
              <w:rPr>
                <w:b/>
                <w:i w:val="0"/>
                <w:color w:val="001F5B"/>
                <w:sz w:val="18"/>
              </w:rPr>
              <w:t>V-02</w:t>
            </w:r>
          </w:p>
        </w:tc>
        <w:tc>
          <w:tcPr>
            <w:tcW w:type="dxa" w:w="2354"/>
            <w:shd w:val="clear" w:color="auto" w:fill="F3F4F6"/>
            <w:vAlign w:val="center"/>
          </w:tcPr>
          <w:p>
            <w:pPr>
              <w:jc w:val="left"/>
            </w:pPr>
            <w:r>
              <w:rPr>
                <w:b/>
                <w:i w:val="0"/>
                <w:color w:val="DC2626"/>
                <w:sz w:val="18"/>
              </w:rPr>
              <w:t>No Session Timeout</w:t>
            </w:r>
          </w:p>
        </w:tc>
        <w:tc>
          <w:tcPr>
            <w:tcW w:type="dxa" w:w="2354"/>
            <w:shd w:val="clear" w:color="auto" w:fill="F3F4F6"/>
            <w:vAlign w:val="center"/>
          </w:tcPr>
          <w:p>
            <w:pPr>
              <w:jc w:val="left"/>
            </w:pPr>
            <w:r>
              <w:rPr>
                <w:b w:val="0"/>
                <w:i w:val="0"/>
                <w:color w:val="111827"/>
                <w:sz w:val="17"/>
              </w:rPr>
              <w:t>server-side inactivity timeout at 900s via before_request hook + client-side 2-min warning modal + /api/ping keepalive. Session.permanent=True with PERMANENT_SESSION_LIFETIME=15min.</w:t>
            </w:r>
          </w:p>
        </w:tc>
        <w:tc>
          <w:tcPr>
            <w:tcW w:type="dxa" w:w="2354"/>
            <w:shd w:val="clear" w:color="auto" w:fill="F3F4F6"/>
            <w:shd w:val="clear" w:color="auto" w:fill="D1FAE5"/>
            <w:vAlign w:val="center"/>
          </w:tcPr>
          <w:p>
            <w:pPr>
              <w:jc w:val="center"/>
            </w:pPr>
            <w:r>
              <w:rPr>
                <w:b/>
                <w:i w:val="0"/>
                <w:color w:val="16A34A"/>
                <w:sz w:val="18"/>
              </w:rPr>
              <w:t>CLOSED</w:t>
            </w:r>
          </w:p>
        </w:tc>
      </w:tr>
      <w:tr>
        <w:tc>
          <w:tcPr>
            <w:tcW w:type="dxa" w:w="2354"/>
            <w:shd w:val="clear" w:color="auto" w:fill="FFFFFF"/>
            <w:vAlign w:val="center"/>
          </w:tcPr>
          <w:p>
            <w:pPr>
              <w:jc w:val="center"/>
            </w:pPr>
            <w:r>
              <w:rPr>
                <w:b/>
                <w:i w:val="0"/>
                <w:color w:val="001F5B"/>
                <w:sz w:val="18"/>
              </w:rPr>
              <w:t>V-03</w:t>
            </w:r>
          </w:p>
        </w:tc>
        <w:tc>
          <w:tcPr>
            <w:tcW w:type="dxa" w:w="2354"/>
            <w:shd w:val="clear" w:color="auto" w:fill="FFFFFF"/>
            <w:vAlign w:val="center"/>
          </w:tcPr>
          <w:p>
            <w:pPr>
              <w:jc w:val="left"/>
            </w:pPr>
            <w:r>
              <w:rPr>
                <w:b/>
                <w:i w:val="0"/>
                <w:color w:val="DC2626"/>
                <w:sz w:val="18"/>
              </w:rPr>
              <w:t>No Login Rate Limiting</w:t>
            </w:r>
          </w:p>
        </w:tc>
        <w:tc>
          <w:tcPr>
            <w:tcW w:type="dxa" w:w="2354"/>
            <w:shd w:val="clear" w:color="auto" w:fill="FFFFFF"/>
            <w:vAlign w:val="center"/>
          </w:tcPr>
          <w:p>
            <w:pPr>
              <w:jc w:val="left"/>
            </w:pPr>
            <w:r>
              <w:rPr>
                <w:b w:val="0"/>
                <w:i w:val="0"/>
                <w:color w:val="111827"/>
                <w:sz w:val="17"/>
              </w:rPr>
              <w:t>In-memory _login_attempts dict per IP. Lockout after 5 failures. Progressive duration: 5 / 15 / 30 / 60 minutes. threading.Lock() ensures thread safety.</w:t>
            </w:r>
          </w:p>
        </w:tc>
        <w:tc>
          <w:tcPr>
            <w:tcW w:type="dxa" w:w="2354"/>
            <w:shd w:val="clear" w:color="auto" w:fill="FFFFFF"/>
            <w:shd w:val="clear" w:color="auto" w:fill="D1FAE5"/>
            <w:vAlign w:val="center"/>
          </w:tcPr>
          <w:p>
            <w:pPr>
              <w:jc w:val="center"/>
            </w:pPr>
            <w:r>
              <w:rPr>
                <w:b/>
                <w:i w:val="0"/>
                <w:color w:val="16A34A"/>
                <w:sz w:val="18"/>
              </w:rPr>
              <w:t>CLOSED</w:t>
            </w:r>
          </w:p>
        </w:tc>
      </w:tr>
      <w:tr>
        <w:tc>
          <w:tcPr>
            <w:tcW w:type="dxa" w:w="2354"/>
            <w:shd w:val="clear" w:color="auto" w:fill="F3F4F6"/>
            <w:vAlign w:val="center"/>
          </w:tcPr>
          <w:p>
            <w:pPr>
              <w:jc w:val="center"/>
            </w:pPr>
            <w:r>
              <w:rPr>
                <w:b/>
                <w:i w:val="0"/>
                <w:color w:val="001F5B"/>
                <w:sz w:val="18"/>
              </w:rPr>
              <w:t>V-04</w:t>
            </w:r>
          </w:p>
        </w:tc>
        <w:tc>
          <w:tcPr>
            <w:tcW w:type="dxa" w:w="2354"/>
            <w:shd w:val="clear" w:color="auto" w:fill="F3F4F6"/>
            <w:vAlign w:val="center"/>
          </w:tcPr>
          <w:p>
            <w:pPr>
              <w:jc w:val="left"/>
            </w:pPr>
            <w:r>
              <w:rPr>
                <w:b/>
                <w:i w:val="0"/>
                <w:color w:val="DC2626"/>
                <w:sz w:val="18"/>
              </w:rPr>
              <w:t>Weak Password Policy</w:t>
            </w:r>
          </w:p>
        </w:tc>
        <w:tc>
          <w:tcPr>
            <w:tcW w:type="dxa" w:w="2354"/>
            <w:shd w:val="clear" w:color="auto" w:fill="F3F4F6"/>
            <w:vAlign w:val="center"/>
          </w:tcPr>
          <w:p>
            <w:pPr>
              <w:jc w:val="left"/>
            </w:pPr>
            <w:r>
              <w:rPr>
                <w:b w:val="0"/>
                <w:i w:val="0"/>
                <w:color w:val="111827"/>
                <w:sz w:val="17"/>
              </w:rPr>
              <w:t>_validate_password(): min 8 chars, ≥1 uppercase, ≥1 lowercase, ≥1 digit, ≥1 special char. Enforced on create user, reset password, and Administrator seeding.</w:t>
            </w:r>
          </w:p>
        </w:tc>
        <w:tc>
          <w:tcPr>
            <w:tcW w:type="dxa" w:w="2354"/>
            <w:shd w:val="clear" w:color="auto" w:fill="F3F4F6"/>
            <w:shd w:val="clear" w:color="auto" w:fill="D1FAE5"/>
            <w:vAlign w:val="center"/>
          </w:tcPr>
          <w:p>
            <w:pPr>
              <w:jc w:val="center"/>
            </w:pPr>
            <w:r>
              <w:rPr>
                <w:b/>
                <w:i w:val="0"/>
                <w:color w:val="16A34A"/>
                <w:sz w:val="18"/>
              </w:rPr>
              <w:t>CLOSED</w:t>
            </w:r>
          </w:p>
        </w:tc>
      </w:tr>
    </w:tbl>
    <w:p/>
    <w:p>
      <w:pPr>
        <w:spacing w:before="220" w:after="60"/>
      </w:pPr>
      <w:r>
        <w:rPr>
          <w:b/>
          <w:color w:val="001F5B"/>
          <w:sz w:val="22"/>
        </w:rPr>
        <w:t>12.3  SQL Injection Prevention</w:t>
      </w:r>
    </w:p>
    <w:p>
      <w:pPr>
        <w:spacing w:before="40" w:after="60"/>
      </w:pPr>
      <w:r>
        <w:rPr>
          <w:b w:val="0"/>
          <w:i w:val="0"/>
          <w:color w:val="111827"/>
          <w:sz w:val="19"/>
        </w:rPr>
        <w:t>All database interactions use parameterised queries via pymssql. No string concatenation or f-string interpolation is used to build SQL WHERE clauses. The pymssql %s placeholder syntax is used throughout, which passes values to the database as typed parameters — the database engine never interprets them as SQL syntax.</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Parameterised query example</w:t>
              <w:br/>
            </w:r>
            <w:r>
              <w:rPr>
                <w:rFonts w:ascii="Courier New" w:hAnsi="Courier New"/>
                <w:color w:val="86EFAC"/>
                <w:sz w:val="16"/>
              </w:rPr>
              <w:t># CORRECT — parameterised</w:t>
              <w:br/>
              <w:t>cur.execute('SELECT * FROM dbo.FIRS_USERS WHERE EMAIL = %s AND IS_ACTIVE = 1', (email,))</w:t>
              <w:br/>
              <w:br/>
              <w:t># NEVER do this — string interpolation is SQL injection</w:t>
              <w:br/>
              <w:t># cur.execute(f'SELECT * FROM dbo.FIRS_USERS WHERE EMAIL = "{email}"')  # WRONG</w:t>
            </w:r>
          </w:p>
        </w:tc>
      </w:tr>
    </w:tbl>
    <w:p>
      <w:pPr>
        <w:spacing w:after="60"/>
      </w:pPr>
    </w:p>
    <w:p>
      <w:pPr>
        <w:spacing w:before="220" w:after="60"/>
      </w:pPr>
      <w:r>
        <w:rPr>
          <w:b/>
          <w:color w:val="001F5B"/>
          <w:sz w:val="22"/>
        </w:rPr>
        <w:t>12.4  XSS Prevention</w:t>
      </w:r>
    </w:p>
    <w:p>
      <w:pPr>
        <w:spacing w:before="40" w:after="60"/>
      </w:pPr>
      <w:r>
        <w:rPr>
          <w:b w:val="0"/>
          <w:i w:val="0"/>
          <w:color w:val="111827"/>
          <w:sz w:val="19"/>
        </w:rPr>
        <w:t>Jinja2's auto-escaping is enabled by default for all .html templates. All user-provided data rendered into HTML (customer names, exception messages, search terms) is escaped by Jinja2's {{ variable }} syntax. No use of Markup() or |safe filter on user-derived data exists in any template.</w:t>
      </w:r>
    </w:p>
    <w:p>
      <w:pPr>
        <w:spacing w:before="220" w:after="60"/>
      </w:pPr>
      <w:r>
        <w:rPr>
          <w:b/>
          <w:color w:val="001F5B"/>
          <w:sz w:val="22"/>
        </w:rPr>
        <w:t>12.5  Credential Protection</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Asset</w:t>
            </w:r>
          </w:p>
        </w:tc>
        <w:tc>
          <w:tcPr>
            <w:tcW w:type="dxa" w:w="4707"/>
            <w:shd w:val="clear" w:color="auto" w:fill="003087"/>
            <w:vAlign w:val="center"/>
          </w:tcPr>
          <w:p>
            <w:pPr>
              <w:jc w:val="center"/>
            </w:pPr>
            <w:r>
              <w:rPr>
                <w:b/>
                <w:i w:val="0"/>
                <w:color w:val="FFFFFF"/>
                <w:sz w:val="18"/>
              </w:rPr>
              <w:t>Protection Mechanism</w:t>
            </w:r>
          </w:p>
        </w:tc>
      </w:tr>
      <w:tr>
        <w:tc>
          <w:tcPr>
            <w:tcW w:type="dxa" w:w="4707"/>
            <w:shd w:val="clear" w:color="auto" w:fill="F3F4F6"/>
            <w:vAlign w:val="center"/>
          </w:tcPr>
          <w:p>
            <w:pPr>
              <w:jc w:val="left"/>
            </w:pPr>
            <w:r>
              <w:rPr>
                <w:b/>
                <w:i w:val="0"/>
                <w:color w:val="001F5B"/>
                <w:sz w:val="18"/>
              </w:rPr>
              <w:t>Passwords</w:t>
            </w:r>
          </w:p>
        </w:tc>
        <w:tc>
          <w:tcPr>
            <w:tcW w:type="dxa" w:w="4707"/>
            <w:shd w:val="clear" w:color="auto" w:fill="FFFFFF"/>
            <w:vAlign w:val="center"/>
          </w:tcPr>
          <w:p>
            <w:pPr>
              <w:jc w:val="left"/>
            </w:pPr>
            <w:r>
              <w:rPr>
                <w:b w:val="0"/>
                <w:i w:val="0"/>
                <w:color w:val="111827"/>
                <w:sz w:val="18"/>
              </w:rPr>
              <w:t>PBKDF2-SHA256 with 260,000 iterations and random per-user salt. Never logged or returned in API responses.</w:t>
            </w:r>
          </w:p>
        </w:tc>
      </w:tr>
      <w:tr>
        <w:tc>
          <w:tcPr>
            <w:tcW w:type="dxa" w:w="4707"/>
            <w:shd w:val="clear" w:color="auto" w:fill="F3F4F6"/>
            <w:vAlign w:val="center"/>
          </w:tcPr>
          <w:p>
            <w:pPr>
              <w:jc w:val="left"/>
            </w:pPr>
            <w:r>
              <w:rPr>
                <w:b/>
                <w:i w:val="0"/>
                <w:color w:val="001F5B"/>
                <w:sz w:val="18"/>
              </w:rPr>
              <w:t>API Key</w:t>
            </w:r>
          </w:p>
        </w:tc>
        <w:tc>
          <w:tcPr>
            <w:tcW w:type="dxa" w:w="4707"/>
            <w:shd w:val="clear" w:color="auto" w:fill="FFFFFF"/>
            <w:vAlign w:val="center"/>
          </w:tcPr>
          <w:p>
            <w:pPr>
              <w:jc w:val="left"/>
            </w:pPr>
            <w:r>
              <w:rPr>
                <w:b w:val="0"/>
                <w:i w:val="0"/>
                <w:color w:val="111827"/>
                <w:sz w:val="18"/>
              </w:rPr>
              <w:t>Stored in config.json on the filesystem. Not in source code, git, or environment variables. File ACL restricts read access to the service account.</w:t>
            </w:r>
          </w:p>
        </w:tc>
      </w:tr>
      <w:tr>
        <w:tc>
          <w:tcPr>
            <w:tcW w:type="dxa" w:w="4707"/>
            <w:shd w:val="clear" w:color="auto" w:fill="F3F4F6"/>
            <w:vAlign w:val="center"/>
          </w:tcPr>
          <w:p>
            <w:pPr>
              <w:jc w:val="left"/>
            </w:pPr>
            <w:r>
              <w:rPr>
                <w:b/>
                <w:i w:val="0"/>
                <w:color w:val="001F5B"/>
                <w:sz w:val="18"/>
              </w:rPr>
              <w:t>Session Key</w:t>
            </w:r>
          </w:p>
        </w:tc>
        <w:tc>
          <w:tcPr>
            <w:tcW w:type="dxa" w:w="4707"/>
            <w:shd w:val="clear" w:color="auto" w:fill="FFFFFF"/>
            <w:vAlign w:val="center"/>
          </w:tcPr>
          <w:p>
            <w:pPr>
              <w:jc w:val="left"/>
            </w:pPr>
            <w:r>
              <w:rPr>
                <w:b w:val="0"/>
                <w:i w:val="0"/>
                <w:color w:val="111827"/>
                <w:sz w:val="18"/>
              </w:rPr>
              <w:t>Flask secret_key in config.json. Should be rotated for PRODUCTION using secrets.token_hex(32).</w:t>
            </w:r>
          </w:p>
        </w:tc>
      </w:tr>
      <w:tr>
        <w:tc>
          <w:tcPr>
            <w:tcW w:type="dxa" w:w="4707"/>
            <w:shd w:val="clear" w:color="auto" w:fill="F3F4F6"/>
            <w:vAlign w:val="center"/>
          </w:tcPr>
          <w:p>
            <w:pPr>
              <w:jc w:val="left"/>
            </w:pPr>
            <w:r>
              <w:rPr>
                <w:b/>
                <w:i w:val="0"/>
                <w:color w:val="001F5B"/>
                <w:sz w:val="18"/>
              </w:rPr>
              <w:t>DB Password</w:t>
            </w:r>
          </w:p>
        </w:tc>
        <w:tc>
          <w:tcPr>
            <w:tcW w:type="dxa" w:w="4707"/>
            <w:shd w:val="clear" w:color="auto" w:fill="FFFFFF"/>
            <w:vAlign w:val="center"/>
          </w:tcPr>
          <w:p>
            <w:pPr>
              <w:jc w:val="left"/>
            </w:pPr>
            <w:r>
              <w:rPr>
                <w:b w:val="0"/>
                <w:i w:val="0"/>
                <w:color w:val="111827"/>
                <w:sz w:val="18"/>
              </w:rPr>
              <w:t>In config.json. Recommend using a dedicated SQL login with minimum required privileges (EXECUTE, SELECT, UPDATE on FIRSINVOICEDB only).</w:t>
            </w:r>
          </w:p>
        </w:tc>
      </w:tr>
      <w:tr>
        <w:tc>
          <w:tcPr>
            <w:tcW w:type="dxa" w:w="4707"/>
            <w:shd w:val="clear" w:color="auto" w:fill="F3F4F6"/>
            <w:vAlign w:val="center"/>
          </w:tcPr>
          <w:p>
            <w:pPr>
              <w:jc w:val="left"/>
            </w:pPr>
            <w:r>
              <w:rPr>
                <w:b/>
                <w:i w:val="0"/>
                <w:color w:val="001F5B"/>
                <w:sz w:val="18"/>
              </w:rPr>
              <w:t>SSL Private Key</w:t>
            </w:r>
          </w:p>
        </w:tc>
        <w:tc>
          <w:tcPr>
            <w:tcW w:type="dxa" w:w="4707"/>
            <w:shd w:val="clear" w:color="auto" w:fill="FFFFFF"/>
            <w:vAlign w:val="center"/>
          </w:tcPr>
          <w:p>
            <w:pPr>
              <w:jc w:val="left"/>
            </w:pPr>
            <w:r>
              <w:rPr>
                <w:b w:val="0"/>
                <w:i w:val="0"/>
                <w:color w:val="111827"/>
                <w:sz w:val="18"/>
              </w:rPr>
              <w:t>ssl/server.key — filesystem only. Never transmitted. Service account read-only access.</w:t>
            </w:r>
          </w:p>
        </w:tc>
      </w:tr>
    </w:tbl>
    <w:p>
      <w:pPr>
        <w:spacing w:after="80"/>
      </w:pPr>
    </w:p>
    <w:p>
      <w:r>
        <w:br w:type="page"/>
      </w:r>
    </w:p>
    <w:p>
      <w:pPr>
        <w:spacing w:before="320" w:after="100"/>
        <w:pBdr>
          <w:bottom w:val="single" w:sz="8" w:space="2" w:color="003087"/>
        </w:pBdr>
      </w:pPr>
      <w:r>
        <w:rPr>
          <w:b/>
          <w:color w:val="003087"/>
          <w:sz w:val="26"/>
        </w:rPr>
        <w:t>13. Error Handling Strategy</w:t>
      </w:r>
    </w:p>
    <w:p>
      <w:pPr>
        <w:spacing w:before="220" w:after="60"/>
      </w:pPr>
      <w:r>
        <w:rPr>
          <w:b/>
          <w:color w:val="001F5B"/>
          <w:sz w:val="22"/>
        </w:rPr>
        <w:t>13.1  Application Error Categories</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Error Type</w:t>
            </w:r>
          </w:p>
        </w:tc>
        <w:tc>
          <w:tcPr>
            <w:tcW w:type="dxa" w:w="4707"/>
            <w:shd w:val="clear" w:color="auto" w:fill="003087"/>
            <w:vAlign w:val="center"/>
          </w:tcPr>
          <w:p>
            <w:pPr>
              <w:jc w:val="center"/>
            </w:pPr>
            <w:r>
              <w:rPr>
                <w:b/>
                <w:i w:val="0"/>
                <w:color w:val="FFFFFF"/>
                <w:sz w:val="18"/>
              </w:rPr>
              <w:t>Handling</w:t>
            </w:r>
          </w:p>
        </w:tc>
      </w:tr>
      <w:tr>
        <w:tc>
          <w:tcPr>
            <w:tcW w:type="dxa" w:w="4707"/>
            <w:shd w:val="clear" w:color="auto" w:fill="F3F4F6"/>
            <w:vAlign w:val="center"/>
          </w:tcPr>
          <w:p>
            <w:pPr>
              <w:jc w:val="left"/>
            </w:pPr>
            <w:r>
              <w:rPr>
                <w:b/>
                <w:i w:val="0"/>
                <w:color w:val="001F5B"/>
                <w:sz w:val="18"/>
              </w:rPr>
              <w:t>Database Connection Error</w:t>
            </w:r>
          </w:p>
        </w:tc>
        <w:tc>
          <w:tcPr>
            <w:tcW w:type="dxa" w:w="4707"/>
            <w:shd w:val="clear" w:color="auto" w:fill="FFFFFF"/>
            <w:vAlign w:val="center"/>
          </w:tcPr>
          <w:p>
            <w:pPr>
              <w:jc w:val="left"/>
            </w:pPr>
            <w:r>
              <w:rPr>
                <w:b w:val="0"/>
                <w:i w:val="0"/>
                <w:color w:val="111827"/>
                <w:sz w:val="18"/>
              </w:rPr>
              <w:t>pymssql.OperationalError — caught at route level. Returns 500 JSON for AJAX requests, 500 HTML for page requests. Logged to dashboard.log. Dashboard remains running (other routes unaffected).</w:t>
            </w:r>
          </w:p>
        </w:tc>
      </w:tr>
      <w:tr>
        <w:tc>
          <w:tcPr>
            <w:tcW w:type="dxa" w:w="4707"/>
            <w:shd w:val="clear" w:color="auto" w:fill="F3F4F6"/>
            <w:vAlign w:val="center"/>
          </w:tcPr>
          <w:p>
            <w:pPr>
              <w:jc w:val="left"/>
            </w:pPr>
            <w:r>
              <w:rPr>
                <w:b/>
                <w:i w:val="0"/>
                <w:color w:val="001F5B"/>
                <w:sz w:val="18"/>
              </w:rPr>
              <w:t>API Timeout (FIRS Gateway)</w:t>
            </w:r>
          </w:p>
        </w:tc>
        <w:tc>
          <w:tcPr>
            <w:tcW w:type="dxa" w:w="4707"/>
            <w:shd w:val="clear" w:color="auto" w:fill="FFFFFF"/>
            <w:vAlign w:val="center"/>
          </w:tcPr>
          <w:p>
            <w:pPr>
              <w:jc w:val="left"/>
            </w:pPr>
            <w:r>
              <w:rPr>
                <w:b w:val="0"/>
                <w:i w:val="0"/>
                <w:color w:val="111827"/>
                <w:sz w:val="18"/>
              </w:rPr>
              <w:t>requests.exceptions.Timeout after 30s — caught in post handler. REPORTING_STATUS→0, EXCEPTION_MESSAGE="API request timed out". Invoice retried on next scheduler cycle.</w:t>
            </w:r>
          </w:p>
        </w:tc>
      </w:tr>
      <w:tr>
        <w:tc>
          <w:tcPr>
            <w:tcW w:type="dxa" w:w="4707"/>
            <w:shd w:val="clear" w:color="auto" w:fill="F3F4F6"/>
            <w:vAlign w:val="center"/>
          </w:tcPr>
          <w:p>
            <w:pPr>
              <w:jc w:val="left"/>
            </w:pPr>
            <w:r>
              <w:rPr>
                <w:b/>
                <w:i w:val="0"/>
                <w:color w:val="001F5B"/>
                <w:sz w:val="18"/>
              </w:rPr>
              <w:t>API Non-200 Response</w:t>
            </w:r>
          </w:p>
        </w:tc>
        <w:tc>
          <w:tcPr>
            <w:tcW w:type="dxa" w:w="4707"/>
            <w:shd w:val="clear" w:color="auto" w:fill="FFFFFF"/>
            <w:vAlign w:val="center"/>
          </w:tcPr>
          <w:p>
            <w:pPr>
              <w:jc w:val="left"/>
            </w:pPr>
            <w:r>
              <w:rPr>
                <w:b w:val="0"/>
                <w:i w:val="0"/>
                <w:color w:val="111827"/>
                <w:sz w:val="18"/>
              </w:rPr>
              <w:t>Parsed as failure. HTTP status code and response body logged to EXCEPTION_MESSAGE. REPORTING_STATUS→0. Operator can retry manually via Post button.</w:t>
            </w:r>
          </w:p>
        </w:tc>
      </w:tr>
      <w:tr>
        <w:tc>
          <w:tcPr>
            <w:tcW w:type="dxa" w:w="4707"/>
            <w:shd w:val="clear" w:color="auto" w:fill="F3F4F6"/>
            <w:vAlign w:val="center"/>
          </w:tcPr>
          <w:p>
            <w:pPr>
              <w:jc w:val="left"/>
            </w:pPr>
            <w:r>
              <w:rPr>
                <w:b/>
                <w:i w:val="0"/>
                <w:color w:val="001F5B"/>
                <w:sz w:val="18"/>
              </w:rPr>
              <w:t>Invalid Invoice Data</w:t>
            </w:r>
          </w:p>
        </w:tc>
        <w:tc>
          <w:tcPr>
            <w:tcW w:type="dxa" w:w="4707"/>
            <w:shd w:val="clear" w:color="auto" w:fill="FFFFFF"/>
            <w:vAlign w:val="center"/>
          </w:tcPr>
          <w:p>
            <w:pPr>
              <w:jc w:val="left"/>
            </w:pPr>
            <w:r>
              <w:rPr>
                <w:b w:val="0"/>
                <w:i w:val="0"/>
                <w:color w:val="111827"/>
                <w:sz w:val="18"/>
              </w:rPr>
              <w:t>API rejects payload (missing TIN, bad HSN format, etc.). Error message from API body stored in EXCEPTION_MESSAGE. Operator/DBA must correct source data in dbo.REPORT before retry.</w:t>
            </w:r>
          </w:p>
        </w:tc>
      </w:tr>
      <w:tr>
        <w:tc>
          <w:tcPr>
            <w:tcW w:type="dxa" w:w="4707"/>
            <w:shd w:val="clear" w:color="auto" w:fill="F3F4F6"/>
            <w:vAlign w:val="center"/>
          </w:tcPr>
          <w:p>
            <w:pPr>
              <w:jc w:val="left"/>
            </w:pPr>
            <w:r>
              <w:rPr>
                <w:b/>
                <w:i w:val="0"/>
                <w:color w:val="001F5B"/>
                <w:sz w:val="18"/>
              </w:rPr>
              <w:t>Authentication Failure</w:t>
            </w:r>
          </w:p>
        </w:tc>
        <w:tc>
          <w:tcPr>
            <w:tcW w:type="dxa" w:w="4707"/>
            <w:shd w:val="clear" w:color="auto" w:fill="FFFFFF"/>
            <w:vAlign w:val="center"/>
          </w:tcPr>
          <w:p>
            <w:pPr>
              <w:jc w:val="left"/>
            </w:pPr>
            <w:r>
              <w:rPr>
                <w:b w:val="0"/>
                <w:i w:val="0"/>
                <w:color w:val="111827"/>
                <w:sz w:val="18"/>
              </w:rPr>
              <w:t>Invalid credentials: flash message shown. After 5 failures: IP lockout with progressive timer. Session expiry: redirect to login with informational message.</w:t>
            </w:r>
          </w:p>
        </w:tc>
      </w:tr>
      <w:tr>
        <w:tc>
          <w:tcPr>
            <w:tcW w:type="dxa" w:w="4707"/>
            <w:shd w:val="clear" w:color="auto" w:fill="F3F4F6"/>
            <w:vAlign w:val="center"/>
          </w:tcPr>
          <w:p>
            <w:pPr>
              <w:jc w:val="left"/>
            </w:pPr>
            <w:r>
              <w:rPr>
                <w:b/>
                <w:i w:val="0"/>
                <w:color w:val="001F5B"/>
                <w:sz w:val="18"/>
              </w:rPr>
              <w:t>Authorisation Failure</w:t>
            </w:r>
          </w:p>
        </w:tc>
        <w:tc>
          <w:tcPr>
            <w:tcW w:type="dxa" w:w="4707"/>
            <w:shd w:val="clear" w:color="auto" w:fill="FFFFFF"/>
            <w:vAlign w:val="center"/>
          </w:tcPr>
          <w:p>
            <w:pPr>
              <w:jc w:val="left"/>
            </w:pPr>
            <w:r>
              <w:rPr>
                <w:b w:val="0"/>
                <w:i w:val="0"/>
                <w:color w:val="111827"/>
                <w:sz w:val="18"/>
              </w:rPr>
              <w:t>role_required() decorator fires before handler runs. HTTP 302 redirect to dashboard home with flash: "Access denied. &lt;Role&gt; role cannot perform this action."</w:t>
            </w:r>
          </w:p>
        </w:tc>
      </w:tr>
      <w:tr>
        <w:tc>
          <w:tcPr>
            <w:tcW w:type="dxa" w:w="4707"/>
            <w:shd w:val="clear" w:color="auto" w:fill="F3F4F6"/>
            <w:vAlign w:val="center"/>
          </w:tcPr>
          <w:p>
            <w:pPr>
              <w:jc w:val="left"/>
            </w:pPr>
            <w:r>
              <w:rPr>
                <w:b/>
                <w:i w:val="0"/>
                <w:color w:val="001F5B"/>
                <w:sz w:val="18"/>
              </w:rPr>
              <w:t>File Not Found (SSL cert)</w:t>
            </w:r>
          </w:p>
        </w:tc>
        <w:tc>
          <w:tcPr>
            <w:tcW w:type="dxa" w:w="4707"/>
            <w:shd w:val="clear" w:color="auto" w:fill="FFFFFF"/>
            <w:vAlign w:val="center"/>
          </w:tcPr>
          <w:p>
            <w:pPr>
              <w:jc w:val="left"/>
            </w:pPr>
            <w:r>
              <w:rPr>
                <w:b w:val="0"/>
                <w:i w:val="0"/>
                <w:color w:val="111827"/>
                <w:sz w:val="18"/>
              </w:rPr>
              <w:t>If ssl/server.crt or ssl/server.key is missing at startup, Flask falls back to HTTP on port 5000. A warning is printed to console. No crash.</w:t>
            </w:r>
          </w:p>
        </w:tc>
      </w:tr>
      <w:tr>
        <w:tc>
          <w:tcPr>
            <w:tcW w:type="dxa" w:w="4707"/>
            <w:shd w:val="clear" w:color="auto" w:fill="F3F4F6"/>
            <w:vAlign w:val="center"/>
          </w:tcPr>
          <w:p>
            <w:pPr>
              <w:jc w:val="left"/>
            </w:pPr>
            <w:r>
              <w:rPr>
                <w:b/>
                <w:i w:val="0"/>
                <w:color w:val="001F5B"/>
                <w:sz w:val="18"/>
              </w:rPr>
              <w:t>Excel Export Error</w:t>
            </w:r>
          </w:p>
        </w:tc>
        <w:tc>
          <w:tcPr>
            <w:tcW w:type="dxa" w:w="4707"/>
            <w:shd w:val="clear" w:color="auto" w:fill="FFFFFF"/>
            <w:vAlign w:val="center"/>
          </w:tcPr>
          <w:p>
            <w:pPr>
              <w:jc w:val="left"/>
            </w:pPr>
            <w:r>
              <w:rPr>
                <w:b w:val="0"/>
                <w:i w:val="0"/>
                <w:color w:val="111827"/>
                <w:sz w:val="18"/>
              </w:rPr>
              <w:t>openpyxl failure caught at route level. Returns HTTP 500 with user-facing error page. Does not affect other application routes.</w:t>
            </w:r>
          </w:p>
        </w:tc>
      </w:tr>
    </w:tbl>
    <w:p>
      <w:pPr>
        <w:spacing w:after="80"/>
      </w:pPr>
    </w:p>
    <w:p>
      <w:pPr>
        <w:spacing w:before="220" w:after="60"/>
      </w:pPr>
      <w:r>
        <w:rPr>
          <w:b/>
          <w:color w:val="001F5B"/>
          <w:sz w:val="22"/>
        </w:rPr>
        <w:t>13.2  Error Response Formats</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F3F4F6"/>
            <w:vAlign w:val="center"/>
          </w:tcPr>
          <w:p>
            <w:pPr>
              <w:jc w:val="left"/>
            </w:pPr>
            <w:r>
              <w:rPr>
                <w:b/>
                <w:i w:val="0"/>
                <w:color w:val="001F5B"/>
                <w:sz w:val="18"/>
              </w:rPr>
              <w:t>Browser page request</w:t>
            </w:r>
          </w:p>
        </w:tc>
        <w:tc>
          <w:tcPr>
            <w:tcW w:type="dxa" w:w="4707"/>
            <w:shd w:val="clear" w:color="auto" w:fill="FFFFFF"/>
            <w:vAlign w:val="center"/>
          </w:tcPr>
          <w:p>
            <w:pPr>
              <w:jc w:val="left"/>
            </w:pPr>
            <w:r>
              <w:rPr>
                <w:b w:val="0"/>
                <w:i w:val="0"/>
                <w:color w:val="111827"/>
                <w:sz w:val="18"/>
              </w:rPr>
              <w:t>HTTP 4xx/5xx with rendered HTML error page + flash message</w:t>
            </w:r>
          </w:p>
        </w:tc>
      </w:tr>
      <w:tr>
        <w:tc>
          <w:tcPr>
            <w:tcW w:type="dxa" w:w="4707"/>
            <w:shd w:val="clear" w:color="auto" w:fill="F3F4F6"/>
            <w:vAlign w:val="center"/>
          </w:tcPr>
          <w:p>
            <w:pPr>
              <w:jc w:val="left"/>
            </w:pPr>
            <w:r>
              <w:rPr>
                <w:b/>
                <w:i w:val="0"/>
                <w:color w:val="001F5B"/>
                <w:sz w:val="18"/>
              </w:rPr>
              <w:t>AJAX / DataTables</w:t>
            </w:r>
          </w:p>
        </w:tc>
        <w:tc>
          <w:tcPr>
            <w:tcW w:type="dxa" w:w="4707"/>
            <w:shd w:val="clear" w:color="auto" w:fill="FFFFFF"/>
            <w:vAlign w:val="center"/>
          </w:tcPr>
          <w:p>
            <w:pPr>
              <w:jc w:val="left"/>
            </w:pPr>
            <w:r>
              <w:rPr>
                <w:b w:val="0"/>
                <w:i w:val="0"/>
                <w:color w:val="111827"/>
                <w:sz w:val="18"/>
              </w:rPr>
              <w:t>HTTP 4xx/5xx with JSON: {"error": "&lt;message&gt;"}</w:t>
            </w:r>
          </w:p>
        </w:tc>
      </w:tr>
      <w:tr>
        <w:tc>
          <w:tcPr>
            <w:tcW w:type="dxa" w:w="4707"/>
            <w:shd w:val="clear" w:color="auto" w:fill="F3F4F6"/>
            <w:vAlign w:val="center"/>
          </w:tcPr>
          <w:p>
            <w:pPr>
              <w:jc w:val="left"/>
            </w:pPr>
            <w:r>
              <w:rPr>
                <w:b/>
                <w:i w:val="0"/>
                <w:color w:val="001F5B"/>
                <w:sz w:val="18"/>
              </w:rPr>
              <w:t>Post invoice AJAX</w:t>
            </w:r>
          </w:p>
        </w:tc>
        <w:tc>
          <w:tcPr>
            <w:tcW w:type="dxa" w:w="4707"/>
            <w:shd w:val="clear" w:color="auto" w:fill="FFFFFF"/>
            <w:vAlign w:val="center"/>
          </w:tcPr>
          <w:p>
            <w:pPr>
              <w:jc w:val="left"/>
            </w:pPr>
            <w:r>
              <w:rPr>
                <w:b w:val="0"/>
                <w:i w:val="0"/>
                <w:color w:val="111827"/>
                <w:sz w:val="18"/>
              </w:rPr>
              <w:t>HTTP 200 always — success/failure indicated in JSON body: {"status":"ok"|"error"}</w:t>
            </w:r>
          </w:p>
        </w:tc>
      </w:tr>
      <w:tr>
        <w:tc>
          <w:tcPr>
            <w:tcW w:type="dxa" w:w="4707"/>
            <w:shd w:val="clear" w:color="auto" w:fill="F3F4F6"/>
            <w:vAlign w:val="center"/>
          </w:tcPr>
          <w:p>
            <w:pPr>
              <w:jc w:val="left"/>
            </w:pPr>
            <w:r>
              <w:rPr>
                <w:b/>
                <w:i w:val="0"/>
                <w:color w:val="001F5B"/>
                <w:sz w:val="18"/>
              </w:rPr>
              <w:t>Session expired (AJAX)</w:t>
            </w:r>
          </w:p>
        </w:tc>
        <w:tc>
          <w:tcPr>
            <w:tcW w:type="dxa" w:w="4707"/>
            <w:shd w:val="clear" w:color="auto" w:fill="FFFFFF"/>
            <w:vAlign w:val="center"/>
          </w:tcPr>
          <w:p>
            <w:pPr>
              <w:jc w:val="left"/>
            </w:pPr>
            <w:r>
              <w:rPr>
                <w:b w:val="0"/>
                <w:i w:val="0"/>
                <w:color w:val="111827"/>
                <w:sz w:val="18"/>
              </w:rPr>
              <w:t>HTTP 401 JSON: {"error":"session_expired"} — triggers client redirect</w:t>
            </w:r>
          </w:p>
        </w:tc>
      </w:tr>
      <w:tr>
        <w:tc>
          <w:tcPr>
            <w:tcW w:type="dxa" w:w="4707"/>
            <w:shd w:val="clear" w:color="auto" w:fill="F3F4F6"/>
            <w:vAlign w:val="center"/>
          </w:tcPr>
          <w:p>
            <w:pPr>
              <w:jc w:val="left"/>
            </w:pPr>
            <w:r>
              <w:rPr>
                <w:b/>
                <w:i w:val="0"/>
                <w:color w:val="001F5B"/>
                <w:sz w:val="18"/>
              </w:rPr>
              <w:t>Session expired (page)</w:t>
            </w:r>
          </w:p>
        </w:tc>
        <w:tc>
          <w:tcPr>
            <w:tcW w:type="dxa" w:w="4707"/>
            <w:shd w:val="clear" w:color="auto" w:fill="FFFFFF"/>
            <w:vAlign w:val="center"/>
          </w:tcPr>
          <w:p>
            <w:pPr>
              <w:jc w:val="left"/>
            </w:pPr>
            <w:r>
              <w:rPr>
                <w:b w:val="0"/>
                <w:i w:val="0"/>
                <w:color w:val="111827"/>
                <w:sz w:val="18"/>
              </w:rPr>
              <w:t>HTTP 302 → /login with flash "Your session expired due to inactivity"</w:t>
            </w:r>
          </w:p>
        </w:tc>
      </w:tr>
    </w:tbl>
    <w:p>
      <w:pPr>
        <w:spacing w:after="80"/>
      </w:pPr>
    </w:p>
    <w:p>
      <w:r>
        <w:br w:type="page"/>
      </w:r>
    </w:p>
    <w:p>
      <w:pPr>
        <w:spacing w:before="320" w:after="100"/>
        <w:pBdr>
          <w:bottom w:val="single" w:sz="8" w:space="2" w:color="003087"/>
        </w:pBdr>
      </w:pPr>
      <w:r>
        <w:rPr>
          <w:b/>
          <w:color w:val="003087"/>
          <w:sz w:val="26"/>
        </w:rPr>
        <w:t>14. Performance &amp; Scalability</w:t>
      </w:r>
    </w:p>
    <w:p>
      <w:pPr>
        <w:spacing w:before="220" w:after="60"/>
      </w:pPr>
      <w:r>
        <w:rPr>
          <w:b/>
          <w:color w:val="001F5B"/>
          <w:sz w:val="22"/>
        </w:rPr>
        <w:t>14.1  Expected Load Profile</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F3F4F6"/>
            <w:vAlign w:val="center"/>
          </w:tcPr>
          <w:p>
            <w:pPr>
              <w:jc w:val="left"/>
            </w:pPr>
            <w:r>
              <w:rPr>
                <w:b/>
                <w:i w:val="0"/>
                <w:color w:val="001F5B"/>
                <w:sz w:val="18"/>
              </w:rPr>
              <w:t>Concurrent Users</w:t>
            </w:r>
          </w:p>
        </w:tc>
        <w:tc>
          <w:tcPr>
            <w:tcW w:type="dxa" w:w="4707"/>
            <w:shd w:val="clear" w:color="auto" w:fill="FFFFFF"/>
            <w:vAlign w:val="center"/>
          </w:tcPr>
          <w:p>
            <w:pPr>
              <w:jc w:val="left"/>
            </w:pPr>
            <w:r>
              <w:rPr>
                <w:b w:val="0"/>
                <w:i w:val="0"/>
                <w:color w:val="111827"/>
                <w:sz w:val="18"/>
              </w:rPr>
              <w:t>&lt; 20 simultaneous dashboard users (internal staff only)</w:t>
            </w:r>
          </w:p>
        </w:tc>
      </w:tr>
      <w:tr>
        <w:tc>
          <w:tcPr>
            <w:tcW w:type="dxa" w:w="4707"/>
            <w:shd w:val="clear" w:color="auto" w:fill="F3F4F6"/>
            <w:vAlign w:val="center"/>
          </w:tcPr>
          <w:p>
            <w:pPr>
              <w:jc w:val="left"/>
            </w:pPr>
            <w:r>
              <w:rPr>
                <w:b/>
                <w:i w:val="0"/>
                <w:color w:val="001F5B"/>
                <w:sz w:val="18"/>
              </w:rPr>
              <w:t>Invoice Volume</w:t>
            </w:r>
          </w:p>
        </w:tc>
        <w:tc>
          <w:tcPr>
            <w:tcW w:type="dxa" w:w="4707"/>
            <w:shd w:val="clear" w:color="auto" w:fill="FFFFFF"/>
            <w:vAlign w:val="center"/>
          </w:tcPr>
          <w:p>
            <w:pPr>
              <w:jc w:val="left"/>
            </w:pPr>
            <w:r>
              <w:rPr>
                <w:b w:val="0"/>
                <w:i w:val="0"/>
                <w:color w:val="111827"/>
                <w:sz w:val="18"/>
              </w:rPr>
              <w:t>500–5,000 invoices per day across all currencies</w:t>
            </w:r>
          </w:p>
        </w:tc>
      </w:tr>
      <w:tr>
        <w:tc>
          <w:tcPr>
            <w:tcW w:type="dxa" w:w="4707"/>
            <w:shd w:val="clear" w:color="auto" w:fill="F3F4F6"/>
            <w:vAlign w:val="center"/>
          </w:tcPr>
          <w:p>
            <w:pPr>
              <w:jc w:val="left"/>
            </w:pPr>
            <w:r>
              <w:rPr>
                <w:b/>
                <w:i w:val="0"/>
                <w:color w:val="001F5B"/>
                <w:sz w:val="18"/>
              </w:rPr>
              <w:t>Scheduler Throughput</w:t>
            </w:r>
          </w:p>
        </w:tc>
        <w:tc>
          <w:tcPr>
            <w:tcW w:type="dxa" w:w="4707"/>
            <w:shd w:val="clear" w:color="auto" w:fill="FFFFFF"/>
            <w:vAlign w:val="center"/>
          </w:tcPr>
          <w:p>
            <w:pPr>
              <w:jc w:val="left"/>
            </w:pPr>
            <w:r>
              <w:rPr>
                <w:b w:val="0"/>
                <w:i w:val="0"/>
                <w:color w:val="111827"/>
                <w:sz w:val="18"/>
              </w:rPr>
              <w:t>Up to 200 invoices per 5-minute cycle (API rate permitting)</w:t>
            </w:r>
          </w:p>
        </w:tc>
      </w:tr>
      <w:tr>
        <w:tc>
          <w:tcPr>
            <w:tcW w:type="dxa" w:w="4707"/>
            <w:shd w:val="clear" w:color="auto" w:fill="F3F4F6"/>
            <w:vAlign w:val="center"/>
          </w:tcPr>
          <w:p>
            <w:pPr>
              <w:jc w:val="left"/>
            </w:pPr>
            <w:r>
              <w:rPr>
                <w:b/>
                <w:i w:val="0"/>
                <w:color w:val="001F5B"/>
                <w:sz w:val="18"/>
              </w:rPr>
              <w:t>Peak DB Connections</w:t>
            </w:r>
          </w:p>
        </w:tc>
        <w:tc>
          <w:tcPr>
            <w:tcW w:type="dxa" w:w="4707"/>
            <w:shd w:val="clear" w:color="auto" w:fill="FFFFFF"/>
            <w:vAlign w:val="center"/>
          </w:tcPr>
          <w:p>
            <w:pPr>
              <w:jc w:val="left"/>
            </w:pPr>
            <w:r>
              <w:rPr>
                <w:b w:val="0"/>
                <w:i w:val="0"/>
                <w:color w:val="111827"/>
                <w:sz w:val="18"/>
              </w:rPr>
              <w:t>2 simultaneous (1 dashboard, 1 scheduler) — well within SQL Server limits</w:t>
            </w:r>
          </w:p>
        </w:tc>
      </w:tr>
      <w:tr>
        <w:tc>
          <w:tcPr>
            <w:tcW w:type="dxa" w:w="4707"/>
            <w:shd w:val="clear" w:color="auto" w:fill="F3F4F6"/>
            <w:vAlign w:val="center"/>
          </w:tcPr>
          <w:p>
            <w:pPr>
              <w:jc w:val="left"/>
            </w:pPr>
            <w:r>
              <w:rPr>
                <w:b/>
                <w:i w:val="0"/>
                <w:color w:val="001F5B"/>
                <w:sz w:val="18"/>
              </w:rPr>
              <w:t>Page Load Target</w:t>
            </w:r>
          </w:p>
        </w:tc>
        <w:tc>
          <w:tcPr>
            <w:tcW w:type="dxa" w:w="4707"/>
            <w:shd w:val="clear" w:color="auto" w:fill="FFFFFF"/>
            <w:vAlign w:val="center"/>
          </w:tcPr>
          <w:p>
            <w:pPr>
              <w:jc w:val="left"/>
            </w:pPr>
            <w:r>
              <w:rPr>
                <w:b w:val="0"/>
                <w:i w:val="0"/>
                <w:color w:val="111827"/>
                <w:sz w:val="18"/>
              </w:rPr>
              <w:t>&lt; 2 seconds for dashboard home and invoice list (first 25 rows)</w:t>
            </w:r>
          </w:p>
        </w:tc>
      </w:tr>
      <w:tr>
        <w:tc>
          <w:tcPr>
            <w:tcW w:type="dxa" w:w="4707"/>
            <w:shd w:val="clear" w:color="auto" w:fill="F3F4F6"/>
            <w:vAlign w:val="center"/>
          </w:tcPr>
          <w:p>
            <w:pPr>
              <w:jc w:val="left"/>
            </w:pPr>
            <w:r>
              <w:rPr>
                <w:b/>
                <w:i w:val="0"/>
                <w:color w:val="001F5B"/>
                <w:sz w:val="18"/>
              </w:rPr>
              <w:t>Export Target</w:t>
            </w:r>
          </w:p>
        </w:tc>
        <w:tc>
          <w:tcPr>
            <w:tcW w:type="dxa" w:w="4707"/>
            <w:shd w:val="clear" w:color="auto" w:fill="FFFFFF"/>
            <w:vAlign w:val="center"/>
          </w:tcPr>
          <w:p>
            <w:pPr>
              <w:jc w:val="left"/>
            </w:pPr>
            <w:r>
              <w:rPr>
                <w:b w:val="0"/>
                <w:i w:val="0"/>
                <w:color w:val="111827"/>
                <w:sz w:val="18"/>
              </w:rPr>
              <w:t>&lt; 30 seconds for Excel export of up to 10,000 invoice rows</w:t>
            </w:r>
          </w:p>
        </w:tc>
      </w:tr>
    </w:tbl>
    <w:p>
      <w:pPr>
        <w:spacing w:after="80"/>
      </w:pPr>
    </w:p>
    <w:p>
      <w:pPr>
        <w:spacing w:before="220" w:after="60"/>
      </w:pPr>
      <w:r>
        <w:rPr>
          <w:b/>
          <w:color w:val="001F5B"/>
          <w:sz w:val="22"/>
        </w:rPr>
        <w:t>14.2  DataTables Server-Side Processing</w:t>
      </w:r>
    </w:p>
    <w:p>
      <w:pPr>
        <w:spacing w:before="40" w:after="60"/>
      </w:pPr>
      <w:r>
        <w:rPr>
          <w:b w:val="0"/>
          <w:i w:val="0"/>
          <w:color w:val="111827"/>
          <w:sz w:val="19"/>
        </w:rPr>
        <w:t>The invoice list uses server-side DataTables processing. The browser never downloads the full dataset — it requests exactly one page of results (25/50/100 rows) via AJAX on each navigation. The SQL query uses OFFSET/FETCH NEXT for efficient pagination regardless of total row count. This means page load time is O(1) relative to total invoice count.</w:t>
      </w:r>
    </w:p>
    <w:p>
      <w:pPr>
        <w:spacing w:before="220" w:after="60"/>
      </w:pPr>
      <w:r>
        <w:rPr>
          <w:b/>
          <w:color w:val="001F5B"/>
          <w:sz w:val="22"/>
        </w:rPr>
        <w:t>14.3  Database Connection Management</w:t>
      </w:r>
    </w:p>
    <w:p>
      <w:pPr>
        <w:spacing w:before="40" w:after="60"/>
      </w:pPr>
      <w:r>
        <w:rPr>
          <w:b w:val="0"/>
          <w:i w:val="0"/>
          <w:color w:val="111827"/>
          <w:sz w:val="19"/>
        </w:rPr>
        <w:t>Each Flask request opens a new pymssql connection and closes it at the end of the handler using a context manager (with/try-finally pattern). There is no connection pool. This is acceptable given the low concurrency profile — SQL Server handles up to 32,767 connections by default, and &lt; 20 concurrent users will never approach this limit.</w:t>
      </w:r>
    </w:p>
    <w:p>
      <w:pPr>
        <w:spacing w:before="220" w:after="60"/>
      </w:pPr>
      <w:r>
        <w:rPr>
          <w:b/>
          <w:color w:val="001F5B"/>
          <w:sz w:val="22"/>
        </w:rPr>
        <w:t>14.4  Scalability Limits &amp; Future Considerations</w:t>
      </w:r>
    </w:p>
    <w:p>
      <w:pPr>
        <w:spacing w:before="40" w:after="60"/>
      </w:pPr>
      <w:r>
        <w:rPr>
          <w:b w:val="0"/>
          <w:i w:val="0"/>
          <w:color w:val="111827"/>
          <w:sz w:val="19"/>
        </w:rPr>
        <w:t>The current single-process Flask architecture (Werkzeug development server) is not suitable for high-concurrency production loads. If user count or invoice volume grows significantly, the following migration path is recommended:</w:t>
      </w:r>
    </w:p>
    <w:p>
      <w:pPr>
        <w:pStyle w:val="ListBullet"/>
        <w:spacing w:before="20" w:after="20"/>
      </w:pPr>
      <w:r>
        <w:rPr>
          <w:sz w:val="19"/>
        </w:rPr>
        <w:t>Replace Werkzeug with Gunicorn (4–8 worker processes) behind an Nginx reverse proxy</w:t>
      </w:r>
    </w:p>
    <w:p>
      <w:pPr>
        <w:pStyle w:val="ListBullet"/>
        <w:spacing w:before="20" w:after="20"/>
      </w:pPr>
      <w:r>
        <w:rPr>
          <w:sz w:val="19"/>
        </w:rPr>
        <w:t>Introduce a Redis-based session store to support multiple Flask workers</w:t>
      </w:r>
    </w:p>
    <w:p>
      <w:pPr>
        <w:pStyle w:val="ListBullet"/>
        <w:spacing w:before="20" w:after="20"/>
      </w:pPr>
      <w:r>
        <w:rPr>
          <w:sz w:val="19"/>
        </w:rPr>
        <w:t>Move _login_attempts lockout state to Redis for cross-process consistency</w:t>
      </w:r>
    </w:p>
    <w:p>
      <w:pPr>
        <w:pStyle w:val="ListBullet"/>
        <w:spacing w:before="20" w:after="20"/>
      </w:pPr>
      <w:r>
        <w:rPr>
          <w:sz w:val="19"/>
        </w:rPr>
        <w:t>Add a SQL Server connection pool (pyodbc + SQLAlchemy) to reduce connection overhead</w:t>
      </w:r>
    </w:p>
    <w:p>
      <w:pPr>
        <w:pStyle w:val="ListBullet"/>
        <w:spacing w:before="20" w:after="20"/>
      </w:pPr>
      <w:r>
        <w:rPr>
          <w:sz w:val="19"/>
        </w:rPr>
        <w:t>Consider containerisation (Docker) for easier horizontal scaling</w:t>
      </w:r>
    </w:p>
    <w:p>
      <w:r>
        <w:br w:type="page"/>
      </w:r>
    </w:p>
    <w:p>
      <w:pPr>
        <w:spacing w:before="320" w:after="100"/>
        <w:pBdr>
          <w:bottom w:val="single" w:sz="8" w:space="2" w:color="003087"/>
        </w:pBdr>
      </w:pPr>
      <w:r>
        <w:rPr>
          <w:b/>
          <w:color w:val="003087"/>
          <w:sz w:val="26"/>
        </w:rPr>
        <w:t>15. Logging &amp; Observability</w:t>
      </w:r>
    </w:p>
    <w:p>
      <w:pPr>
        <w:spacing w:before="220" w:after="60"/>
      </w:pPr>
      <w:r>
        <w:rPr>
          <w:b/>
          <w:color w:val="001F5B"/>
          <w:sz w:val="22"/>
        </w:rPr>
        <w:t>15.1  Log Files</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Log File</w:t>
            </w:r>
          </w:p>
        </w:tc>
        <w:tc>
          <w:tcPr>
            <w:tcW w:type="dxa" w:w="4707"/>
            <w:shd w:val="clear" w:color="auto" w:fill="003087"/>
            <w:vAlign w:val="center"/>
          </w:tcPr>
          <w:p>
            <w:pPr>
              <w:jc w:val="center"/>
            </w:pPr>
            <w:r>
              <w:rPr>
                <w:b/>
                <w:i w:val="0"/>
                <w:color w:val="FFFFFF"/>
                <w:sz w:val="18"/>
              </w:rPr>
              <w:t>Contents</w:t>
            </w:r>
          </w:p>
        </w:tc>
      </w:tr>
      <w:tr>
        <w:tc>
          <w:tcPr>
            <w:tcW w:type="dxa" w:w="4707"/>
            <w:shd w:val="clear" w:color="auto" w:fill="F3F4F6"/>
            <w:vAlign w:val="center"/>
          </w:tcPr>
          <w:p>
            <w:pPr>
              <w:jc w:val="left"/>
            </w:pPr>
            <w:r>
              <w:rPr>
                <w:b/>
                <w:i w:val="0"/>
                <w:color w:val="001F5B"/>
                <w:sz w:val="18"/>
              </w:rPr>
              <w:t>dashboard.log</w:t>
            </w:r>
          </w:p>
        </w:tc>
        <w:tc>
          <w:tcPr>
            <w:tcW w:type="dxa" w:w="4707"/>
            <w:shd w:val="clear" w:color="auto" w:fill="FFFFFF"/>
            <w:vAlign w:val="center"/>
          </w:tcPr>
          <w:p>
            <w:pPr>
              <w:jc w:val="left"/>
            </w:pPr>
            <w:r>
              <w:rPr>
                <w:b w:val="0"/>
                <w:i w:val="0"/>
                <w:color w:val="111827"/>
                <w:sz w:val="18"/>
              </w:rPr>
              <w:t>Flask stdout/stderr captured by NSSM. Contains: startup events, request errors, DB errors, API call failures, service start/stop. Rotates at 10 MB.</w:t>
            </w:r>
          </w:p>
        </w:tc>
      </w:tr>
      <w:tr>
        <w:tc>
          <w:tcPr>
            <w:tcW w:type="dxa" w:w="4707"/>
            <w:shd w:val="clear" w:color="auto" w:fill="F3F4F6"/>
            <w:vAlign w:val="center"/>
          </w:tcPr>
          <w:p>
            <w:pPr>
              <w:jc w:val="left"/>
            </w:pPr>
            <w:r>
              <w:rPr>
                <w:b/>
                <w:i w:val="0"/>
                <w:color w:val="001F5B"/>
                <w:sz w:val="18"/>
              </w:rPr>
              <w:t>dashboard_error.log</w:t>
            </w:r>
          </w:p>
        </w:tc>
        <w:tc>
          <w:tcPr>
            <w:tcW w:type="dxa" w:w="4707"/>
            <w:shd w:val="clear" w:color="auto" w:fill="FFFFFF"/>
            <w:vAlign w:val="center"/>
          </w:tcPr>
          <w:p>
            <w:pPr>
              <w:jc w:val="left"/>
            </w:pPr>
            <w:r>
              <w:rPr>
                <w:b w:val="0"/>
                <w:i w:val="0"/>
                <w:color w:val="111827"/>
                <w:sz w:val="18"/>
              </w:rPr>
              <w:t>Flask stderr only. Contains Python tracebacks and unhandled exceptions. Rotates at 10 MB.</w:t>
            </w:r>
          </w:p>
        </w:tc>
      </w:tr>
      <w:tr>
        <w:tc>
          <w:tcPr>
            <w:tcW w:type="dxa" w:w="4707"/>
            <w:shd w:val="clear" w:color="auto" w:fill="F3F4F6"/>
            <w:vAlign w:val="center"/>
          </w:tcPr>
          <w:p>
            <w:pPr>
              <w:jc w:val="left"/>
            </w:pPr>
            <w:r>
              <w:rPr>
                <w:b/>
                <w:i w:val="0"/>
                <w:color w:val="001F5B"/>
                <w:sz w:val="18"/>
              </w:rPr>
              <w:t>scheduler.log</w:t>
            </w:r>
          </w:p>
        </w:tc>
        <w:tc>
          <w:tcPr>
            <w:tcW w:type="dxa" w:w="4707"/>
            <w:shd w:val="clear" w:color="auto" w:fill="FFFFFF"/>
            <w:vAlign w:val="center"/>
          </w:tcPr>
          <w:p>
            <w:pPr>
              <w:jc w:val="left"/>
            </w:pPr>
            <w:r>
              <w:rPr>
                <w:b w:val="0"/>
                <w:i w:val="0"/>
                <w:color w:val="111827"/>
                <w:sz w:val="18"/>
              </w:rPr>
              <w:t>Scheduler stdout captured by NSSM. Contains: cycle start/end, invoice count per cycle, per-invoice success/failure, API error messages. Rotates at 10 MB.</w:t>
            </w:r>
          </w:p>
        </w:tc>
      </w:tr>
      <w:tr>
        <w:tc>
          <w:tcPr>
            <w:tcW w:type="dxa" w:w="4707"/>
            <w:shd w:val="clear" w:color="auto" w:fill="F3F4F6"/>
            <w:vAlign w:val="center"/>
          </w:tcPr>
          <w:p>
            <w:pPr>
              <w:jc w:val="left"/>
            </w:pPr>
            <w:r>
              <w:rPr>
                <w:b/>
                <w:i w:val="0"/>
                <w:color w:val="001F5B"/>
                <w:sz w:val="18"/>
              </w:rPr>
              <w:t>scheduler_error.log</w:t>
            </w:r>
          </w:p>
        </w:tc>
        <w:tc>
          <w:tcPr>
            <w:tcW w:type="dxa" w:w="4707"/>
            <w:shd w:val="clear" w:color="auto" w:fill="FFFFFF"/>
            <w:vAlign w:val="center"/>
          </w:tcPr>
          <w:p>
            <w:pPr>
              <w:jc w:val="left"/>
            </w:pPr>
            <w:r>
              <w:rPr>
                <w:b w:val="0"/>
                <w:i w:val="0"/>
                <w:color w:val="111827"/>
                <w:sz w:val="18"/>
              </w:rPr>
              <w:t>Scheduler stderr — tracebacks and scheduler crash events.</w:t>
            </w:r>
          </w:p>
        </w:tc>
      </w:tr>
    </w:tbl>
    <w:p>
      <w:pPr>
        <w:spacing w:after="80"/>
      </w:pPr>
    </w:p>
    <w:p>
      <w:pPr>
        <w:spacing w:before="220" w:after="60"/>
      </w:pPr>
      <w:r>
        <w:rPr>
          <w:b/>
          <w:color w:val="001F5B"/>
          <w:sz w:val="22"/>
        </w:rPr>
        <w:t>15.2  What is Logged</w:t>
      </w:r>
    </w:p>
    <w:p>
      <w:pPr>
        <w:pStyle w:val="ListBullet"/>
        <w:spacing w:before="20" w:after="20"/>
      </w:pPr>
      <w:r>
        <w:rPr>
          <w:sz w:val="19"/>
        </w:rPr>
        <w:t>Every scheduler cycle: start timestamp, pending count, submitted count, failed count, cycle duration</w:t>
      </w:r>
    </w:p>
    <w:p>
      <w:pPr>
        <w:pStyle w:val="ListBullet"/>
        <w:spacing w:before="20" w:after="20"/>
      </w:pPr>
      <w:r>
        <w:rPr>
          <w:sz w:val="19"/>
        </w:rPr>
        <w:t>Every API call: invoice ref, HTTP status code, response time, IRN (on success) or error message (on failure)</w:t>
      </w:r>
    </w:p>
    <w:p>
      <w:pPr>
        <w:pStyle w:val="ListBullet"/>
        <w:spacing w:before="20" w:after="20"/>
      </w:pPr>
      <w:r>
        <w:rPr>
          <w:sz w:val="19"/>
        </w:rPr>
        <w:t>Every DB update: invoice ref, new REPORTING_STATUS value, timestamp</w:t>
      </w:r>
    </w:p>
    <w:p>
      <w:pPr>
        <w:pStyle w:val="ListBullet"/>
        <w:spacing w:before="20" w:after="20"/>
      </w:pPr>
      <w:r>
        <w:rPr>
          <w:sz w:val="19"/>
        </w:rPr>
        <w:t>Flask startup: port numbers, SSL status, config environment label</w:t>
      </w:r>
    </w:p>
    <w:p>
      <w:pPr>
        <w:pStyle w:val="ListBullet"/>
        <w:spacing w:before="20" w:after="20"/>
      </w:pPr>
      <w:r>
        <w:rPr>
          <w:sz w:val="19"/>
        </w:rPr>
        <w:t>Authentication: login attempts (no passwords), lockouts, successful logins</w:t>
      </w:r>
    </w:p>
    <w:p>
      <w:pPr>
        <w:pStyle w:val="ListBullet"/>
        <w:spacing w:before="20" w:after="20"/>
      </w:pPr>
      <w:r>
        <w:rPr>
          <w:sz w:val="19"/>
        </w:rPr>
        <w:t>All Python exceptions: full traceback in error log files</w:t>
      </w:r>
    </w:p>
    <w:p>
      <w:pPr>
        <w:spacing w:before="220" w:after="60"/>
      </w:pPr>
      <w:r>
        <w:rPr>
          <w:b/>
          <w:color w:val="001F5B"/>
          <w:sz w:val="22"/>
        </w:rPr>
        <w:t>15.3  Audit Trail in Database</w:t>
      </w:r>
    </w:p>
    <w:p>
      <w:pPr>
        <w:spacing w:before="40" w:after="60"/>
      </w:pPr>
      <w:r>
        <w:rPr>
          <w:b w:val="0"/>
          <w:i w:val="0"/>
          <w:color w:val="111827"/>
          <w:sz w:val="19"/>
        </w:rPr>
        <w:t>The dbo.REPORT table serves as the primary audit trail for invoice compliance. LAST_UPDATED records when each invoice was last processed. EXCEPTION_MESSAGE records the full API error. ENVIRONMENT records whether submission was to PREPROD or PRODUCTION. This provides a complete, queryable compliance record without needing a separate audit table.</w:t>
      </w:r>
    </w:p>
    <w:p>
      <w:r>
        <w:br w:type="page"/>
      </w:r>
    </w:p>
    <w:p>
      <w:pPr>
        <w:spacing w:before="320" w:after="100"/>
        <w:pBdr>
          <w:bottom w:val="single" w:sz="8" w:space="2" w:color="003087"/>
        </w:pBdr>
      </w:pPr>
      <w:r>
        <w:rPr>
          <w:b/>
          <w:color w:val="003087"/>
          <w:sz w:val="26"/>
        </w:rPr>
        <w:t>16. Compliance &amp; Regulatory Considerations</w:t>
      </w:r>
    </w:p>
    <w:tbl>
      <w:tblPr>
        <w:tblStyle w:val="TableGrid"/>
        <w:tblW w:type="auto" w:w="0"/>
        <w:jc w:val="left"/>
        <w:tblLook w:firstColumn="1" w:firstRow="1" w:lastColumn="0" w:lastRow="0" w:noHBand="0" w:noVBand="1" w:val="04A0"/>
      </w:tblPr>
      <w:tblGrid>
        <w:gridCol w:w="3168"/>
        <w:gridCol w:w="6480"/>
      </w:tblGrid>
      <w:tr>
        <w:tc>
          <w:tcPr>
            <w:tcW w:type="dxa" w:w="4707"/>
            <w:shd w:val="clear" w:color="auto" w:fill="003087"/>
            <w:vAlign w:val="center"/>
          </w:tcPr>
          <w:p>
            <w:pPr>
              <w:jc w:val="center"/>
            </w:pPr>
            <w:r>
              <w:rPr>
                <w:b/>
                <w:i w:val="0"/>
                <w:color w:val="FFFFFF"/>
                <w:sz w:val="18"/>
              </w:rPr>
              <w:t>Regulatory Area</w:t>
            </w:r>
          </w:p>
        </w:tc>
        <w:tc>
          <w:tcPr>
            <w:tcW w:type="dxa" w:w="4707"/>
            <w:shd w:val="clear" w:color="auto" w:fill="003087"/>
            <w:vAlign w:val="center"/>
          </w:tcPr>
          <w:p>
            <w:pPr>
              <w:jc w:val="center"/>
            </w:pPr>
            <w:r>
              <w:rPr>
                <w:b/>
                <w:i w:val="0"/>
                <w:color w:val="FFFFFF"/>
                <w:sz w:val="18"/>
              </w:rPr>
              <w:t>Design Response</w:t>
            </w:r>
          </w:p>
        </w:tc>
      </w:tr>
      <w:tr>
        <w:tc>
          <w:tcPr>
            <w:tcW w:type="dxa" w:w="4707"/>
            <w:shd w:val="clear" w:color="auto" w:fill="F3F4F6"/>
            <w:vAlign w:val="center"/>
          </w:tcPr>
          <w:p>
            <w:pPr>
              <w:jc w:val="left"/>
            </w:pPr>
            <w:r>
              <w:rPr>
                <w:b/>
                <w:i w:val="0"/>
                <w:color w:val="001F5B"/>
                <w:sz w:val="18"/>
              </w:rPr>
              <w:t>FIRS e-Invoice Mandate</w:t>
            </w:r>
          </w:p>
        </w:tc>
        <w:tc>
          <w:tcPr>
            <w:tcW w:type="dxa" w:w="4707"/>
            <w:shd w:val="clear" w:color="auto" w:fill="FFFFFF"/>
            <w:vAlign w:val="center"/>
          </w:tcPr>
          <w:p>
            <w:pPr>
              <w:jc w:val="left"/>
            </w:pPr>
            <w:r>
              <w:rPr>
                <w:b w:val="0"/>
                <w:i w:val="0"/>
                <w:color w:val="111827"/>
                <w:sz w:val="18"/>
              </w:rPr>
              <w:t>All invoices in dbo.REPORT must be submitted to the FIRS NRS portal. The system automatically processes all qualifying invoices. IRN storage in dbo.REPORT constitutes the compliance evidence required by FIRS.</w:t>
            </w:r>
          </w:p>
        </w:tc>
      </w:tr>
      <w:tr>
        <w:tc>
          <w:tcPr>
            <w:tcW w:type="dxa" w:w="4707"/>
            <w:shd w:val="clear" w:color="auto" w:fill="F3F4F6"/>
            <w:vAlign w:val="center"/>
          </w:tcPr>
          <w:p>
            <w:pPr>
              <w:jc w:val="left"/>
            </w:pPr>
            <w:r>
              <w:rPr>
                <w:b/>
                <w:i w:val="0"/>
                <w:color w:val="001F5B"/>
                <w:sz w:val="18"/>
              </w:rPr>
              <w:t>VAT Reporting</w:t>
            </w:r>
          </w:p>
        </w:tc>
        <w:tc>
          <w:tcPr>
            <w:tcW w:type="dxa" w:w="4707"/>
            <w:shd w:val="clear" w:color="auto" w:fill="FFFFFF"/>
            <w:vAlign w:val="center"/>
          </w:tcPr>
          <w:p>
            <w:pPr>
              <w:jc w:val="left"/>
            </w:pPr>
            <w:r>
              <w:rPr>
                <w:b w:val="0"/>
                <w:i w:val="0"/>
                <w:color w:val="111827"/>
                <w:sz w:val="18"/>
              </w:rPr>
              <w:t>VAT amounts are stored in VAT_AMOUNT per invoice. The Report module aggregates total VAT reported to FIRS by currency. The CFO report provides the 7.5% VAT analysis required for FIRS returns.</w:t>
            </w:r>
          </w:p>
        </w:tc>
      </w:tr>
      <w:tr>
        <w:tc>
          <w:tcPr>
            <w:tcW w:type="dxa" w:w="4707"/>
            <w:shd w:val="clear" w:color="auto" w:fill="F3F4F6"/>
            <w:vAlign w:val="center"/>
          </w:tcPr>
          <w:p>
            <w:pPr>
              <w:jc w:val="left"/>
            </w:pPr>
            <w:r>
              <w:rPr>
                <w:b/>
                <w:i w:val="0"/>
                <w:color w:val="001F5B"/>
                <w:sz w:val="18"/>
              </w:rPr>
              <w:t>Multi-Currency Compliance</w:t>
            </w:r>
          </w:p>
        </w:tc>
        <w:tc>
          <w:tcPr>
            <w:tcW w:type="dxa" w:w="4707"/>
            <w:shd w:val="clear" w:color="auto" w:fill="FFFFFF"/>
            <w:vAlign w:val="center"/>
          </w:tcPr>
          <w:p>
            <w:pPr>
              <w:jc w:val="left"/>
            </w:pPr>
            <w:r>
              <w:rPr>
                <w:b w:val="0"/>
                <w:i w:val="0"/>
                <w:color w:val="111827"/>
                <w:sz w:val="18"/>
              </w:rPr>
              <w:t>FIRS accepts invoices in foreign currencies (USD, GBP, EUR). The CURRENCY_CODE is preserved through every layer — DB, payload, display — ensuring submitted amounts are in the correct currency as reported to FIRS.</w:t>
            </w:r>
          </w:p>
        </w:tc>
      </w:tr>
      <w:tr>
        <w:tc>
          <w:tcPr>
            <w:tcW w:type="dxa" w:w="4707"/>
            <w:shd w:val="clear" w:color="auto" w:fill="F3F4F6"/>
            <w:vAlign w:val="center"/>
          </w:tcPr>
          <w:p>
            <w:pPr>
              <w:jc w:val="left"/>
            </w:pPr>
            <w:r>
              <w:rPr>
                <w:b/>
                <w:i w:val="0"/>
                <w:color w:val="001F5B"/>
                <w:sz w:val="18"/>
              </w:rPr>
              <w:t>IRN Retention</w:t>
            </w:r>
          </w:p>
        </w:tc>
        <w:tc>
          <w:tcPr>
            <w:tcW w:type="dxa" w:w="4707"/>
            <w:shd w:val="clear" w:color="auto" w:fill="FFFFFF"/>
            <w:vAlign w:val="center"/>
          </w:tcPr>
          <w:p>
            <w:pPr>
              <w:jc w:val="left"/>
            </w:pPr>
            <w:r>
              <w:rPr>
                <w:b w:val="0"/>
                <w:i w:val="0"/>
                <w:color w:val="111827"/>
                <w:sz w:val="18"/>
              </w:rPr>
              <w:t>FIRS requires that IRNs be retained for a minimum of 6 years. IRNs are stored in dbo.REPORT.IRN and backed up with the daily FIRSINVOICEDB backup.</w:t>
            </w:r>
          </w:p>
        </w:tc>
      </w:tr>
      <w:tr>
        <w:tc>
          <w:tcPr>
            <w:tcW w:type="dxa" w:w="4707"/>
            <w:shd w:val="clear" w:color="auto" w:fill="F3F4F6"/>
            <w:vAlign w:val="center"/>
          </w:tcPr>
          <w:p>
            <w:pPr>
              <w:jc w:val="left"/>
            </w:pPr>
            <w:r>
              <w:rPr>
                <w:b/>
                <w:i w:val="0"/>
                <w:color w:val="001F5B"/>
                <w:sz w:val="18"/>
              </w:rPr>
              <w:t>Nigeria Data Residency</w:t>
            </w:r>
          </w:p>
        </w:tc>
        <w:tc>
          <w:tcPr>
            <w:tcW w:type="dxa" w:w="4707"/>
            <w:shd w:val="clear" w:color="auto" w:fill="FFFFFF"/>
            <w:vAlign w:val="center"/>
          </w:tcPr>
          <w:p>
            <w:pPr>
              <w:jc w:val="left"/>
            </w:pPr>
            <w:r>
              <w:rPr>
                <w:b w:val="0"/>
                <w:i w:val="0"/>
                <w:color w:val="111827"/>
                <w:sz w:val="18"/>
              </w:rPr>
              <w:t>All data (invoices, IRNs, user accounts) is stored on-premise within Keystone Bank's data centre. No invoice data is stored by Cryptware — only the API submission passes through their gateway to FIRS.</w:t>
            </w:r>
          </w:p>
        </w:tc>
      </w:tr>
      <w:tr>
        <w:tc>
          <w:tcPr>
            <w:tcW w:type="dxa" w:w="4707"/>
            <w:shd w:val="clear" w:color="auto" w:fill="F3F4F6"/>
            <w:vAlign w:val="center"/>
          </w:tcPr>
          <w:p>
            <w:pPr>
              <w:jc w:val="left"/>
            </w:pPr>
            <w:r>
              <w:rPr>
                <w:b/>
                <w:i w:val="0"/>
                <w:color w:val="001F5B"/>
                <w:sz w:val="18"/>
              </w:rPr>
              <w:t>CBN IT Standards</w:t>
            </w:r>
          </w:p>
        </w:tc>
        <w:tc>
          <w:tcPr>
            <w:tcW w:type="dxa" w:w="4707"/>
            <w:shd w:val="clear" w:color="auto" w:fill="FFFFFF"/>
            <w:vAlign w:val="center"/>
          </w:tcPr>
          <w:p>
            <w:pPr>
              <w:jc w:val="left"/>
            </w:pPr>
            <w:r>
              <w:rPr>
                <w:b w:val="0"/>
                <w:i w:val="0"/>
                <w:color w:val="111827"/>
                <w:sz w:val="18"/>
              </w:rPr>
              <w:t>Session management (15-minute timeout), password complexity, HTTPS enforcement, and RBAC design are aligned with CBN IT Risk-Based Supervision framework requirements.</w:t>
            </w:r>
          </w:p>
        </w:tc>
      </w:tr>
    </w:tbl>
    <w:p>
      <w:pPr>
        <w:spacing w:after="80"/>
      </w:pPr>
    </w:p>
    <w:p>
      <w:r>
        <w:br w:type="page"/>
      </w:r>
    </w:p>
    <w:p>
      <w:pPr>
        <w:spacing w:before="320" w:after="100"/>
        <w:pBdr>
          <w:bottom w:val="single" w:sz="8" w:space="2" w:color="003087"/>
        </w:pBdr>
      </w:pPr>
      <w:r>
        <w:rPr>
          <w:b/>
          <w:color w:val="003087"/>
          <w:sz w:val="26"/>
        </w:rPr>
        <w:t>17. Design Decisions &amp; Rationale</w:t>
      </w:r>
    </w:p>
    <w:tbl>
      <w:tblPr>
        <w:tblStyle w:val="TableGrid"/>
        <w:tblW w:type="auto" w:w="0"/>
        <w:jc w:val="left"/>
        <w:tblLook w:firstColumn="1" w:firstRow="1" w:lastColumn="0" w:lastRow="0" w:noHBand="0" w:noVBand="1" w:val="04A0"/>
      </w:tblPr>
      <w:tblGrid>
        <w:gridCol w:w="3312"/>
        <w:gridCol w:w="6336"/>
      </w:tblGrid>
      <w:tr>
        <w:tc>
          <w:tcPr>
            <w:tcW w:type="dxa" w:w="4707"/>
            <w:shd w:val="clear" w:color="auto" w:fill="003087"/>
            <w:vAlign w:val="center"/>
          </w:tcPr>
          <w:p>
            <w:pPr>
              <w:jc w:val="center"/>
            </w:pPr>
            <w:r>
              <w:rPr>
                <w:b/>
                <w:i w:val="0"/>
                <w:color w:val="FFFFFF"/>
                <w:sz w:val="18"/>
              </w:rPr>
              <w:t>Design Decision</w:t>
            </w:r>
          </w:p>
        </w:tc>
        <w:tc>
          <w:tcPr>
            <w:tcW w:type="dxa" w:w="4707"/>
            <w:shd w:val="clear" w:color="auto" w:fill="003087"/>
            <w:vAlign w:val="center"/>
          </w:tcPr>
          <w:p>
            <w:pPr>
              <w:jc w:val="center"/>
            </w:pPr>
            <w:r>
              <w:rPr>
                <w:b/>
                <w:i w:val="0"/>
                <w:color w:val="FFFFFF"/>
                <w:sz w:val="18"/>
              </w:rPr>
              <w:t>Rationale &amp; Trade-offs</w:t>
            </w:r>
          </w:p>
        </w:tc>
      </w:tr>
      <w:tr>
        <w:tc>
          <w:tcPr>
            <w:tcW w:type="dxa" w:w="4707"/>
            <w:shd w:val="clear" w:color="auto" w:fill="FFFFFF"/>
            <w:vAlign w:val="center"/>
          </w:tcPr>
          <w:p>
            <w:pPr>
              <w:jc w:val="left"/>
            </w:pPr>
            <w:r>
              <w:rPr>
                <w:b/>
                <w:i w:val="0"/>
                <w:color w:val="001F5B"/>
                <w:sz w:val="18"/>
              </w:rPr>
              <w:t>Single-file Flask app (dashboard.py) instead of Blueprint modules</w:t>
            </w:r>
          </w:p>
        </w:tc>
        <w:tc>
          <w:tcPr>
            <w:tcW w:type="dxa" w:w="4707"/>
            <w:shd w:val="clear" w:color="auto" w:fill="FFFFFF"/>
            <w:vAlign w:val="center"/>
          </w:tcPr>
          <w:p>
            <w:pPr>
              <w:jc w:val="left"/>
            </w:pPr>
            <w:r>
              <w:rPr>
                <w:b w:val="0"/>
                <w:i w:val="0"/>
                <w:color w:val="111827"/>
                <w:sz w:val="18"/>
              </w:rPr>
              <w:t>Reduces deployment complexity for a Windows Server environment without a CI/CD pipeline. The ops team can restart a single Python file without understanding module imports or package structure. Accepted trade-off: file grows large over time; refactor to Blueprints when file exceeds ~3,000 lines.</w:t>
            </w:r>
          </w:p>
        </w:tc>
      </w:tr>
      <w:tr>
        <w:tc>
          <w:tcPr>
            <w:tcW w:type="dxa" w:w="4707"/>
            <w:shd w:val="clear" w:color="auto" w:fill="F3F4F6"/>
            <w:vAlign w:val="center"/>
          </w:tcPr>
          <w:p>
            <w:pPr>
              <w:jc w:val="left"/>
            </w:pPr>
            <w:r>
              <w:rPr>
                <w:b/>
                <w:i w:val="0"/>
                <w:color w:val="001F5B"/>
                <w:sz w:val="18"/>
              </w:rPr>
              <w:t>NSSM Windows services instead of Docker containers</w:t>
            </w:r>
          </w:p>
        </w:tc>
        <w:tc>
          <w:tcPr>
            <w:tcW w:type="dxa" w:w="4707"/>
            <w:shd w:val="clear" w:color="auto" w:fill="F3F4F6"/>
            <w:vAlign w:val="center"/>
          </w:tcPr>
          <w:p>
            <w:pPr>
              <w:jc w:val="left"/>
            </w:pPr>
            <w:r>
              <w:rPr>
                <w:b w:val="0"/>
                <w:i w:val="0"/>
                <w:color w:val="111827"/>
                <w:sz w:val="18"/>
              </w:rPr>
              <w:t>Keystone Bank's server team has no containerisation infrastructure or expertise. NSSM provides service auto-start, restart-on-failure, and log capture using familiar Windows service management tools (services.msc, sc.exe). No Docker daemon or registry required.</w:t>
            </w:r>
          </w:p>
        </w:tc>
      </w:tr>
      <w:tr>
        <w:tc>
          <w:tcPr>
            <w:tcW w:type="dxa" w:w="4707"/>
            <w:shd w:val="clear" w:color="auto" w:fill="FFFFFF"/>
            <w:vAlign w:val="center"/>
          </w:tcPr>
          <w:p>
            <w:pPr>
              <w:jc w:val="left"/>
            </w:pPr>
            <w:r>
              <w:rPr>
                <w:b/>
                <w:i w:val="0"/>
                <w:color w:val="001F5B"/>
                <w:sz w:val="18"/>
              </w:rPr>
              <w:t>In-memory rate limiting instead of Redis or DB-backed</w:t>
            </w:r>
          </w:p>
        </w:tc>
        <w:tc>
          <w:tcPr>
            <w:tcW w:type="dxa" w:w="4707"/>
            <w:shd w:val="clear" w:color="auto" w:fill="FFFFFF"/>
            <w:vAlign w:val="center"/>
          </w:tcPr>
          <w:p>
            <w:pPr>
              <w:jc w:val="left"/>
            </w:pPr>
            <w:r>
              <w:rPr>
                <w:b w:val="0"/>
                <w:i w:val="0"/>
                <w:color w:val="111827"/>
                <w:sz w:val="18"/>
              </w:rPr>
              <w:t>Redis is not installed. A DB-backed rate limiter would add a DB write on every failed login, increasing attack surface. In-memory is sufficient for a single-server deployment. Known limitation: resets on service restart — documented and accepted.</w:t>
            </w:r>
          </w:p>
        </w:tc>
      </w:tr>
      <w:tr>
        <w:tc>
          <w:tcPr>
            <w:tcW w:type="dxa" w:w="4707"/>
            <w:shd w:val="clear" w:color="auto" w:fill="F3F4F6"/>
            <w:vAlign w:val="center"/>
          </w:tcPr>
          <w:p>
            <w:pPr>
              <w:jc w:val="left"/>
            </w:pPr>
            <w:r>
              <w:rPr>
                <w:b/>
                <w:i w:val="0"/>
                <w:color w:val="001F5B"/>
                <w:sz w:val="18"/>
              </w:rPr>
              <w:t>Self-signed TLS certificate instead of CA-signed</w:t>
            </w:r>
          </w:p>
        </w:tc>
        <w:tc>
          <w:tcPr>
            <w:tcW w:type="dxa" w:w="4707"/>
            <w:shd w:val="clear" w:color="auto" w:fill="F3F4F6"/>
            <w:vAlign w:val="center"/>
          </w:tcPr>
          <w:p>
            <w:pPr>
              <w:jc w:val="left"/>
            </w:pPr>
            <w:r>
              <w:rPr>
                <w:b w:val="0"/>
                <w:i w:val="0"/>
                <w:color w:val="111827"/>
                <w:sz w:val="18"/>
              </w:rPr>
              <w:t>The application runs on an internal static IP (10.40.24.41), not a public domain name. Public CAs do not issue certificates for RFC 1918 IPs. Self-signed + manual Trust Store installation is the standard approach for intranet-only applications.</w:t>
            </w:r>
          </w:p>
        </w:tc>
      </w:tr>
      <w:tr>
        <w:tc>
          <w:tcPr>
            <w:tcW w:type="dxa" w:w="4707"/>
            <w:shd w:val="clear" w:color="auto" w:fill="FFFFFF"/>
            <w:vAlign w:val="center"/>
          </w:tcPr>
          <w:p>
            <w:pPr>
              <w:jc w:val="left"/>
            </w:pPr>
            <w:r>
              <w:rPr>
                <w:b/>
                <w:i w:val="0"/>
                <w:color w:val="001F5B"/>
                <w:sz w:val="18"/>
              </w:rPr>
              <w:t>Server-side DataTables pagination instead of client-side</w:t>
            </w:r>
          </w:p>
        </w:tc>
        <w:tc>
          <w:tcPr>
            <w:tcW w:type="dxa" w:w="4707"/>
            <w:shd w:val="clear" w:color="auto" w:fill="FFFFFF"/>
            <w:vAlign w:val="center"/>
          </w:tcPr>
          <w:p>
            <w:pPr>
              <w:jc w:val="left"/>
            </w:pPr>
            <w:r>
              <w:rPr>
                <w:b w:val="0"/>
                <w:i w:val="0"/>
                <w:color w:val="111827"/>
                <w:sz w:val="18"/>
              </w:rPr>
              <w:t>Invoice counts may reach 50,000+. Client-side DataTables would require downloading all records on every page load. Server-side mode sends exactly 25 rows per request regardless of total count, keeping page load time constant.</w:t>
            </w:r>
          </w:p>
        </w:tc>
      </w:tr>
      <w:tr>
        <w:tc>
          <w:tcPr>
            <w:tcW w:type="dxa" w:w="4707"/>
            <w:shd w:val="clear" w:color="auto" w:fill="F3F4F6"/>
            <w:vAlign w:val="center"/>
          </w:tcPr>
          <w:p>
            <w:pPr>
              <w:jc w:val="left"/>
            </w:pPr>
            <w:r>
              <w:rPr>
                <w:b/>
                <w:i w:val="0"/>
                <w:color w:val="001F5B"/>
                <w:sz w:val="18"/>
              </w:rPr>
              <w:t>Separate scheduler process instead of Flask background thread</w:t>
            </w:r>
          </w:p>
        </w:tc>
        <w:tc>
          <w:tcPr>
            <w:tcW w:type="dxa" w:w="4707"/>
            <w:shd w:val="clear" w:color="auto" w:fill="F3F4F6"/>
            <w:vAlign w:val="center"/>
          </w:tcPr>
          <w:p>
            <w:pPr>
              <w:jc w:val="left"/>
            </w:pPr>
            <w:r>
              <w:rPr>
                <w:b w:val="0"/>
                <w:i w:val="0"/>
                <w:color w:val="111827"/>
                <w:sz w:val="18"/>
              </w:rPr>
              <w:t>Running the scheduler as a separate NSSM service allows independent restart (deploy dashboard updates without stopping invoice processing), independent log files, and independent monitoring. A Flask background thread would die if the Flask process crashed.</w:t>
            </w:r>
          </w:p>
        </w:tc>
      </w:tr>
      <w:tr>
        <w:tc>
          <w:tcPr>
            <w:tcW w:type="dxa" w:w="4707"/>
            <w:shd w:val="clear" w:color="auto" w:fill="FFFFFF"/>
            <w:vAlign w:val="center"/>
          </w:tcPr>
          <w:p>
            <w:pPr>
              <w:jc w:val="left"/>
            </w:pPr>
            <w:r>
              <w:rPr>
                <w:b/>
                <w:i w:val="0"/>
                <w:color w:val="001F5B"/>
                <w:sz w:val="18"/>
              </w:rPr>
              <w:t>PBKDF2-SHA256 instead of bcrypt or Argon2</w:t>
            </w:r>
          </w:p>
        </w:tc>
        <w:tc>
          <w:tcPr>
            <w:tcW w:type="dxa" w:w="4707"/>
            <w:shd w:val="clear" w:color="auto" w:fill="FFFFFF"/>
            <w:vAlign w:val="center"/>
          </w:tcPr>
          <w:p>
            <w:pPr>
              <w:jc w:val="left"/>
            </w:pPr>
            <w:r>
              <w:rPr>
                <w:b w:val="0"/>
                <w:i w:val="0"/>
                <w:color w:val="111827"/>
                <w:sz w:val="18"/>
              </w:rPr>
              <w:t>Werkzeug's built-in generate_password_hash() uses PBKDF2-SHA256, requiring no additional library beyond the already-required Werkzeug. For a low-concurrency application with fewer than 50 users, PBKDF2 at 260,000 iterations provides adequate protection without the additional dependency of bcrypt or argon2-cffi.</w:t>
            </w:r>
          </w:p>
        </w:tc>
      </w:tr>
      <w:tr>
        <w:tc>
          <w:tcPr>
            <w:tcW w:type="dxa" w:w="4707"/>
            <w:shd w:val="clear" w:color="auto" w:fill="F3F4F6"/>
            <w:vAlign w:val="center"/>
          </w:tcPr>
          <w:p>
            <w:pPr>
              <w:jc w:val="left"/>
            </w:pPr>
            <w:r>
              <w:rPr>
                <w:b/>
                <w:i w:val="0"/>
                <w:color w:val="001F5B"/>
                <w:sz w:val="18"/>
              </w:rPr>
              <w:t>config.json instead of environment variables</w:t>
            </w:r>
          </w:p>
        </w:tc>
        <w:tc>
          <w:tcPr>
            <w:tcW w:type="dxa" w:w="4707"/>
            <w:shd w:val="clear" w:color="auto" w:fill="F3F4F6"/>
            <w:vAlign w:val="center"/>
          </w:tcPr>
          <w:p>
            <w:pPr>
              <w:jc w:val="left"/>
            </w:pPr>
            <w:r>
              <w:rPr>
                <w:b w:val="0"/>
                <w:i w:val="0"/>
                <w:color w:val="111827"/>
                <w:sz w:val="18"/>
              </w:rPr>
              <w:t>Windows Server environment variables are managed through System Properties GUI or PowerShell, and are easily misconfigured when multiple services share the same machine. A single config.json file in the application directory is explicit, version-controllable (excluding secrets), and readable by both the dashboard and scheduler without coordination.</w:t>
            </w:r>
          </w:p>
        </w:tc>
      </w:tr>
    </w:tbl>
    <w:p/>
    <w:p>
      <w:r>
        <w:br w:type="page"/>
      </w:r>
    </w:p>
    <w:p>
      <w:pPr>
        <w:spacing w:before="320" w:after="100"/>
        <w:pBdr>
          <w:bottom w:val="single" w:sz="8" w:space="2" w:color="003087"/>
        </w:pBdr>
      </w:pPr>
      <w:r>
        <w:rPr>
          <w:b/>
          <w:color w:val="003087"/>
          <w:sz w:val="26"/>
        </w:rPr>
        <w:t>18. Glossary</w:t>
      </w:r>
    </w:p>
    <w:tbl>
      <w:tblPr>
        <w:tblStyle w:val="TableGrid"/>
        <w:tblW w:type="auto" w:w="0"/>
        <w:jc w:val="left"/>
        <w:tblLook w:firstColumn="1" w:firstRow="1" w:lastColumn="0" w:lastRow="0" w:noHBand="0" w:noVBand="1" w:val="04A0"/>
      </w:tblPr>
      <w:tblGrid>
        <w:gridCol w:w="1872"/>
        <w:gridCol w:w="7776"/>
      </w:tblGrid>
      <w:tr>
        <w:tc>
          <w:tcPr>
            <w:tcW w:type="dxa" w:w="4707"/>
            <w:shd w:val="clear" w:color="auto" w:fill="003087"/>
            <w:vAlign w:val="center"/>
          </w:tcPr>
          <w:p>
            <w:pPr>
              <w:jc w:val="center"/>
            </w:pPr>
            <w:r>
              <w:rPr>
                <w:b/>
                <w:i w:val="0"/>
                <w:color w:val="FFFFFF"/>
                <w:sz w:val="18"/>
              </w:rPr>
              <w:t>Term</w:t>
            </w:r>
          </w:p>
        </w:tc>
        <w:tc>
          <w:tcPr>
            <w:tcW w:type="dxa" w:w="4707"/>
            <w:shd w:val="clear" w:color="auto" w:fill="003087"/>
            <w:vAlign w:val="center"/>
          </w:tcPr>
          <w:p>
            <w:pPr>
              <w:jc w:val="center"/>
            </w:pPr>
            <w:r>
              <w:rPr>
                <w:b/>
                <w:i w:val="0"/>
                <w:color w:val="FFFFFF"/>
                <w:sz w:val="18"/>
              </w:rPr>
              <w:t>Definition</w:t>
            </w:r>
          </w:p>
        </w:tc>
      </w:tr>
      <w:tr>
        <w:tc>
          <w:tcPr>
            <w:tcW w:type="dxa" w:w="4707"/>
            <w:shd w:val="clear" w:color="auto" w:fill="FFFFFF"/>
            <w:vAlign w:val="center"/>
          </w:tcPr>
          <w:p>
            <w:pPr>
              <w:jc w:val="left"/>
            </w:pPr>
            <w:r>
              <w:rPr>
                <w:b/>
                <w:i w:val="0"/>
                <w:color w:val="001F5B"/>
                <w:sz w:val="18"/>
              </w:rPr>
              <w:t>APScheduler</w:t>
            </w:r>
          </w:p>
        </w:tc>
        <w:tc>
          <w:tcPr>
            <w:tcW w:type="dxa" w:w="4707"/>
            <w:shd w:val="clear" w:color="auto" w:fill="FFFFFF"/>
            <w:vAlign w:val="center"/>
          </w:tcPr>
          <w:p>
            <w:pPr>
              <w:jc w:val="left"/>
            </w:pPr>
            <w:r>
              <w:rPr>
                <w:b w:val="0"/>
                <w:i w:val="0"/>
                <w:color w:val="111827"/>
                <w:sz w:val="18"/>
              </w:rPr>
              <w:t>Advanced Python Scheduler — Python library for scheduling recurring jobs.</w:t>
            </w:r>
          </w:p>
        </w:tc>
      </w:tr>
      <w:tr>
        <w:tc>
          <w:tcPr>
            <w:tcW w:type="dxa" w:w="4707"/>
            <w:shd w:val="clear" w:color="auto" w:fill="F3F4F6"/>
            <w:vAlign w:val="center"/>
          </w:tcPr>
          <w:p>
            <w:pPr>
              <w:jc w:val="left"/>
            </w:pPr>
            <w:r>
              <w:rPr>
                <w:b/>
                <w:i w:val="0"/>
                <w:color w:val="001F5B"/>
                <w:sz w:val="18"/>
              </w:rPr>
              <w:t>CBN</w:t>
            </w:r>
          </w:p>
        </w:tc>
        <w:tc>
          <w:tcPr>
            <w:tcW w:type="dxa" w:w="4707"/>
            <w:shd w:val="clear" w:color="auto" w:fill="F3F4F6"/>
            <w:vAlign w:val="center"/>
          </w:tcPr>
          <w:p>
            <w:pPr>
              <w:jc w:val="left"/>
            </w:pPr>
            <w:r>
              <w:rPr>
                <w:b w:val="0"/>
                <w:i w:val="0"/>
                <w:color w:val="111827"/>
                <w:sz w:val="18"/>
              </w:rPr>
              <w:t>Central Bank of Nigeria — financial services regulator.</w:t>
            </w:r>
          </w:p>
        </w:tc>
      </w:tr>
      <w:tr>
        <w:tc>
          <w:tcPr>
            <w:tcW w:type="dxa" w:w="4707"/>
            <w:shd w:val="clear" w:color="auto" w:fill="FFFFFF"/>
            <w:vAlign w:val="center"/>
          </w:tcPr>
          <w:p>
            <w:pPr>
              <w:jc w:val="left"/>
            </w:pPr>
            <w:r>
              <w:rPr>
                <w:b/>
                <w:i w:val="0"/>
                <w:color w:val="001F5B"/>
                <w:sz w:val="18"/>
              </w:rPr>
              <w:t>FIRS</w:t>
            </w:r>
          </w:p>
        </w:tc>
        <w:tc>
          <w:tcPr>
            <w:tcW w:type="dxa" w:w="4707"/>
            <w:shd w:val="clear" w:color="auto" w:fill="FFFFFF"/>
            <w:vAlign w:val="center"/>
          </w:tcPr>
          <w:p>
            <w:pPr>
              <w:jc w:val="left"/>
            </w:pPr>
            <w:r>
              <w:rPr>
                <w:b w:val="0"/>
                <w:i w:val="0"/>
                <w:color w:val="111827"/>
                <w:sz w:val="18"/>
              </w:rPr>
              <w:t>Federal Inland Revenue Service — Nigeria's national tax authority.</w:t>
            </w:r>
          </w:p>
        </w:tc>
      </w:tr>
      <w:tr>
        <w:tc>
          <w:tcPr>
            <w:tcW w:type="dxa" w:w="4707"/>
            <w:shd w:val="clear" w:color="auto" w:fill="F3F4F6"/>
            <w:vAlign w:val="center"/>
          </w:tcPr>
          <w:p>
            <w:pPr>
              <w:jc w:val="left"/>
            </w:pPr>
            <w:r>
              <w:rPr>
                <w:b/>
                <w:i w:val="0"/>
                <w:color w:val="001F5B"/>
                <w:sz w:val="18"/>
              </w:rPr>
              <w:t>Flask</w:t>
            </w:r>
          </w:p>
        </w:tc>
        <w:tc>
          <w:tcPr>
            <w:tcW w:type="dxa" w:w="4707"/>
            <w:shd w:val="clear" w:color="auto" w:fill="F3F4F6"/>
            <w:vAlign w:val="center"/>
          </w:tcPr>
          <w:p>
            <w:pPr>
              <w:jc w:val="left"/>
            </w:pPr>
            <w:r>
              <w:rPr>
                <w:b w:val="0"/>
                <w:i w:val="0"/>
                <w:color w:val="111827"/>
                <w:sz w:val="18"/>
              </w:rPr>
              <w:t>Lightweight Python web framework based on Werkzeug WSGI toolkit.</w:t>
            </w:r>
          </w:p>
        </w:tc>
      </w:tr>
      <w:tr>
        <w:tc>
          <w:tcPr>
            <w:tcW w:type="dxa" w:w="4707"/>
            <w:shd w:val="clear" w:color="auto" w:fill="FFFFFF"/>
            <w:vAlign w:val="center"/>
          </w:tcPr>
          <w:p>
            <w:pPr>
              <w:jc w:val="left"/>
            </w:pPr>
            <w:r>
              <w:rPr>
                <w:b/>
                <w:i w:val="0"/>
                <w:color w:val="001F5B"/>
                <w:sz w:val="18"/>
              </w:rPr>
              <w:t>HSN</w:t>
            </w:r>
          </w:p>
        </w:tc>
        <w:tc>
          <w:tcPr>
            <w:tcW w:type="dxa" w:w="4707"/>
            <w:shd w:val="clear" w:color="auto" w:fill="FFFFFF"/>
            <w:vAlign w:val="center"/>
          </w:tcPr>
          <w:p>
            <w:pPr>
              <w:jc w:val="left"/>
            </w:pPr>
            <w:r>
              <w:rPr>
                <w:b w:val="0"/>
                <w:i w:val="0"/>
                <w:color w:val="111827"/>
                <w:sz w:val="18"/>
              </w:rPr>
              <w:t>Harmonised System Nomenclature — international commodity classification code used in FIRS invoices.</w:t>
            </w:r>
          </w:p>
        </w:tc>
      </w:tr>
      <w:tr>
        <w:tc>
          <w:tcPr>
            <w:tcW w:type="dxa" w:w="4707"/>
            <w:shd w:val="clear" w:color="auto" w:fill="F3F4F6"/>
            <w:vAlign w:val="center"/>
          </w:tcPr>
          <w:p>
            <w:pPr>
              <w:jc w:val="left"/>
            </w:pPr>
            <w:r>
              <w:rPr>
                <w:b/>
                <w:i w:val="0"/>
                <w:color w:val="001F5B"/>
                <w:sz w:val="18"/>
              </w:rPr>
              <w:t>IRN</w:t>
            </w:r>
          </w:p>
        </w:tc>
        <w:tc>
          <w:tcPr>
            <w:tcW w:type="dxa" w:w="4707"/>
            <w:shd w:val="clear" w:color="auto" w:fill="F3F4F6"/>
            <w:vAlign w:val="center"/>
          </w:tcPr>
          <w:p>
            <w:pPr>
              <w:jc w:val="left"/>
            </w:pPr>
            <w:r>
              <w:rPr>
                <w:b w:val="0"/>
                <w:i w:val="0"/>
                <w:color w:val="111827"/>
                <w:sz w:val="18"/>
              </w:rPr>
              <w:t>Invoice Reference Number — unique identifier assigned by FIRS upon successful e-invoice submission.</w:t>
            </w:r>
          </w:p>
        </w:tc>
      </w:tr>
      <w:tr>
        <w:tc>
          <w:tcPr>
            <w:tcW w:type="dxa" w:w="4707"/>
            <w:shd w:val="clear" w:color="auto" w:fill="FFFFFF"/>
            <w:vAlign w:val="center"/>
          </w:tcPr>
          <w:p>
            <w:pPr>
              <w:jc w:val="left"/>
            </w:pPr>
            <w:r>
              <w:rPr>
                <w:b/>
                <w:i w:val="0"/>
                <w:color w:val="001F5B"/>
                <w:sz w:val="18"/>
              </w:rPr>
              <w:t>NSSM</w:t>
            </w:r>
          </w:p>
        </w:tc>
        <w:tc>
          <w:tcPr>
            <w:tcW w:type="dxa" w:w="4707"/>
            <w:shd w:val="clear" w:color="auto" w:fill="FFFFFF"/>
            <w:vAlign w:val="center"/>
          </w:tcPr>
          <w:p>
            <w:pPr>
              <w:jc w:val="left"/>
            </w:pPr>
            <w:r>
              <w:rPr>
                <w:b w:val="0"/>
                <w:i w:val="0"/>
                <w:color w:val="111827"/>
                <w:sz w:val="18"/>
              </w:rPr>
              <w:t>Non-Sucking Service Manager — utility for creating and managing Windows services from any executable.</w:t>
            </w:r>
          </w:p>
        </w:tc>
      </w:tr>
      <w:tr>
        <w:tc>
          <w:tcPr>
            <w:tcW w:type="dxa" w:w="4707"/>
            <w:shd w:val="clear" w:color="auto" w:fill="F3F4F6"/>
            <w:vAlign w:val="center"/>
          </w:tcPr>
          <w:p>
            <w:pPr>
              <w:jc w:val="left"/>
            </w:pPr>
            <w:r>
              <w:rPr>
                <w:b/>
                <w:i w:val="0"/>
                <w:color w:val="001F5B"/>
                <w:sz w:val="18"/>
              </w:rPr>
              <w:t>NRS</w:t>
            </w:r>
          </w:p>
        </w:tc>
        <w:tc>
          <w:tcPr>
            <w:tcW w:type="dxa" w:w="4707"/>
            <w:shd w:val="clear" w:color="auto" w:fill="F3F4F6"/>
            <w:vAlign w:val="center"/>
          </w:tcPr>
          <w:p>
            <w:pPr>
              <w:jc w:val="left"/>
            </w:pPr>
            <w:r>
              <w:rPr>
                <w:b w:val="0"/>
                <w:i w:val="0"/>
                <w:color w:val="111827"/>
                <w:sz w:val="18"/>
              </w:rPr>
              <w:t>National Revenue Service — the FIRS portal through which electronic invoices are submitted.</w:t>
            </w:r>
          </w:p>
        </w:tc>
      </w:tr>
      <w:tr>
        <w:tc>
          <w:tcPr>
            <w:tcW w:type="dxa" w:w="4707"/>
            <w:shd w:val="clear" w:color="auto" w:fill="FFFFFF"/>
            <w:vAlign w:val="center"/>
          </w:tcPr>
          <w:p>
            <w:pPr>
              <w:jc w:val="left"/>
            </w:pPr>
            <w:r>
              <w:rPr>
                <w:b/>
                <w:i w:val="0"/>
                <w:color w:val="001F5B"/>
                <w:sz w:val="18"/>
              </w:rPr>
              <w:t>PBKDF2</w:t>
            </w:r>
          </w:p>
        </w:tc>
        <w:tc>
          <w:tcPr>
            <w:tcW w:type="dxa" w:w="4707"/>
            <w:shd w:val="clear" w:color="auto" w:fill="FFFFFF"/>
            <w:vAlign w:val="center"/>
          </w:tcPr>
          <w:p>
            <w:pPr>
              <w:jc w:val="left"/>
            </w:pPr>
            <w:r>
              <w:rPr>
                <w:b w:val="0"/>
                <w:i w:val="0"/>
                <w:color w:val="111827"/>
                <w:sz w:val="18"/>
              </w:rPr>
              <w:t>Password-Based Key Derivation Function 2 — NIST-approved cryptographic hash function for passwords.</w:t>
            </w:r>
          </w:p>
        </w:tc>
      </w:tr>
      <w:tr>
        <w:tc>
          <w:tcPr>
            <w:tcW w:type="dxa" w:w="4707"/>
            <w:shd w:val="clear" w:color="auto" w:fill="F3F4F6"/>
            <w:vAlign w:val="center"/>
          </w:tcPr>
          <w:p>
            <w:pPr>
              <w:jc w:val="left"/>
            </w:pPr>
            <w:r>
              <w:rPr>
                <w:b/>
                <w:i w:val="0"/>
                <w:color w:val="001F5B"/>
                <w:sz w:val="18"/>
              </w:rPr>
              <w:t>pymssql</w:t>
            </w:r>
          </w:p>
        </w:tc>
        <w:tc>
          <w:tcPr>
            <w:tcW w:type="dxa" w:w="4707"/>
            <w:shd w:val="clear" w:color="auto" w:fill="F3F4F6"/>
            <w:vAlign w:val="center"/>
          </w:tcPr>
          <w:p>
            <w:pPr>
              <w:jc w:val="left"/>
            </w:pPr>
            <w:r>
              <w:rPr>
                <w:b w:val="0"/>
                <w:i w:val="0"/>
                <w:color w:val="111827"/>
                <w:sz w:val="18"/>
              </w:rPr>
              <w:t>Python DB-API 2.0 library for connecting to Microsoft SQL Server using the TDS protocol.</w:t>
            </w:r>
          </w:p>
        </w:tc>
      </w:tr>
      <w:tr>
        <w:tc>
          <w:tcPr>
            <w:tcW w:type="dxa" w:w="4707"/>
            <w:shd w:val="clear" w:color="auto" w:fill="FFFFFF"/>
            <w:vAlign w:val="center"/>
          </w:tcPr>
          <w:p>
            <w:pPr>
              <w:jc w:val="left"/>
            </w:pPr>
            <w:r>
              <w:rPr>
                <w:b/>
                <w:i w:val="0"/>
                <w:color w:val="001F5B"/>
                <w:sz w:val="18"/>
              </w:rPr>
              <w:t>QR Code</w:t>
            </w:r>
          </w:p>
        </w:tc>
        <w:tc>
          <w:tcPr>
            <w:tcW w:type="dxa" w:w="4707"/>
            <w:shd w:val="clear" w:color="auto" w:fill="FFFFFF"/>
            <w:vAlign w:val="center"/>
          </w:tcPr>
          <w:p>
            <w:pPr>
              <w:jc w:val="left"/>
            </w:pPr>
            <w:r>
              <w:rPr>
                <w:b w:val="0"/>
                <w:i w:val="0"/>
                <w:color w:val="111827"/>
                <w:sz w:val="18"/>
              </w:rPr>
              <w:t>Quick Response Code — 2D barcode generated by FIRS encoding the IRN for physical invoice verification.</w:t>
            </w:r>
          </w:p>
        </w:tc>
      </w:tr>
      <w:tr>
        <w:tc>
          <w:tcPr>
            <w:tcW w:type="dxa" w:w="4707"/>
            <w:shd w:val="clear" w:color="auto" w:fill="F3F4F6"/>
            <w:vAlign w:val="center"/>
          </w:tcPr>
          <w:p>
            <w:pPr>
              <w:jc w:val="left"/>
            </w:pPr>
            <w:r>
              <w:rPr>
                <w:b/>
                <w:i w:val="0"/>
                <w:color w:val="001F5B"/>
                <w:sz w:val="18"/>
              </w:rPr>
              <w:t>RBAC</w:t>
            </w:r>
          </w:p>
        </w:tc>
        <w:tc>
          <w:tcPr>
            <w:tcW w:type="dxa" w:w="4707"/>
            <w:shd w:val="clear" w:color="auto" w:fill="F3F4F6"/>
            <w:vAlign w:val="center"/>
          </w:tcPr>
          <w:p>
            <w:pPr>
              <w:jc w:val="left"/>
            </w:pPr>
            <w:r>
              <w:rPr>
                <w:b w:val="0"/>
                <w:i w:val="0"/>
                <w:color w:val="111827"/>
                <w:sz w:val="18"/>
              </w:rPr>
              <w:t>Role-Based Access Control — permission model where users are granted capabilities via named roles.</w:t>
            </w:r>
          </w:p>
        </w:tc>
      </w:tr>
      <w:tr>
        <w:tc>
          <w:tcPr>
            <w:tcW w:type="dxa" w:w="4707"/>
            <w:shd w:val="clear" w:color="auto" w:fill="FFFFFF"/>
            <w:vAlign w:val="center"/>
          </w:tcPr>
          <w:p>
            <w:pPr>
              <w:jc w:val="left"/>
            </w:pPr>
            <w:r>
              <w:rPr>
                <w:b/>
                <w:i w:val="0"/>
                <w:color w:val="001F5B"/>
                <w:sz w:val="18"/>
              </w:rPr>
              <w:t>RTO</w:t>
            </w:r>
          </w:p>
        </w:tc>
        <w:tc>
          <w:tcPr>
            <w:tcW w:type="dxa" w:w="4707"/>
            <w:shd w:val="clear" w:color="auto" w:fill="FFFFFF"/>
            <w:vAlign w:val="center"/>
          </w:tcPr>
          <w:p>
            <w:pPr>
              <w:jc w:val="left"/>
            </w:pPr>
            <w:r>
              <w:rPr>
                <w:b w:val="0"/>
                <w:i w:val="0"/>
                <w:color w:val="111827"/>
                <w:sz w:val="18"/>
              </w:rPr>
              <w:t>Recovery Time Objective — maximum acceptable time to restore a system after failure.</w:t>
            </w:r>
          </w:p>
        </w:tc>
      </w:tr>
      <w:tr>
        <w:tc>
          <w:tcPr>
            <w:tcW w:type="dxa" w:w="4707"/>
            <w:shd w:val="clear" w:color="auto" w:fill="F3F4F6"/>
            <w:vAlign w:val="center"/>
          </w:tcPr>
          <w:p>
            <w:pPr>
              <w:jc w:val="left"/>
            </w:pPr>
            <w:r>
              <w:rPr>
                <w:b/>
                <w:i w:val="0"/>
                <w:color w:val="001F5B"/>
                <w:sz w:val="18"/>
              </w:rPr>
              <w:t>RPO</w:t>
            </w:r>
          </w:p>
        </w:tc>
        <w:tc>
          <w:tcPr>
            <w:tcW w:type="dxa" w:w="4707"/>
            <w:shd w:val="clear" w:color="auto" w:fill="F3F4F6"/>
            <w:vAlign w:val="center"/>
          </w:tcPr>
          <w:p>
            <w:pPr>
              <w:jc w:val="left"/>
            </w:pPr>
            <w:r>
              <w:rPr>
                <w:b w:val="0"/>
                <w:i w:val="0"/>
                <w:color w:val="111827"/>
                <w:sz w:val="18"/>
              </w:rPr>
              <w:t>Recovery Point Objective — maximum acceptable data loss measured in time.</w:t>
            </w:r>
          </w:p>
        </w:tc>
      </w:tr>
      <w:tr>
        <w:tc>
          <w:tcPr>
            <w:tcW w:type="dxa" w:w="4707"/>
            <w:shd w:val="clear" w:color="auto" w:fill="FFFFFF"/>
            <w:vAlign w:val="center"/>
          </w:tcPr>
          <w:p>
            <w:pPr>
              <w:jc w:val="left"/>
            </w:pPr>
            <w:r>
              <w:rPr>
                <w:b/>
                <w:i w:val="0"/>
                <w:color w:val="001F5B"/>
                <w:sz w:val="18"/>
              </w:rPr>
              <w:t>SAN</w:t>
            </w:r>
          </w:p>
        </w:tc>
        <w:tc>
          <w:tcPr>
            <w:tcW w:type="dxa" w:w="4707"/>
            <w:shd w:val="clear" w:color="auto" w:fill="FFFFFF"/>
            <w:vAlign w:val="center"/>
          </w:tcPr>
          <w:p>
            <w:pPr>
              <w:jc w:val="left"/>
            </w:pPr>
            <w:r>
              <w:rPr>
                <w:b w:val="0"/>
                <w:i w:val="0"/>
                <w:color w:val="111827"/>
                <w:sz w:val="18"/>
              </w:rPr>
              <w:t>Subject Alternative Name — X.509 certificate extension listing additional hostnames/IPs covered.</w:t>
            </w:r>
          </w:p>
        </w:tc>
      </w:tr>
      <w:tr>
        <w:tc>
          <w:tcPr>
            <w:tcW w:type="dxa" w:w="4707"/>
            <w:shd w:val="clear" w:color="auto" w:fill="F3F4F6"/>
            <w:vAlign w:val="center"/>
          </w:tcPr>
          <w:p>
            <w:pPr>
              <w:jc w:val="left"/>
            </w:pPr>
            <w:r>
              <w:rPr>
                <w:b/>
                <w:i w:val="0"/>
                <w:color w:val="001F5B"/>
                <w:sz w:val="18"/>
              </w:rPr>
              <w:t>TDS</w:t>
            </w:r>
          </w:p>
        </w:tc>
        <w:tc>
          <w:tcPr>
            <w:tcW w:type="dxa" w:w="4707"/>
            <w:shd w:val="clear" w:color="auto" w:fill="F3F4F6"/>
            <w:vAlign w:val="center"/>
          </w:tcPr>
          <w:p>
            <w:pPr>
              <w:jc w:val="left"/>
            </w:pPr>
            <w:r>
              <w:rPr>
                <w:b w:val="0"/>
                <w:i w:val="0"/>
                <w:color w:val="111827"/>
                <w:sz w:val="18"/>
              </w:rPr>
              <w:t>Tabular Data Stream — Microsoft's proprietary protocol for SQL Server communication.</w:t>
            </w:r>
          </w:p>
        </w:tc>
      </w:tr>
      <w:tr>
        <w:tc>
          <w:tcPr>
            <w:tcW w:type="dxa" w:w="4707"/>
            <w:shd w:val="clear" w:color="auto" w:fill="FFFFFF"/>
            <w:vAlign w:val="center"/>
          </w:tcPr>
          <w:p>
            <w:pPr>
              <w:jc w:val="left"/>
            </w:pPr>
            <w:r>
              <w:rPr>
                <w:b/>
                <w:i w:val="0"/>
                <w:color w:val="001F5B"/>
                <w:sz w:val="18"/>
              </w:rPr>
              <w:t>TLS</w:t>
            </w:r>
          </w:p>
        </w:tc>
        <w:tc>
          <w:tcPr>
            <w:tcW w:type="dxa" w:w="4707"/>
            <w:shd w:val="clear" w:color="auto" w:fill="FFFFFF"/>
            <w:vAlign w:val="center"/>
          </w:tcPr>
          <w:p>
            <w:pPr>
              <w:jc w:val="left"/>
            </w:pPr>
            <w:r>
              <w:rPr>
                <w:b w:val="0"/>
                <w:i w:val="0"/>
                <w:color w:val="111827"/>
                <w:sz w:val="18"/>
              </w:rPr>
              <w:t>Transport Layer Security — cryptographic protocol for securing network communication (HTTPS).</w:t>
            </w:r>
          </w:p>
        </w:tc>
      </w:tr>
      <w:tr>
        <w:tc>
          <w:tcPr>
            <w:tcW w:type="dxa" w:w="4707"/>
            <w:shd w:val="clear" w:color="auto" w:fill="F3F4F6"/>
            <w:vAlign w:val="center"/>
          </w:tcPr>
          <w:p>
            <w:pPr>
              <w:jc w:val="left"/>
            </w:pPr>
            <w:r>
              <w:rPr>
                <w:b/>
                <w:i w:val="0"/>
                <w:color w:val="001F5B"/>
                <w:sz w:val="18"/>
              </w:rPr>
              <w:t>VAPT</w:t>
            </w:r>
          </w:p>
        </w:tc>
        <w:tc>
          <w:tcPr>
            <w:tcW w:type="dxa" w:w="4707"/>
            <w:shd w:val="clear" w:color="auto" w:fill="F3F4F6"/>
            <w:vAlign w:val="center"/>
          </w:tcPr>
          <w:p>
            <w:pPr>
              <w:jc w:val="left"/>
            </w:pPr>
            <w:r>
              <w:rPr>
                <w:b w:val="0"/>
                <w:i w:val="0"/>
                <w:color w:val="111827"/>
                <w:sz w:val="18"/>
              </w:rPr>
              <w:t>Vulnerability Assessment and Penetration Testing — structured security evaluation methodology.</w:t>
            </w:r>
          </w:p>
        </w:tc>
      </w:tr>
      <w:tr>
        <w:tc>
          <w:tcPr>
            <w:tcW w:type="dxa" w:w="4707"/>
            <w:shd w:val="clear" w:color="auto" w:fill="FFFFFF"/>
            <w:vAlign w:val="center"/>
          </w:tcPr>
          <w:p>
            <w:pPr>
              <w:jc w:val="left"/>
            </w:pPr>
            <w:r>
              <w:rPr>
                <w:b/>
                <w:i w:val="0"/>
                <w:color w:val="001F5B"/>
                <w:sz w:val="18"/>
              </w:rPr>
              <w:t>VAT</w:t>
            </w:r>
          </w:p>
        </w:tc>
        <w:tc>
          <w:tcPr>
            <w:tcW w:type="dxa" w:w="4707"/>
            <w:shd w:val="clear" w:color="auto" w:fill="FFFFFF"/>
            <w:vAlign w:val="center"/>
          </w:tcPr>
          <w:p>
            <w:pPr>
              <w:jc w:val="left"/>
            </w:pPr>
            <w:r>
              <w:rPr>
                <w:b w:val="0"/>
                <w:i w:val="0"/>
                <w:color w:val="111827"/>
                <w:sz w:val="18"/>
              </w:rPr>
              <w:t>Value Added Tax — Nigeria rate 7.5% — applied on taxable service invoices submitted to FIRS.</w:t>
            </w:r>
          </w:p>
        </w:tc>
      </w:tr>
      <w:tr>
        <w:tc>
          <w:tcPr>
            <w:tcW w:type="dxa" w:w="4707"/>
            <w:shd w:val="clear" w:color="auto" w:fill="F3F4F6"/>
            <w:vAlign w:val="center"/>
          </w:tcPr>
          <w:p>
            <w:pPr>
              <w:jc w:val="left"/>
            </w:pPr>
            <w:r>
              <w:rPr>
                <w:b/>
                <w:i w:val="0"/>
                <w:color w:val="001F5B"/>
                <w:sz w:val="18"/>
              </w:rPr>
              <w:t>Werkzeug</w:t>
            </w:r>
          </w:p>
        </w:tc>
        <w:tc>
          <w:tcPr>
            <w:tcW w:type="dxa" w:w="4707"/>
            <w:shd w:val="clear" w:color="auto" w:fill="F3F4F6"/>
            <w:vAlign w:val="center"/>
          </w:tcPr>
          <w:p>
            <w:pPr>
              <w:jc w:val="left"/>
            </w:pPr>
            <w:r>
              <w:rPr>
                <w:b w:val="0"/>
                <w:i w:val="0"/>
                <w:color w:val="111827"/>
                <w:sz w:val="18"/>
              </w:rPr>
              <w:t>Python WSGI utility library that underpins Flask. Provides routing, request/response, and password hashing.</w:t>
            </w:r>
          </w:p>
        </w:tc>
      </w:tr>
      <w:tr>
        <w:tc>
          <w:tcPr>
            <w:tcW w:type="dxa" w:w="4707"/>
            <w:shd w:val="clear" w:color="auto" w:fill="FFFFFF"/>
            <w:vAlign w:val="center"/>
          </w:tcPr>
          <w:p>
            <w:pPr>
              <w:jc w:val="left"/>
            </w:pPr>
            <w:r>
              <w:rPr>
                <w:b/>
                <w:i w:val="0"/>
                <w:color w:val="001F5B"/>
                <w:sz w:val="18"/>
              </w:rPr>
              <w:t>WSGI</w:t>
            </w:r>
          </w:p>
        </w:tc>
        <w:tc>
          <w:tcPr>
            <w:tcW w:type="dxa" w:w="4707"/>
            <w:shd w:val="clear" w:color="auto" w:fill="FFFFFF"/>
            <w:vAlign w:val="center"/>
          </w:tcPr>
          <w:p>
            <w:pPr>
              <w:jc w:val="left"/>
            </w:pPr>
            <w:r>
              <w:rPr>
                <w:b w:val="0"/>
                <w:i w:val="0"/>
                <w:color w:val="111827"/>
                <w:sz w:val="18"/>
              </w:rPr>
              <w:t>Web Server Gateway Interface — Python standard (PEP 3333) defining how web servers and apps communicate.</w:t>
            </w:r>
          </w:p>
        </w:tc>
      </w:tr>
    </w:tbl>
    <w:p/>
    <w:p/>
    <w:p>
      <w:pPr>
        <w:jc w:val="center"/>
      </w:pPr>
      <w:r>
        <w:rPr>
          <w:i/>
          <w:color w:val="6B7280"/>
          <w:sz w:val="17"/>
        </w:rPr>
        <w:t>— END OF SYSTEM DESIGN SPECIFICATION —</w:t>
      </w:r>
    </w:p>
    <w:p>
      <w:pPr>
        <w:jc w:val="center"/>
      </w:pPr>
      <w:r>
        <w:rPr>
          <w:color w:val="6B7280"/>
          <w:sz w:val="15"/>
        </w:rPr>
        <w:t>Keystone Bank Limited  |  FIRS e-Invoice Compliance  |  KBL-FIRS-SDS-001  |  05 August 2026</w:t>
      </w:r>
    </w:p>
    <w:sectPr w:rsidR="00FC693F" w:rsidRPr="0006063C" w:rsidSect="00034616">
      <w:pgSz w:w="11909" w:h="16834"/>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