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075"/>
            <w:shd w:val="clear" w:color="auto" w:fill="001F5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KEYSTONE BANK LIMITED</w:t>
            </w:r>
          </w:p>
          <w:p>
            <w:pPr>
              <w:jc w:val="center"/>
            </w:pPr>
            <w:r>
              <w:rPr>
                <w:color w:val="BFD7FF"/>
                <w:sz w:val="26"/>
              </w:rPr>
              <w:t>FIRS e-Invoice Compliance System</w:t>
            </w:r>
          </w:p>
        </w:tc>
      </w:tr>
    </w:tbl>
    <w:p/>
    <w:p>
      <w:pPr>
        <w:jc w:val="center"/>
      </w:pPr>
      <w:r>
        <w:rPr>
          <w:b/>
          <w:color w:val="003087"/>
          <w:sz w:val="36"/>
        </w:rPr>
        <w:t>USER ACCEPTANCE TESTING (UAT)</w:t>
      </w:r>
    </w:p>
    <w:p>
      <w:pPr>
        <w:jc w:val="center"/>
      </w:pPr>
      <w:r>
        <w:rPr>
          <w:b/>
          <w:color w:val="003087"/>
          <w:sz w:val="36"/>
        </w:rPr>
        <w:t>SIGN-OFF DOCUMENT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5760"/>
      </w:tblGrid>
      <w:tr>
        <w:trPr>
          <w:trHeight w:val="425"/>
        </w:trPr>
        <w:tc>
          <w:tcPr>
            <w:tcW w:type="dxa" w:w="4537"/>
            <w:shd w:val="clear" w:color="auto" w:fill="F3F4F6"/>
            <w:vAlign w:val="center"/>
            <w:tcBorders>
              <w:top w:val="single" w:sz="4" w:color="D1D5DB"/>
              <w:bottom w:val="single" w:sz="4" w:color="D1D5DB"/>
              <w:left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Project</w:t>
            </w:r>
          </w:p>
        </w:tc>
        <w:tc>
          <w:tcPr>
            <w:tcW w:type="dxa" w:w="4537"/>
            <w:vAlign w:val="center"/>
            <w:tcBorders>
              <w:top w:val="single" w:sz="4" w:color="D1D5DB"/>
              <w:bottom w:val="single" w:sz="4" w:color="D1D5DB"/>
              <w:left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FIRS / NRS e-Invoice Compliance System</w:t>
            </w:r>
          </w:p>
        </w:tc>
      </w:tr>
      <w:tr>
        <w:trPr>
          <w:trHeight w:val="425"/>
        </w:trPr>
        <w:tc>
          <w:tcPr>
            <w:tcW w:type="dxa" w:w="4537"/>
            <w:shd w:val="clear" w:color="auto" w:fill="F3F4F6"/>
            <w:vAlign w:val="center"/>
            <w:tcBorders>
              <w:top w:val="single" w:sz="4" w:color="D1D5DB"/>
              <w:bottom w:val="single" w:sz="4" w:color="D1D5DB"/>
              <w:left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Document Ref</w:t>
            </w:r>
          </w:p>
        </w:tc>
        <w:tc>
          <w:tcPr>
            <w:tcW w:type="dxa" w:w="4537"/>
            <w:vAlign w:val="center"/>
            <w:tcBorders>
              <w:top w:val="single" w:sz="4" w:color="D1D5DB"/>
              <w:bottom w:val="single" w:sz="4" w:color="D1D5DB"/>
              <w:left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KBL-FIRS-UAT-SIGNOFF-001</w:t>
            </w:r>
          </w:p>
        </w:tc>
      </w:tr>
      <w:tr>
        <w:trPr>
          <w:trHeight w:val="425"/>
        </w:trPr>
        <w:tc>
          <w:tcPr>
            <w:tcW w:type="dxa" w:w="4537"/>
            <w:shd w:val="clear" w:color="auto" w:fill="F3F4F6"/>
            <w:vAlign w:val="center"/>
            <w:tcBorders>
              <w:top w:val="single" w:sz="4" w:color="D1D5DB"/>
              <w:bottom w:val="single" w:sz="4" w:color="D1D5DB"/>
              <w:left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Version</w:t>
            </w:r>
          </w:p>
        </w:tc>
        <w:tc>
          <w:tcPr>
            <w:tcW w:type="dxa" w:w="4537"/>
            <w:vAlign w:val="center"/>
            <w:tcBorders>
              <w:top w:val="single" w:sz="4" w:color="D1D5DB"/>
              <w:bottom w:val="single" w:sz="4" w:color="D1D5DB"/>
              <w:left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1.0</w:t>
            </w:r>
          </w:p>
        </w:tc>
      </w:tr>
      <w:tr>
        <w:trPr>
          <w:trHeight w:val="425"/>
        </w:trPr>
        <w:tc>
          <w:tcPr>
            <w:tcW w:type="dxa" w:w="4537"/>
            <w:shd w:val="clear" w:color="auto" w:fill="F3F4F6"/>
            <w:vAlign w:val="center"/>
            <w:tcBorders>
              <w:top w:val="single" w:sz="4" w:color="D1D5DB"/>
              <w:bottom w:val="single" w:sz="4" w:color="D1D5DB"/>
              <w:left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Date</w:t>
            </w:r>
          </w:p>
        </w:tc>
        <w:tc>
          <w:tcPr>
            <w:tcW w:type="dxa" w:w="4537"/>
            <w:vAlign w:val="center"/>
            <w:tcBorders>
              <w:top w:val="single" w:sz="4" w:color="D1D5DB"/>
              <w:bottom w:val="single" w:sz="4" w:color="D1D5DB"/>
              <w:left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29 July 2026</w:t>
            </w:r>
          </w:p>
        </w:tc>
      </w:tr>
      <w:tr>
        <w:trPr>
          <w:trHeight w:val="425"/>
        </w:trPr>
        <w:tc>
          <w:tcPr>
            <w:tcW w:type="dxa" w:w="4537"/>
            <w:shd w:val="clear" w:color="auto" w:fill="F3F4F6"/>
            <w:vAlign w:val="center"/>
            <w:tcBorders>
              <w:top w:val="single" w:sz="4" w:color="D1D5DB"/>
              <w:bottom w:val="single" w:sz="4" w:color="D1D5DB"/>
              <w:left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Classification</w:t>
            </w:r>
          </w:p>
        </w:tc>
        <w:tc>
          <w:tcPr>
            <w:tcW w:type="dxa" w:w="4537"/>
            <w:vAlign w:val="center"/>
            <w:tcBorders>
              <w:top w:val="single" w:sz="4" w:color="D1D5DB"/>
              <w:bottom w:val="single" w:sz="4" w:color="D1D5DB"/>
              <w:left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CONFIDENTIAL</w:t>
            </w:r>
          </w:p>
        </w:tc>
      </w:tr>
      <w:tr>
        <w:trPr>
          <w:trHeight w:val="425"/>
        </w:trPr>
        <w:tc>
          <w:tcPr>
            <w:tcW w:type="dxa" w:w="4537"/>
            <w:shd w:val="clear" w:color="auto" w:fill="F3F4F6"/>
            <w:vAlign w:val="center"/>
            <w:tcBorders>
              <w:top w:val="single" w:sz="4" w:color="D1D5DB"/>
              <w:bottom w:val="single" w:sz="4" w:color="D1D5DB"/>
              <w:left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Environment</w:t>
            </w:r>
          </w:p>
        </w:tc>
        <w:tc>
          <w:tcPr>
            <w:tcW w:type="dxa" w:w="4537"/>
            <w:vAlign w:val="center"/>
            <w:tcBorders>
              <w:top w:val="single" w:sz="4" w:color="D1D5DB"/>
              <w:bottom w:val="single" w:sz="4" w:color="D1D5DB"/>
              <w:left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PREPROD â†’ PRODUCTION</w:t>
            </w:r>
          </w:p>
        </w:tc>
      </w:tr>
    </w:tbl>
    <w:p/>
    <w:p/>
    <w:p>
      <w:pPr>
        <w:jc w:val="center"/>
      </w:pPr>
      <w:r>
        <w:rPr>
          <w:i/>
          <w:color w:val="6B7280"/>
          <w:sz w:val="18"/>
        </w:rPr>
        <w:t>Prepared by: Cryptware Systems Ltd  |  For: Keystone Bank Limited</w:t>
      </w:r>
    </w:p>
    <w:p>
      <w:r>
        <w:br w:type="page"/>
      </w:r>
    </w:p>
    <w:p>
      <w:pPr>
        <w:spacing w:before="240" w:after="80"/>
        <w:pBdr>
          <w:bottom w:val="single" w:sz="8" w:space="2" w:color="003087"/>
        </w:pBdr>
      </w:pPr>
      <w:r>
        <w:rPr>
          <w:b/>
          <w:color w:val="003087"/>
          <w:sz w:val="26"/>
        </w:rPr>
        <w:t>1. Document Control</w:t>
      </w:r>
    </w:p>
    <w:p>
      <w:pPr>
        <w:spacing w:before="240" w:after="80"/>
      </w:pPr>
      <w:r>
        <w:rPr>
          <w:b/>
          <w:color w:val="003087"/>
          <w:sz w:val="22"/>
        </w:rPr>
        <w:t>1.1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5"/>
        <w:gridCol w:w="1815"/>
        <w:gridCol w:w="1815"/>
        <w:gridCol w:w="1815"/>
        <w:gridCol w:w="1815"/>
      </w:tblGrid>
      <w:tr>
        <w:tc>
          <w:tcPr>
            <w:tcW w:type="dxa" w:w="100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58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160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0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Reviewed By</w:t>
            </w:r>
          </w:p>
        </w:tc>
        <w:tc>
          <w:tcPr>
            <w:tcW w:type="dxa" w:w="2880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0.1</w:t>
            </w:r>
          </w:p>
        </w:tc>
        <w:tc>
          <w:tcPr>
            <w:tcW w:type="dxa" w:w="18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29 July 2026</w:t>
            </w:r>
          </w:p>
        </w:tc>
        <w:tc>
          <w:tcPr>
            <w:tcW w:type="dxa" w:w="18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Cryptware Systems</w:t>
            </w:r>
          </w:p>
        </w:tc>
        <w:tc>
          <w:tcPr>
            <w:tcW w:type="dxa" w:w="18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â€”</w:t>
            </w:r>
          </w:p>
        </w:tc>
        <w:tc>
          <w:tcPr>
            <w:tcW w:type="dxa" w:w="18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Initial draft</w:t>
            </w:r>
          </w:p>
        </w:tc>
      </w:tr>
      <w:tr>
        <w:tc>
          <w:tcPr>
            <w:tcW w:type="dxa" w:w="1815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815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29 July 2026</w:t>
            </w:r>
          </w:p>
        </w:tc>
        <w:tc>
          <w:tcPr>
            <w:tcW w:type="dxa" w:w="1815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Cryptware Systems</w:t>
            </w:r>
          </w:p>
        </w:tc>
        <w:tc>
          <w:tcPr>
            <w:tcW w:type="dxa" w:w="1815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Keystone Bank PMO</w:t>
            </w:r>
          </w:p>
        </w:tc>
        <w:tc>
          <w:tcPr>
            <w:tcW w:type="dxa" w:w="1815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Final â€” UAT sign-off</w:t>
            </w:r>
          </w:p>
        </w:tc>
      </w:tr>
    </w:tbl>
    <w:p>
      <w:pPr>
        <w:spacing w:before="240" w:after="80"/>
      </w:pPr>
      <w:r>
        <w:rPr>
          <w:b/>
          <w:color w:val="003087"/>
          <w:sz w:val="22"/>
        </w:rPr>
        <w:t>1.2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403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 / Role</w:t>
            </w:r>
          </w:p>
        </w:tc>
        <w:tc>
          <w:tcPr>
            <w:tcW w:type="dxa" w:w="3456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Organisation</w:t>
            </w:r>
          </w:p>
        </w:tc>
        <w:tc>
          <w:tcPr>
            <w:tcW w:type="dxa" w:w="187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Copy</w:t>
            </w:r>
          </w:p>
        </w:tc>
      </w:tr>
      <w:tr>
        <w:tc>
          <w:tcPr>
            <w:tcW w:type="dxa" w:w="302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Department Head â€” Enterprise PMO</w:t>
            </w:r>
          </w:p>
        </w:tc>
        <w:tc>
          <w:tcPr>
            <w:tcW w:type="dxa" w:w="302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Keystone Bank Ltd</w:t>
            </w:r>
          </w:p>
        </w:tc>
        <w:tc>
          <w:tcPr>
            <w:tcW w:type="dxa" w:w="302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Controlled</w:t>
            </w:r>
          </w:p>
        </w:tc>
      </w:tr>
      <w:tr>
        <w:tc>
          <w:tcPr>
            <w:tcW w:type="dxa" w:w="3025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Head of Information Security</w:t>
            </w:r>
          </w:p>
        </w:tc>
        <w:tc>
          <w:tcPr>
            <w:tcW w:type="dxa" w:w="3025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Keystone Bank Ltd</w:t>
            </w:r>
          </w:p>
        </w:tc>
        <w:tc>
          <w:tcPr>
            <w:tcW w:type="dxa" w:w="3025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Controlled</w:t>
            </w:r>
          </w:p>
        </w:tc>
      </w:tr>
      <w:tr>
        <w:tc>
          <w:tcPr>
            <w:tcW w:type="dxa" w:w="302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Finance / Tax Compliance Manager</w:t>
            </w:r>
          </w:p>
        </w:tc>
        <w:tc>
          <w:tcPr>
            <w:tcW w:type="dxa" w:w="302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Keystone Bank Ltd</w:t>
            </w:r>
          </w:p>
        </w:tc>
        <w:tc>
          <w:tcPr>
            <w:tcW w:type="dxa" w:w="302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Controlled</w:t>
            </w:r>
          </w:p>
        </w:tc>
      </w:tr>
      <w:tr>
        <w:tc>
          <w:tcPr>
            <w:tcW w:type="dxa" w:w="3025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Project Manager</w:t>
            </w:r>
          </w:p>
        </w:tc>
        <w:tc>
          <w:tcPr>
            <w:tcW w:type="dxa" w:w="3025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Cryptware Systems Ltd</w:t>
            </w:r>
          </w:p>
        </w:tc>
        <w:tc>
          <w:tcPr>
            <w:tcW w:type="dxa" w:w="3025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Controlled</w:t>
            </w:r>
          </w:p>
        </w:tc>
      </w:tr>
    </w:tbl>
    <w:p>
      <w:r>
        <w:br w:type="page"/>
      </w:r>
    </w:p>
    <w:p>
      <w:pPr>
        <w:spacing w:before="240" w:after="80"/>
        <w:pBdr>
          <w:bottom w:val="single" w:sz="8" w:space="2" w:color="003087"/>
        </w:pBdr>
      </w:pPr>
      <w:r>
        <w:rPr>
          <w:b/>
          <w:color w:val="003087"/>
          <w:sz w:val="26"/>
        </w:rPr>
        <w:t>2. Project Overview</w:t>
      </w:r>
    </w:p>
    <w:p>
      <w:pPr>
        <w:spacing w:before="240" w:after="80"/>
      </w:pPr>
      <w:r>
        <w:rPr>
          <w:b/>
          <w:color w:val="003087"/>
          <w:sz w:val="22"/>
        </w:rPr>
        <w:t>2.1 Background</w:t>
      </w:r>
    </w:p>
    <w:p>
      <w:pPr>
        <w:spacing w:before="0" w:after="80"/>
      </w:pPr>
      <w:r>
        <w:rPr>
          <w:b w:val="0"/>
          <w:i w:val="0"/>
          <w:color w:val="000000"/>
          <w:sz w:val="20"/>
        </w:rPr>
        <w:t>The Federal Inland Revenue Service (FIRS) has mandated that all Tier-1 and Tier-2 financial institutions in Nigeria implement electronic invoicing (e-invoicing) in compliance with the National Revenue Service (NRS) framework. Keystone Bank Limited engaged Cryptware Systems Ltd to design, develop, and deploy a fully automated FIRS e-Invoice Compliance Agent that integrates with the Bank's existing ERP/core banking system.</w:t>
      </w:r>
    </w:p>
    <w:p>
      <w:pPr>
        <w:spacing w:before="240" w:after="80"/>
      </w:pPr>
      <w:r>
        <w:rPr>
          <w:b/>
          <w:color w:val="003087"/>
          <w:sz w:val="22"/>
        </w:rPr>
        <w:t>2.2 System Components</w:t>
      </w:r>
    </w:p>
    <w:p>
      <w:pPr>
        <w:pStyle w:val="ListBullet"/>
        <w:spacing w:before="20" w:after="20"/>
      </w:pPr>
      <w:r>
        <w:rPr>
          <w:sz w:val="19"/>
        </w:rPr>
        <w:t>Invoice Data Extraction â€” automated pull from the FIRSINVOICEDB SQL Server database</w:t>
      </w:r>
    </w:p>
    <w:p>
      <w:pPr>
        <w:pStyle w:val="ListBullet"/>
        <w:spacing w:before="20" w:after="20"/>
      </w:pPr>
      <w:r>
        <w:rPr>
          <w:sz w:val="19"/>
        </w:rPr>
        <w:t>Payload Transformation â€” maps ERP records to FIRS-compliant JSON (UBL 2.1 schema)</w:t>
      </w:r>
    </w:p>
    <w:p>
      <w:pPr>
        <w:pStyle w:val="ListBullet"/>
        <w:spacing w:before="20" w:after="20"/>
      </w:pPr>
      <w:r>
        <w:rPr>
          <w:sz w:val="19"/>
        </w:rPr>
        <w:t>FIRS API Integration â€” Cryptware PREPROD/PROD REST API, authenticated via X-Api-Key</w:t>
      </w:r>
    </w:p>
    <w:p>
      <w:pPr>
        <w:pStyle w:val="ListBullet"/>
        <w:spacing w:before="20" w:after="20"/>
      </w:pPr>
      <w:r>
        <w:rPr>
          <w:sz w:val="19"/>
        </w:rPr>
        <w:t>IRN &amp; QR Code Storage â€” API response data persisted back to dbo.REPORT</w:t>
      </w:r>
    </w:p>
    <w:p>
      <w:pPr>
        <w:pStyle w:val="ListBullet"/>
        <w:spacing w:before="20" w:after="20"/>
      </w:pPr>
      <w:r>
        <w:rPr>
          <w:sz w:val="19"/>
        </w:rPr>
        <w:t>Scheduler Service â€” APScheduler-based daemon executing every 5 minutes</w:t>
      </w:r>
    </w:p>
    <w:p>
      <w:pPr>
        <w:pStyle w:val="ListBullet"/>
        <w:spacing w:before="20" w:after="20"/>
      </w:pPr>
      <w:r>
        <w:rPr>
          <w:sz w:val="19"/>
        </w:rPr>
        <w:t>Compliance Dashboard â€” Flask web portal with RBAC, invoice search, PDF/Excel exports</w:t>
      </w:r>
    </w:p>
    <w:p>
      <w:pPr>
        <w:pStyle w:val="ListBullet"/>
        <w:spacing w:before="20" w:after="20"/>
      </w:pPr>
      <w:r>
        <w:rPr>
          <w:sz w:val="19"/>
        </w:rPr>
        <w:t>Reporting Module â€” CFO-level summary with currency, VAT, and invoice-type analytics</w:t>
      </w:r>
    </w:p>
    <w:p>
      <w:pPr>
        <w:pStyle w:val="ListBullet"/>
        <w:spacing w:before="20" w:after="20"/>
      </w:pPr>
      <w:r>
        <w:rPr>
          <w:sz w:val="19"/>
        </w:rPr>
        <w:t>User Management â€” Role-based access control (Administrator, Manager, Operator, Viewer)</w:t>
      </w:r>
    </w:p>
    <w:p>
      <w:pPr>
        <w:spacing w:before="240" w:after="80"/>
      </w:pPr>
      <w:r>
        <w:rPr>
          <w:b/>
          <w:color w:val="003087"/>
          <w:sz w:val="22"/>
        </w:rPr>
        <w:t>2.3 UAT Objectives</w:t>
      </w:r>
    </w:p>
    <w:p>
      <w:pPr>
        <w:spacing w:before="0" w:after="80"/>
      </w:pPr>
      <w:r>
        <w:rPr>
          <w:b w:val="0"/>
          <w:i w:val="0"/>
          <w:color w:val="000000"/>
          <w:sz w:val="20"/>
        </w:rPr>
        <w:t>This document records the outcome of User Acceptance Testing (UAT) conducted to verify that:</w:t>
      </w:r>
    </w:p>
    <w:p>
      <w:pPr>
        <w:pStyle w:val="ListBullet"/>
        <w:spacing w:before="20" w:after="20"/>
      </w:pPr>
      <w:r>
        <w:rPr>
          <w:sz w:val="19"/>
        </w:rPr>
        <w:t>All functional requirements defined in the System Requirements Specification are met</w:t>
      </w:r>
    </w:p>
    <w:p>
      <w:pPr>
        <w:pStyle w:val="ListBullet"/>
        <w:spacing w:before="20" w:after="20"/>
      </w:pPr>
      <w:r>
        <w:rPr>
          <w:sz w:val="19"/>
        </w:rPr>
        <w:t>Invoice data is correctly extracted, transformed, and submitted to the FIRS/NRS portal</w:t>
      </w:r>
    </w:p>
    <w:p>
      <w:pPr>
        <w:pStyle w:val="ListBullet"/>
        <w:spacing w:before="20" w:after="20"/>
      </w:pPr>
      <w:r>
        <w:rPr>
          <w:sz w:val="19"/>
        </w:rPr>
        <w:t>IRN and QR codes are correctly received and stored for each submitted invoice</w:t>
      </w:r>
    </w:p>
    <w:p>
      <w:pPr>
        <w:pStyle w:val="ListBullet"/>
        <w:spacing w:before="20" w:after="20"/>
      </w:pPr>
      <w:r>
        <w:rPr>
          <w:sz w:val="19"/>
        </w:rPr>
        <w:t>The compliance dashboard accurately reflects submission status and financial data</w:t>
      </w:r>
    </w:p>
    <w:p>
      <w:pPr>
        <w:pStyle w:val="ListBullet"/>
        <w:spacing w:before="20" w:after="20"/>
      </w:pPr>
      <w:r>
        <w:rPr>
          <w:sz w:val="19"/>
        </w:rPr>
        <w:t>Role-based access controls are enforced across all system functions</w:t>
      </w:r>
    </w:p>
    <w:p>
      <w:pPr>
        <w:pStyle w:val="ListBullet"/>
        <w:spacing w:before="20" w:after="20"/>
      </w:pPr>
      <w:r>
        <w:rPr>
          <w:sz w:val="19"/>
        </w:rPr>
        <w:t>Security controls meet Keystone Bank Information Security requirements (per VAPT findings)</w:t>
      </w:r>
    </w:p>
    <w:p>
      <w:pPr>
        <w:pStyle w:val="ListBullet"/>
        <w:spacing w:before="20" w:after="20"/>
      </w:pPr>
      <w:r>
        <w:rPr>
          <w:sz w:val="19"/>
        </w:rPr>
        <w:t>The system is ready for promotion to the PRODUCTION environment</w:t>
      </w:r>
    </w:p>
    <w:p>
      <w:r>
        <w:br w:type="page"/>
      </w:r>
    </w:p>
    <w:p>
      <w:pPr>
        <w:spacing w:before="240" w:after="80"/>
        <w:pBdr>
          <w:bottom w:val="single" w:sz="8" w:space="2" w:color="003087"/>
        </w:pBdr>
      </w:pPr>
      <w:r>
        <w:rPr>
          <w:b/>
          <w:color w:val="003087"/>
          <w:sz w:val="26"/>
        </w:rPr>
        <w:t>3. Test Scope</w:t>
      </w:r>
    </w:p>
    <w:p>
      <w:pPr>
        <w:spacing w:before="240" w:after="80"/>
      </w:pPr>
      <w:r>
        <w:rPr>
          <w:b/>
          <w:color w:val="003087"/>
          <w:sz w:val="22"/>
        </w:rPr>
        <w:t>3.1 In Scope</w:t>
      </w:r>
    </w:p>
    <w:p>
      <w:pPr>
        <w:pStyle w:val="ListBullet"/>
        <w:spacing w:before="20" w:after="20"/>
      </w:pPr>
      <w:r>
        <w:rPr>
          <w:sz w:val="19"/>
        </w:rPr>
        <w:t>Invoice submission to FIRS PREPROD API endpoint</w:t>
      </w:r>
    </w:p>
    <w:p>
      <w:pPr>
        <w:pStyle w:val="ListBullet"/>
        <w:spacing w:before="20" w:after="20"/>
      </w:pPr>
      <w:r>
        <w:rPr>
          <w:sz w:val="19"/>
        </w:rPr>
        <w:t>HSN code format validation and transformation</w:t>
      </w:r>
    </w:p>
    <w:p>
      <w:pPr>
        <w:pStyle w:val="ListBullet"/>
        <w:spacing w:before="20" w:after="20"/>
      </w:pPr>
      <w:r>
        <w:rPr>
          <w:sz w:val="19"/>
        </w:rPr>
        <w:t>Currency handling â€” NGN, USD, GBP, EUR</w:t>
      </w:r>
    </w:p>
    <w:p>
      <w:pPr>
        <w:pStyle w:val="ListBullet"/>
        <w:spacing w:before="20" w:after="20"/>
      </w:pPr>
      <w:r>
        <w:rPr>
          <w:sz w:val="19"/>
        </w:rPr>
        <w:t>B2B and B2C invoice classification logic</w:t>
      </w:r>
    </w:p>
    <w:p>
      <w:pPr>
        <w:pStyle w:val="ListBullet"/>
        <w:spacing w:before="20" w:after="20"/>
      </w:pPr>
      <w:r>
        <w:rPr>
          <w:sz w:val="19"/>
        </w:rPr>
        <w:t>IRN and QR code retrieval and storage</w:t>
      </w:r>
    </w:p>
    <w:p>
      <w:pPr>
        <w:pStyle w:val="ListBullet"/>
        <w:spacing w:before="20" w:after="20"/>
      </w:pPr>
      <w:r>
        <w:rPr>
          <w:sz w:val="19"/>
        </w:rPr>
        <w:t>Dashboard: invoice listing, search, filtering, pagination</w:t>
      </w:r>
    </w:p>
    <w:p>
      <w:pPr>
        <w:pStyle w:val="ListBullet"/>
        <w:spacing w:before="20" w:after="20"/>
      </w:pPr>
      <w:r>
        <w:rPr>
          <w:sz w:val="19"/>
        </w:rPr>
        <w:t>Dashboard: invoice detail view, print view, PDF download</w:t>
      </w:r>
    </w:p>
    <w:p>
      <w:pPr>
        <w:pStyle w:val="ListBullet"/>
        <w:spacing w:before="20" w:after="20"/>
      </w:pPr>
      <w:r>
        <w:rPr>
          <w:sz w:val="19"/>
        </w:rPr>
        <w:t>Dashboard: manual Post-to-FIRS button</w:t>
      </w:r>
    </w:p>
    <w:p>
      <w:pPr>
        <w:pStyle w:val="ListBullet"/>
        <w:spacing w:before="20" w:after="20"/>
      </w:pPr>
      <w:r>
        <w:rPr>
          <w:sz w:val="19"/>
        </w:rPr>
        <w:t>Dashboard: Report module with Excel export</w:t>
      </w:r>
    </w:p>
    <w:p>
      <w:pPr>
        <w:pStyle w:val="ListBullet"/>
        <w:spacing w:before="20" w:after="20"/>
      </w:pPr>
      <w:r>
        <w:rPr>
          <w:sz w:val="19"/>
        </w:rPr>
        <w:t>User authentication â€” login, session management, logout</w:t>
      </w:r>
    </w:p>
    <w:p>
      <w:pPr>
        <w:pStyle w:val="ListBullet"/>
        <w:spacing w:before="20" w:after="20"/>
      </w:pPr>
      <w:r>
        <w:rPr>
          <w:sz w:val="19"/>
        </w:rPr>
        <w:t>Role-based access control for all four roles</w:t>
      </w:r>
    </w:p>
    <w:p>
      <w:pPr>
        <w:pStyle w:val="ListBullet"/>
        <w:spacing w:before="20" w:after="20"/>
      </w:pPr>
      <w:r>
        <w:rPr>
          <w:sz w:val="19"/>
        </w:rPr>
        <w:t>Session inactivity timeout (15 minutes)</w:t>
      </w:r>
    </w:p>
    <w:p>
      <w:pPr>
        <w:pStyle w:val="ListBullet"/>
        <w:spacing w:before="20" w:after="20"/>
      </w:pPr>
      <w:r>
        <w:rPr>
          <w:sz w:val="19"/>
        </w:rPr>
        <w:t>Login rate limiting (lockout after 5 failed attempts)</w:t>
      </w:r>
    </w:p>
    <w:p>
      <w:pPr>
        <w:pStyle w:val="ListBullet"/>
        <w:spacing w:before="20" w:after="20"/>
      </w:pPr>
      <w:r>
        <w:rPr>
          <w:sz w:val="19"/>
        </w:rPr>
        <w:t>Password complexity enforcement</w:t>
      </w:r>
    </w:p>
    <w:p>
      <w:pPr>
        <w:pStyle w:val="ListBullet"/>
        <w:spacing w:before="20" w:after="20"/>
      </w:pPr>
      <w:r>
        <w:rPr>
          <w:sz w:val="19"/>
        </w:rPr>
        <w:t>HTTPS/TLS encryption on all endpoints</w:t>
      </w:r>
    </w:p>
    <w:p>
      <w:pPr>
        <w:spacing w:before="240" w:after="80"/>
      </w:pPr>
      <w:r>
        <w:rPr>
          <w:b/>
          <w:color w:val="003087"/>
          <w:sz w:val="22"/>
        </w:rPr>
        <w:t>3.2 Out of Scope</w:t>
      </w:r>
    </w:p>
    <w:p>
      <w:pPr>
        <w:pStyle w:val="ListBullet"/>
        <w:spacing w:before="20" w:after="20"/>
      </w:pPr>
      <w:r>
        <w:rPr>
          <w:sz w:val="19"/>
        </w:rPr>
        <w:t>PRODUCTION API endpoint testing (deferred to go-live)</w:t>
      </w:r>
    </w:p>
    <w:p>
      <w:pPr>
        <w:pStyle w:val="ListBullet"/>
        <w:spacing w:before="20" w:after="20"/>
      </w:pPr>
      <w:r>
        <w:rPr>
          <w:sz w:val="19"/>
        </w:rPr>
        <w:t>Performance / load testing beyond standard operational volumes</w:t>
      </w:r>
    </w:p>
    <w:p>
      <w:pPr>
        <w:pStyle w:val="ListBullet"/>
        <w:spacing w:before="20" w:after="20"/>
      </w:pPr>
      <w:r>
        <w:rPr>
          <w:sz w:val="19"/>
        </w:rPr>
        <w:t>Core banking system (ERP) integration testing â€” ERP side is out of scope</w:t>
      </w:r>
    </w:p>
    <w:p>
      <w:pPr>
        <w:pStyle w:val="ListBullet"/>
        <w:spacing w:before="20" w:after="20"/>
      </w:pPr>
      <w:r>
        <w:rPr>
          <w:sz w:val="19"/>
        </w:rPr>
        <w:t>Disaster recovery and business continuity procedures</w:t>
      </w:r>
    </w:p>
    <w:p>
      <w:pPr>
        <w:spacing w:before="240" w:after="80"/>
      </w:pPr>
      <w:r>
        <w:rPr>
          <w:b/>
          <w:color w:val="003087"/>
          <w:sz w:val="22"/>
        </w:rPr>
        <w:t>3.3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6048"/>
      </w:tblGrid>
      <w:tr>
        <w:tc>
          <w:tcPr>
            <w:tcW w:type="dxa" w:w="453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Application Server</w:t>
            </w:r>
          </w:p>
        </w:tc>
        <w:tc>
          <w:tcPr>
            <w:tcW w:type="dxa" w:w="4537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Windows Server 2019 â€” 10.40.24.41</w:t>
            </w:r>
          </w:p>
        </w:tc>
      </w:tr>
      <w:tr>
        <w:tc>
          <w:tcPr>
            <w:tcW w:type="dxa" w:w="4537"/>
            <w:shd w:val="clear" w:color="auto" w:fill="FFFFFF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Dashboard URL</w:t>
            </w:r>
          </w:p>
        </w:tc>
        <w:tc>
          <w:tcPr>
            <w:tcW w:type="dxa" w:w="453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https://10.40.24.41:5443</w:t>
            </w:r>
          </w:p>
        </w:tc>
      </w:tr>
      <w:tr>
        <w:tc>
          <w:tcPr>
            <w:tcW w:type="dxa" w:w="4537"/>
            <w:shd w:val="clear" w:color="auto" w:fill="F3F4F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Database Server</w:t>
            </w:r>
          </w:p>
        </w:tc>
        <w:tc>
          <w:tcPr>
            <w:tcW w:type="dxa" w:w="453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KBL-FIRS-SVR â€” FIRSINVOICEDB (SQL Server)</w:t>
            </w:r>
          </w:p>
        </w:tc>
      </w:tr>
      <w:tr>
        <w:tc>
          <w:tcPr>
            <w:tcW w:type="dxa" w:w="4537"/>
            <w:shd w:val="clear" w:color="auto" w:fill="FFFFFF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FIRS API Endpoint</w:t>
            </w:r>
          </w:p>
        </w:tc>
        <w:tc>
          <w:tcPr>
            <w:tcW w:type="dxa" w:w="453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https://preprod-api.cryptwaresystemsltd.com</w:t>
            </w:r>
          </w:p>
        </w:tc>
      </w:tr>
      <w:tr>
        <w:tc>
          <w:tcPr>
            <w:tcW w:type="dxa" w:w="4537"/>
            <w:shd w:val="clear" w:color="auto" w:fill="F3F4F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Environment Label</w:t>
            </w:r>
          </w:p>
        </w:tc>
        <w:tc>
          <w:tcPr>
            <w:tcW w:type="dxa" w:w="453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PREPROD</w:t>
            </w:r>
          </w:p>
        </w:tc>
      </w:tr>
      <w:tr>
        <w:tc>
          <w:tcPr>
            <w:tcW w:type="dxa" w:w="4537"/>
            <w:shd w:val="clear" w:color="auto" w:fill="FFFFFF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19"/>
              </w:rPr>
              <w:t>Test Data</w:t>
            </w:r>
          </w:p>
        </w:tc>
        <w:tc>
          <w:tcPr>
            <w:tcW w:type="dxa" w:w="4537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3,436 live invoice records from ERP (BOOKING_DATE: 2026-01-08)</w:t>
            </w:r>
          </w:p>
        </w:tc>
      </w:tr>
    </w:tbl>
    <w:p>
      <w:r>
        <w:br w:type="page"/>
      </w:r>
    </w:p>
    <w:p>
      <w:pPr>
        <w:spacing w:before="240" w:after="80"/>
        <w:pBdr>
          <w:bottom w:val="single" w:sz="8" w:space="2" w:color="003087"/>
        </w:pBdr>
      </w:pPr>
      <w:r>
        <w:rPr>
          <w:b/>
          <w:color w:val="003087"/>
          <w:sz w:val="26"/>
        </w:rPr>
        <w:t>4. Test Cases and Results</w:t>
      </w:r>
    </w:p>
    <w:p>
      <w:pPr>
        <w:spacing w:before="0" w:after="80"/>
      </w:pPr>
      <w:r>
        <w:rPr>
          <w:b w:val="0"/>
          <w:i w:val="0"/>
          <w:color w:val="000000"/>
          <w:sz w:val="20"/>
        </w:rPr>
        <w:t>The following test cases were executed during the UAT phase. Results are recorded as PASS, FAIL, or N/A. All critical (P1) and high (P2) defects must be resolved prior to sign-off.</w:t>
      </w:r>
    </w:p>
    <w:p/>
    <w:p>
      <w:pPr>
        <w:spacing w:before="200" w:after="80"/>
      </w:pPr>
      <w:r>
        <w:rPr>
          <w:b/>
          <w:color w:val="003087"/>
          <w:sz w:val="22"/>
        </w:rPr>
        <w:t>4.1 Invoice Submission to FIRS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86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016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9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Steps (Summary)</w:t>
            </w:r>
          </w:p>
        </w:tc>
        <w:tc>
          <w:tcPr>
            <w:tcW w:type="dxa" w:w="187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87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100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86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TC-001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Submit single NGN invoice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Trigger scheduler</w:t>
              <w:br/>
              <w:t>2. Select pending NGN invoice</w:t>
              <w:br/>
              <w:t>3. Check API response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HTTP 201; IRN generated; REPORTING_STATUS = 1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HTTP 201; IRN stored; status updated to Submitted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TC-002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Submit USD invoice with correct currency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Select USD invoice</w:t>
              <w:br/>
              <w:t>2. Post to FIRS</w:t>
              <w:br/>
              <w:t>3. Verify payload currency field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Payload contains CURRENCY_CODE = USD; IRN returned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USD payload confirmed; IRN received and stored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TC-003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Submit GBP invoice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Filter invoices by GBP</w:t>
              <w:br/>
              <w:t>2. Post via dashboard button</w:t>
              <w:br/>
              <w:t>3. Verify response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GBP invoice submitted; IRN returned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GBP invoice submitted; IRN stored correctly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P2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TC-004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HSN code format â€” integer input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Invoice with HSN=6499 in DB</w:t>
              <w:br/>
              <w:t>2. Check API payload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Payload sends '6499.00' (XXXX.XX format)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_format_hsn_code() appends .00; API accepted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TC-005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B2C invoice â€” no TIN supplied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Invoice with blank TIN</w:t>
              <w:br/>
              <w:t>2. Submit to FIRS</w:t>
              <w:br/>
              <w:t>3. Check payload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Placeholder TIN '000000000000' used; submission succeeds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B2C placeholder applied; API returned IRN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P2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TC-006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Credit note (type 380) submission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Locate INVOICE_TYPE=380 record</w:t>
              <w:br/>
              <w:t>2. Submit</w:t>
              <w:br/>
              <w:t>3. Verify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Submitted as Credit Note; IRN returned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Credit Note submitted successfully; IRN stored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P2</w:t>
            </w:r>
          </w:p>
        </w:tc>
      </w:tr>
      <w:tr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TC-007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Failed submission error capture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Force invalid payload</w:t>
              <w:br/>
              <w:t>2. Observe API response</w:t>
              <w:br/>
              <w:t>3. Check REPORTING_STATUS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REPORTING_STATUS = 0; VALIDATION_ERROR populated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Error captured and stored; visible on dashboard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P1</w:t>
            </w:r>
          </w:p>
        </w:tc>
      </w:tr>
    </w:tbl>
    <w:p/>
    <w:p>
      <w:pPr>
        <w:spacing w:before="200" w:after="80"/>
      </w:pPr>
      <w:r>
        <w:rPr>
          <w:b/>
          <w:color w:val="003087"/>
          <w:sz w:val="22"/>
        </w:rPr>
        <w:t>4.2 Compliance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86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016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9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Steps (Summary)</w:t>
            </w:r>
          </w:p>
        </w:tc>
        <w:tc>
          <w:tcPr>
            <w:tcW w:type="dxa" w:w="187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87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100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86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TC-008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Login with valid credentials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Navigate to https://10.40.24.41:5443</w:t>
              <w:br/>
              <w:t>2. Enter valid credentials</w:t>
              <w:br/>
              <w:t>3. Submit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Redirect to dashboard home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Login successful; dashboard displayed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TC-009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Login with invalid credentials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Enter wrong password</w:t>
              <w:br/>
              <w:t>2. Submit</w:t>
              <w:br/>
              <w:t>3. Observe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Error shown; attempt counter incremented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Error 'Invalid credentials â€” N attempts remaining' displayed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TC-010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Invoice list â€” search by Transaction Ref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Enter TRANS_REF in search box</w:t>
              <w:br/>
              <w:t>2. Apply</w:t>
              <w:br/>
              <w:t>3. Verify result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Matching invoice displayed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Correct invoice returned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P2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TC-011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Filter by currency (USD)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Select USD in currency dropdown</w:t>
              <w:br/>
              <w:t>2. Apply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Only USD invoices displayed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4 USD invoices displayed correctly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P2</w:t>
            </w:r>
          </w:p>
        </w:tc>
      </w:tr>
      <w:tr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TC-012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Filter by status (Submitted)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Select Submitted filter</w:t>
              <w:br/>
              <w:t>2. Apply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Only submitted invoices shown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Correct filtered results returned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P2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TC-013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Invoice detail page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Click Transaction Ref link</w:t>
              <w:br/>
              <w:t>2. Review detail page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All invoice fields displayed; IRN and QR visible if submitted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Detail page shows all fields correctly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P2</w:t>
            </w:r>
          </w:p>
        </w:tc>
      </w:tr>
      <w:tr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TC-014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Print view â€” IRN displayed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Open print view</w:t>
              <w:br/>
              <w:t>2. Verify IRN row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IRN shown in meta table; Environment row absent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IRN displayed; Environment row removed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P2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TC-015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PDF download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Click PDF button</w:t>
              <w:br/>
              <w:t>2. Download and open file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PDF generated; Keystone Bank branding; IRN banner; correct currency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PDF generated correctly; blue theme; IRN banner present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P2</w:t>
            </w:r>
          </w:p>
        </w:tc>
      </w:tr>
      <w:tr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TC-016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Manual Post button on invoice list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Find pending invoice</w:t>
              <w:br/>
              <w:t>2. Click Post (send icon)</w:t>
              <w:br/>
              <w:t>3. Observe response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Invoice posted; badge changes to Submitted; IRN toast shown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Post succeeded; UI updated without page reload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TC-017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Excel export â€” invoice list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Apply filters</w:t>
              <w:br/>
              <w:t>2. Click Excel button</w:t>
              <w:br/>
              <w:t>3. Open downloaded file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Excel file with correct filtered data downloaded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openpyxl workbook downloaded; data matches filters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P2</w:t>
            </w:r>
          </w:p>
        </w:tc>
      </w:tr>
    </w:tbl>
    <w:p/>
    <w:p>
      <w:pPr>
        <w:spacing w:before="200" w:after="80"/>
      </w:pPr>
      <w:r>
        <w:rPr>
          <w:b/>
          <w:color w:val="003087"/>
          <w:sz w:val="22"/>
        </w:rPr>
        <w:t>4.3 Report / CFO Summary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86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016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9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Steps (Summary)</w:t>
            </w:r>
          </w:p>
        </w:tc>
        <w:tc>
          <w:tcPr>
            <w:tcW w:type="dxa" w:w="187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87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100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86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TC-018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CFO summary KPI cards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Navigate to /report</w:t>
              <w:br/>
              <w:t>2. Review KPI cards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Total, Submitted, Pending, Failed counts accurate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KPI cards match database counts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P2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TC-019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Currency breakdown table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Open Report page</w:t>
              <w:br/>
              <w:t>2. Review currency table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Each currency listed with correct counts and amounts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NGN, USD, GBP, EUR breakdown correct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P2</w:t>
            </w:r>
          </w:p>
        </w:tc>
      </w:tr>
      <w:tr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TC-020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Total VAT reported calculation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Check VAT card on Report page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VAT = STANDARD_VAT invoices Ã— submitted amounts Ã— 7.5%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VAT figure matches manual calculation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P2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TC-021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Export full report to Excel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Click Export Full Report to Excel</w:t>
              <w:br/>
              <w:t>2. Open file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5-sheet Excel workbook downloaded (Summary, Currency, Tax, Types, All Invoices)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All 5 sheets present with correct data and blue header styling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P2</w:t>
            </w:r>
          </w:p>
        </w:tc>
      </w:tr>
      <w:tr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TC-022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Monthly trend chart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Open Report page</w:t>
              <w:br/>
              <w:t>2. Observe chart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Bar chart shows monthly submission count; line shows amount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Dual-axis Chart.js chart rendered correctly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P3</w:t>
            </w:r>
          </w:p>
        </w:tc>
      </w:tr>
    </w:tbl>
    <w:p/>
    <w:p>
      <w:pPr>
        <w:spacing w:before="200" w:after="80"/>
      </w:pPr>
      <w:r>
        <w:rPr>
          <w:b/>
          <w:color w:val="003087"/>
          <w:sz w:val="22"/>
        </w:rPr>
        <w:t>4.4 Security Controls (VAPT Remediation)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86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016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9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Steps (Summary)</w:t>
            </w:r>
          </w:p>
        </w:tc>
        <w:tc>
          <w:tcPr>
            <w:tcW w:type="dxa" w:w="187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87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100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86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TC-023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HTTPS enforcement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Access http://10.40.24.41:5000</w:t>
              <w:br/>
              <w:t>2. Observe redirect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HTTP 301 redirect to https://10.40.24.41:5443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Redirect confirmed; all traffic over TLS 1.2+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TC-024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Session inactivity timeout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Login</w:t>
              <w:br/>
              <w:t>2. Leave idle 13 minutes</w:t>
              <w:br/>
              <w:t>3. Observe warning modal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Warning modal at 13 min; auto-logout at 15 min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Countdown modal appeared at 13 min; session terminated at 15 min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TC-025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Rate limiting on login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Enter wrong password 5 times</w:t>
              <w:br/>
              <w:t>2. Observe 6th attempt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Account locked after 5 failures; lockout timer displayed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Lock engaged after 5th failure; 5-minute lockout confirmed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TC-026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Password complexity enforcement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In User Management, try to create user with weak password</w:t>
              <w:br/>
              <w:t>2. Observe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Rejection with clear message citing missing requirement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Policy enforced: 8 chars, upper, lower, digit, special required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TC-027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RBAC â€” Viewer cannot Post invoices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Login as Viewer role</w:t>
              <w:br/>
              <w:t>2. Attempt to post invoice via URL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HTTP 403 returned; 'Permission denied' in response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403 returned; Viewer cannot post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TC-028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RBAC â€” Operator cannot view Report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Login as Operator</w:t>
              <w:br/>
              <w:t>2. Navigate to /report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Redirect to dashboard with 'Access denied' flash message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Redirect and flash message confirmed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TC-029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Administrator-only User Management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Login as Manager</w:t>
              <w:br/>
              <w:t>2. Navigate to /admin/users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Access denied; redirect to dashboard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Access denied confirmed for non-Administrator roles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TC-030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Session 'Stay Logged In' extends timeout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1. Wait for 13-min warning modal</w:t>
              <w:br/>
              <w:t>2. Click 'Stay Logged In'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Timer resets to 15 minutes; session continues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/api/ping called; timer reset confirmed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PASS</w:t>
            </w:r>
          </w:p>
        </w:tc>
        <w:tc>
          <w:tcPr>
            <w:tcW w:type="dxa" w:w="1296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P2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8" w:space="2" w:color="003087"/>
        </w:pBdr>
      </w:pPr>
      <w:r>
        <w:rPr>
          <w:b/>
          <w:color w:val="003087"/>
          <w:sz w:val="26"/>
        </w:rPr>
        <w:t>5. Defect Summary</w:t>
      </w:r>
    </w:p>
    <w:p>
      <w:pPr>
        <w:spacing w:before="0" w:after="80"/>
      </w:pPr>
      <w:r>
        <w:rPr>
          <w:b w:val="0"/>
          <w:i w:val="0"/>
          <w:color w:val="000000"/>
          <w:sz w:val="20"/>
        </w:rPr>
        <w:t>Total defects identified and resolved during UAT: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5"/>
        <w:gridCol w:w="1815"/>
        <w:gridCol w:w="1815"/>
        <w:gridCol w:w="1815"/>
        <w:gridCol w:w="1815"/>
      </w:tblGrid>
      <w:tr>
        <w:tc>
          <w:tcPr>
            <w:tcW w:type="dxa" w:w="115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Defect ID</w:t>
            </w:r>
          </w:p>
        </w:tc>
        <w:tc>
          <w:tcPr>
            <w:tcW w:type="dxa" w:w="403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00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15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456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18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DEF-001</w:t>
            </w:r>
          </w:p>
        </w:tc>
        <w:tc>
          <w:tcPr>
            <w:tcW w:type="dxa" w:w="18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HSN code rejected by API â€” DB stored plain integers; API requires XXXX.XX format</w:t>
            </w:r>
          </w:p>
        </w:tc>
        <w:tc>
          <w:tcPr>
            <w:tcW w:type="dxa" w:w="181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DC2626"/>
                <w:sz w:val="17"/>
              </w:rPr>
              <w:t>P1</w:t>
            </w:r>
          </w:p>
        </w:tc>
        <w:tc>
          <w:tcPr>
            <w:tcW w:type="dxa" w:w="181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RESOLVED</w:t>
            </w:r>
          </w:p>
        </w:tc>
        <w:tc>
          <w:tcPr>
            <w:tcW w:type="dxa" w:w="18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_format_hsn_code() helper added to scheduler payload builder</w:t>
            </w:r>
          </w:p>
        </w:tc>
      </w:tr>
      <w:tr>
        <w:tc>
          <w:tcPr>
            <w:tcW w:type="dxa" w:w="1815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DEF-002</w:t>
            </w:r>
          </w:p>
        </w:tc>
        <w:tc>
          <w:tcPr>
            <w:tcW w:type="dxa" w:w="1815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Currency displayed as NGN for all invoices regardless of actual currency</w:t>
            </w:r>
          </w:p>
        </w:tc>
        <w:tc>
          <w:tcPr>
            <w:tcW w:type="dxa" w:w="1815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DC2626"/>
                <w:sz w:val="17"/>
              </w:rPr>
              <w:t>P1</w:t>
            </w:r>
          </w:p>
        </w:tc>
        <w:tc>
          <w:tcPr>
            <w:tcW w:type="dxa" w:w="1815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RESOLVED</w:t>
            </w:r>
          </w:p>
        </w:tc>
        <w:tc>
          <w:tcPr>
            <w:tcW w:type="dxa" w:w="1815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ISNULL(CURRENCY_CODE,'NGN') added to all queries; templates updated</w:t>
            </w:r>
          </w:p>
        </w:tc>
      </w:tr>
      <w:tr>
        <w:tc>
          <w:tcPr>
            <w:tcW w:type="dxa" w:w="18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DEF-003</w:t>
            </w:r>
          </w:p>
        </w:tc>
        <w:tc>
          <w:tcPr>
            <w:tcW w:type="dxa" w:w="18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DataTables TN/7 Ajax error on invoice list when DB error occurred</w:t>
            </w:r>
          </w:p>
        </w:tc>
        <w:tc>
          <w:tcPr>
            <w:tcW w:type="dxa" w:w="181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D97706"/>
                <w:sz w:val="17"/>
              </w:rPr>
              <w:t>P2</w:t>
            </w:r>
          </w:p>
        </w:tc>
        <w:tc>
          <w:tcPr>
            <w:tcW w:type="dxa" w:w="181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RESOLVED</w:t>
            </w:r>
          </w:p>
        </w:tc>
        <w:tc>
          <w:tcPr>
            <w:tcW w:type="dxa" w:w="18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Try/except wrapper returns valid JSON structure on all DB errors</w:t>
            </w:r>
          </w:p>
        </w:tc>
      </w:tr>
      <w:tr>
        <w:tc>
          <w:tcPr>
            <w:tcW w:type="dxa" w:w="1815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DEF-004</w:t>
            </w:r>
          </w:p>
        </w:tc>
        <w:tc>
          <w:tcPr>
            <w:tcW w:type="dxa" w:w="1815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Environment column shown on print invoice view</w:t>
            </w:r>
          </w:p>
        </w:tc>
        <w:tc>
          <w:tcPr>
            <w:tcW w:type="dxa" w:w="1815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P3</w:t>
            </w:r>
          </w:p>
        </w:tc>
        <w:tc>
          <w:tcPr>
            <w:tcW w:type="dxa" w:w="1815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RESOLVED</w:t>
            </w:r>
          </w:p>
        </w:tc>
        <w:tc>
          <w:tcPr>
            <w:tcW w:type="dxa" w:w="1815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Row removed from invoice_print.html; IRN row added</w:t>
            </w:r>
          </w:p>
        </w:tc>
      </w:tr>
      <w:tr>
        <w:tc>
          <w:tcPr>
            <w:tcW w:type="dxa" w:w="18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DEF-005</w:t>
            </w:r>
          </w:p>
        </w:tc>
        <w:tc>
          <w:tcPr>
            <w:tcW w:type="dxa" w:w="18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Admin password 'CRYPTware1' did not meet new complexity policy</w:t>
            </w:r>
          </w:p>
        </w:tc>
        <w:tc>
          <w:tcPr>
            <w:tcW w:type="dxa" w:w="181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D97706"/>
                <w:sz w:val="17"/>
              </w:rPr>
              <w:t>P2</w:t>
            </w:r>
          </w:p>
        </w:tc>
        <w:tc>
          <w:tcPr>
            <w:tcW w:type="dxa" w:w="181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RESOLVED</w:t>
            </w:r>
          </w:p>
        </w:tc>
        <w:tc>
          <w:tcPr>
            <w:tcW w:type="dxa" w:w="181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Password updated to meet 5-factor complexity requirements</w:t>
            </w:r>
          </w:p>
        </w:tc>
      </w:tr>
    </w:tbl>
    <w:p/>
    <w:p>
      <w:pPr>
        <w:spacing w:before="0" w:after="80"/>
      </w:pPr>
      <w:r>
        <w:rPr>
          <w:b/>
          <w:i w:val="0"/>
          <w:color w:val="16A34A"/>
          <w:sz w:val="20"/>
        </w:rPr>
        <w:t>Outstanding defects at time of sign-off:  0 (zero)</w:t>
      </w:r>
    </w:p>
    <w:p>
      <w:pPr>
        <w:spacing w:before="0" w:after="80"/>
      </w:pPr>
      <w:r>
        <w:rPr>
          <w:b w:val="0"/>
          <w:i w:val="0"/>
          <w:color w:val="000000"/>
          <w:sz w:val="20"/>
        </w:rPr>
        <w:t>All P1 and P2 defects have been resolved and re-tested with satisfactory results.</w:t>
      </w:r>
    </w:p>
    <w:p>
      <w:r>
        <w:br w:type="page"/>
      </w:r>
    </w:p>
    <w:p>
      <w:pPr>
        <w:spacing w:before="240" w:after="80"/>
        <w:pBdr>
          <w:bottom w:val="single" w:sz="8" w:space="2" w:color="003087"/>
        </w:pBdr>
      </w:pPr>
      <w:r>
        <w:rPr>
          <w:b/>
          <w:color w:val="003087"/>
          <w:sz w:val="26"/>
        </w:rPr>
        <w:t>6. VAPT Remediation Status</w:t>
      </w:r>
    </w:p>
    <w:p>
      <w:pPr>
        <w:spacing w:before="0" w:after="80"/>
      </w:pPr>
      <w:r>
        <w:rPr>
          <w:b w:val="0"/>
          <w:i w:val="0"/>
          <w:color w:val="000000"/>
          <w:sz w:val="20"/>
        </w:rPr>
        <w:t>The following table summarises the remediation status of all vulnerabilities identified in the VAPT assessment conducted by Keystone Bank Information Security (Joy Atubazi, Security Engineering &amp; Asset Management) and reported on 29 July 2026: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0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S/N</w:t>
            </w:r>
          </w:p>
        </w:tc>
        <w:tc>
          <w:tcPr>
            <w:tcW w:type="dxa" w:w="259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1080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22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VAPT Status</w:t>
            </w:r>
          </w:p>
        </w:tc>
        <w:tc>
          <w:tcPr>
            <w:tcW w:type="dxa" w:w="316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Remediation Applied</w:t>
            </w:r>
          </w:p>
        </w:tc>
        <w:tc>
          <w:tcPr>
            <w:tcW w:type="dxa" w:w="1440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Current Status</w:t>
            </w:r>
          </w:p>
        </w:tc>
      </w:tr>
      <w:tr>
        <w:tc>
          <w:tcPr>
            <w:tcW w:type="dxa" w:w="151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Sensitive Data Exposure of Auth Credentials</w:t>
            </w:r>
          </w:p>
        </w:tc>
        <w:tc>
          <w:tcPr>
            <w:tcW w:type="dxa" w:w="151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DC2626"/>
                <w:sz w:val="17"/>
              </w:rPr>
              <w:t>HIGH</w:t>
            </w:r>
          </w:p>
        </w:tc>
        <w:tc>
          <w:tcPr>
            <w:tcW w:type="dxa" w:w="151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Open</w:t>
            </w:r>
          </w:p>
        </w:tc>
        <w:tc>
          <w:tcPr>
            <w:tcW w:type="dxa" w:w="15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HTTPS/TLS enforced; HTTP :5000 redirects to HTTPS :5443; self-signed cert deployed (SHA-256 RSA 2048)</w:t>
            </w:r>
          </w:p>
        </w:tc>
        <w:tc>
          <w:tcPr>
            <w:tcW w:type="dxa" w:w="151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CLOSED</w:t>
            </w:r>
          </w:p>
        </w:tc>
      </w:tr>
      <w:tr>
        <w:tc>
          <w:tcPr>
            <w:tcW w:type="dxa" w:w="151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512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Excessive Session Timeout</w:t>
            </w:r>
          </w:p>
        </w:tc>
        <w:tc>
          <w:tcPr>
            <w:tcW w:type="dxa" w:w="151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D97706"/>
                <w:sz w:val="17"/>
              </w:rPr>
              <w:t>MEDIUM</w:t>
            </w:r>
          </w:p>
        </w:tc>
        <w:tc>
          <w:tcPr>
            <w:tcW w:type="dxa" w:w="151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Open</w:t>
            </w:r>
          </w:p>
        </w:tc>
        <w:tc>
          <w:tcPr>
            <w:tcW w:type="dxa" w:w="1512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15-minute inactivity timeout; server-side check on every request; client-side countdown modal with keep-alive; auto-logout</w:t>
            </w:r>
          </w:p>
        </w:tc>
        <w:tc>
          <w:tcPr>
            <w:tcW w:type="dxa" w:w="151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CLOSED</w:t>
            </w:r>
          </w:p>
        </w:tc>
      </w:tr>
      <w:tr>
        <w:tc>
          <w:tcPr>
            <w:tcW w:type="dxa" w:w="151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5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Poor Rate Limiting</w:t>
            </w:r>
          </w:p>
        </w:tc>
        <w:tc>
          <w:tcPr>
            <w:tcW w:type="dxa" w:w="151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D97706"/>
                <w:sz w:val="17"/>
              </w:rPr>
              <w:t>MEDIUM</w:t>
            </w:r>
          </w:p>
        </w:tc>
        <w:tc>
          <w:tcPr>
            <w:tcW w:type="dxa" w:w="151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Open</w:t>
            </w:r>
          </w:p>
        </w:tc>
        <w:tc>
          <w:tcPr>
            <w:tcW w:type="dxa" w:w="15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5-attempt lockout per IP; progressive lockout (5m / 15m / 30m / 60m); attempt counter cleared on success</w:t>
            </w:r>
          </w:p>
        </w:tc>
        <w:tc>
          <w:tcPr>
            <w:tcW w:type="dxa" w:w="151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CLOSED</w:t>
            </w:r>
          </w:p>
        </w:tc>
      </w:tr>
      <w:tr>
        <w:tc>
          <w:tcPr>
            <w:tcW w:type="dxa" w:w="151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512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Weak Authentication Policy</w:t>
            </w:r>
          </w:p>
        </w:tc>
        <w:tc>
          <w:tcPr>
            <w:tcW w:type="dxa" w:w="151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D97706"/>
                <w:sz w:val="17"/>
              </w:rPr>
              <w:t>MEDIUM</w:t>
            </w:r>
          </w:p>
        </w:tc>
        <w:tc>
          <w:tcPr>
            <w:tcW w:type="dxa" w:w="151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Open</w:t>
            </w:r>
          </w:p>
        </w:tc>
        <w:tc>
          <w:tcPr>
            <w:tcW w:type="dxa" w:w="1512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8-char minimum; uppercase + lowercase + digit + special character required; real-time strength indicator in admin UI</w:t>
            </w:r>
          </w:p>
        </w:tc>
        <w:tc>
          <w:tcPr>
            <w:tcW w:type="dxa" w:w="1512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17"/>
              </w:rPr>
              <w:t>CLOSED</w:t>
            </w:r>
          </w:p>
        </w:tc>
      </w:tr>
    </w:tbl>
    <w:p/>
    <w:p>
      <w:pPr>
        <w:spacing w:before="0" w:after="80"/>
      </w:pPr>
      <w:r>
        <w:rPr>
          <w:b/>
          <w:i w:val="0"/>
          <w:color w:val="16A34A"/>
          <w:sz w:val="20"/>
        </w:rPr>
        <w:t>All 4 VAPT findings are CLOSED. No open security vulnerabilities remain.</w:t>
      </w:r>
    </w:p>
    <w:p>
      <w:r>
        <w:br w:type="page"/>
      </w:r>
    </w:p>
    <w:p>
      <w:pPr>
        <w:spacing w:before="240" w:after="80"/>
        <w:pBdr>
          <w:bottom w:val="single" w:sz="8" w:space="2" w:color="003087"/>
        </w:pBdr>
      </w:pPr>
      <w:r>
        <w:rPr>
          <w:b/>
          <w:color w:val="003087"/>
          <w:sz w:val="26"/>
        </w:rPr>
        <w:t>7. UAT Conclusion and Recommendation</w:t>
      </w:r>
    </w:p>
    <w:p>
      <w:pPr>
        <w:spacing w:before="0" w:after="80"/>
      </w:pPr>
      <w:r>
        <w:rPr>
          <w:b w:val="0"/>
          <w:i w:val="0"/>
          <w:color w:val="000000"/>
          <w:sz w:val="20"/>
        </w:rPr>
        <w:t>User Acceptance Testing of the Keystone Bank FIRS e-Invoice Compliance System has been completed. All 30 test cases have been executed; all critical (P1) and high (P2) test cases have PASSED. All 5 defects identified during testing have been resolved and re-verified. All 4 security vulnerabilities identified in the VAPT assessment have been remediated and closed.</w:t>
      </w:r>
    </w:p>
    <w:p/>
    <w:p>
      <w:pPr>
        <w:spacing w:before="0" w:after="80"/>
      </w:pPr>
      <w:r>
        <w:rPr>
          <w:b/>
          <w:i w:val="0"/>
          <w:color w:val="000000"/>
          <w:sz w:val="20"/>
        </w:rPr>
        <w:t>The following has been confirmed:</w:t>
      </w:r>
    </w:p>
    <w:p>
      <w:pPr>
        <w:pStyle w:val="ListBullet"/>
        <w:spacing w:before="20" w:after="20"/>
      </w:pPr>
      <w:r>
        <w:rPr>
          <w:sz w:val="19"/>
        </w:rPr>
        <w:t>Invoice data is correctly extracted from the ERP database and submitted to the FIRS/NRS API</w:t>
      </w:r>
    </w:p>
    <w:p>
      <w:pPr>
        <w:pStyle w:val="ListBullet"/>
        <w:spacing w:before="20" w:after="20"/>
      </w:pPr>
      <w:r>
        <w:rPr>
          <w:sz w:val="19"/>
        </w:rPr>
        <w:t>IRN (Invoice Reference Number) and QR codes are correctly stored for all submitted invoices</w:t>
      </w:r>
    </w:p>
    <w:p>
      <w:pPr>
        <w:pStyle w:val="ListBullet"/>
        <w:spacing w:before="20" w:after="20"/>
      </w:pPr>
      <w:r>
        <w:rPr>
          <w:sz w:val="19"/>
        </w:rPr>
        <w:t>Multi-currency support (NGN, USD, GBP, EUR) operates correctly end-to-end</w:t>
      </w:r>
    </w:p>
    <w:p>
      <w:pPr>
        <w:pStyle w:val="ListBullet"/>
        <w:spacing w:before="20" w:after="20"/>
      </w:pPr>
      <w:r>
        <w:rPr>
          <w:sz w:val="19"/>
        </w:rPr>
        <w:t>The compliance dashboard provides accurate real-time reporting to Finance and management</w:t>
      </w:r>
    </w:p>
    <w:p>
      <w:pPr>
        <w:pStyle w:val="ListBullet"/>
        <w:spacing w:before="20" w:after="20"/>
      </w:pPr>
      <w:r>
        <w:rPr>
          <w:sz w:val="19"/>
        </w:rPr>
        <w:t>Role-based access controls restrict system functions appropriately by user role</w:t>
      </w:r>
    </w:p>
    <w:p>
      <w:pPr>
        <w:pStyle w:val="ListBullet"/>
        <w:spacing w:before="20" w:after="20"/>
      </w:pPr>
      <w:r>
        <w:rPr>
          <w:sz w:val="19"/>
        </w:rPr>
        <w:t>All VAPT security findings have been remediated to the satisfaction of Keystone Bank Information Security</w:t>
      </w:r>
    </w:p>
    <w:p>
      <w:pPr>
        <w:pStyle w:val="ListBullet"/>
        <w:spacing w:before="20" w:after="20"/>
      </w:pPr>
      <w:r>
        <w:rPr>
          <w:sz w:val="19"/>
        </w:rPr>
        <w:t>The system meets the FIRS/NRS e-invoicing technical specification</w:t>
      </w:r>
    </w:p>
    <w:p/>
    <w:p>
      <w:pPr>
        <w:spacing w:before="0" w:after="80"/>
      </w:pPr>
      <w:r>
        <w:rPr>
          <w:b/>
          <w:i w:val="0"/>
          <w:color w:val="003087"/>
          <w:sz w:val="20"/>
        </w:rPr>
        <w:t>RECOMMENDATION: The system is approved for promotion to the PRODUCTION environment subject to the replacement of the self-signed SSL certificate with a certificate issued by Keystone Bank's internal PKI or a trusted Certificate Authority prior to go-live.</w:t>
      </w:r>
    </w:p>
    <w:p>
      <w:r>
        <w:br w:type="page"/>
      </w:r>
    </w:p>
    <w:p>
      <w:pPr>
        <w:spacing w:before="240" w:after="80"/>
        <w:pBdr>
          <w:bottom w:val="single" w:sz="8" w:space="2" w:color="003087"/>
        </w:pBdr>
      </w:pPr>
      <w:r>
        <w:rPr>
          <w:b/>
          <w:color w:val="003087"/>
          <w:sz w:val="26"/>
        </w:rPr>
        <w:t>8. Formal Sign-Off</w:t>
      </w:r>
    </w:p>
    <w:p>
      <w:pPr>
        <w:spacing w:before="0" w:after="80"/>
      </w:pPr>
      <w:r>
        <w:rPr>
          <w:b w:val="0"/>
          <w:i w:val="0"/>
          <w:color w:val="000000"/>
          <w:sz w:val="20"/>
        </w:rPr>
        <w:t>By signing below, the authorised representatives of Keystone Bank Limited and Cryptware Systems Ltd confirm that UAT has been completed satisfactorily and the FIRS e-Invoice Compliance System is approved for deployment to the PRODUCTION environment.</w:t>
      </w:r>
    </w:p>
    <w:p/>
    <w:p>
      <w:pPr>
        <w:spacing w:before="240" w:after="80"/>
      </w:pPr>
      <w:r>
        <w:rPr>
          <w:b/>
          <w:color w:val="003087"/>
          <w:sz w:val="22"/>
        </w:rPr>
        <w:t>8.1 Keystone Bank Limited â€” 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592"/>
            <w:shd w:val="clear" w:color="auto" w:fill="001F5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001F5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Title / Role</w:t>
            </w:r>
          </w:p>
        </w:tc>
        <w:tc>
          <w:tcPr>
            <w:tcW w:type="dxa" w:w="2592"/>
            <w:shd w:val="clear" w:color="auto" w:fill="001F5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584"/>
            <w:shd w:val="clear" w:color="auto" w:fill="001F5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Chukwuma Uwadia</w:t>
            </w:r>
          </w:p>
        </w:tc>
        <w:tc>
          <w:tcPr>
            <w:tcW w:type="dxa" w:w="22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Dept Head â€” Enterprise PMO</w:t>
            </w:r>
          </w:p>
        </w:tc>
        <w:tc>
          <w:tcPr>
            <w:tcW w:type="dxa" w:w="22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29 July 2026</w:t>
            </w:r>
          </w:p>
        </w:tc>
      </w:tr>
      <w:tr>
        <w:tc>
          <w:tcPr>
            <w:tcW w:type="dxa" w:w="2269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9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Head, Information Security</w:t>
            </w:r>
          </w:p>
        </w:tc>
        <w:tc>
          <w:tcPr>
            <w:tcW w:type="dxa" w:w="2269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9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Finance / Tax Compliance Manager</w:t>
            </w:r>
          </w:p>
        </w:tc>
        <w:tc>
          <w:tcPr>
            <w:tcW w:type="dxa" w:w="22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9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9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Chief Information Officer</w:t>
            </w:r>
          </w:p>
        </w:tc>
        <w:tc>
          <w:tcPr>
            <w:tcW w:type="dxa" w:w="2269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9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240" w:after="80"/>
      </w:pPr>
      <w:r>
        <w:rPr>
          <w:b/>
          <w:color w:val="003087"/>
          <w:sz w:val="22"/>
        </w:rPr>
        <w:t>8.2 Cryptware Systems Ltd â€”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592"/>
            <w:shd w:val="clear" w:color="auto" w:fill="001F5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001F5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Title / Role</w:t>
            </w:r>
          </w:p>
        </w:tc>
        <w:tc>
          <w:tcPr>
            <w:tcW w:type="dxa" w:w="2592"/>
            <w:shd w:val="clear" w:color="auto" w:fill="001F5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584"/>
            <w:shd w:val="clear" w:color="auto" w:fill="001F5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Ebere Maduneme</w:t>
            </w:r>
          </w:p>
        </w:tc>
        <w:tc>
          <w:tcPr>
            <w:tcW w:type="dxa" w:w="22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Project Lead â€” Cryptware Systems</w:t>
            </w:r>
          </w:p>
        </w:tc>
        <w:tc>
          <w:tcPr>
            <w:tcW w:type="dxa" w:w="22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29 July 2026</w:t>
            </w:r>
          </w:p>
        </w:tc>
      </w:tr>
      <w:tr>
        <w:tc>
          <w:tcPr>
            <w:tcW w:type="dxa" w:w="2269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9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Technical Lead â€” Cryptware Systems</w:t>
            </w:r>
          </w:p>
        </w:tc>
        <w:tc>
          <w:tcPr>
            <w:tcW w:type="dxa" w:w="2269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9"/>
            <w:shd w:val="clear" w:color="auto" w:fill="F3F4F6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240" w:after="80"/>
      </w:pPr>
      <w:r>
        <w:rPr>
          <w:b/>
          <w:color w:val="003087"/>
          <w:sz w:val="22"/>
        </w:rPr>
        <w:t>8.3 Overall UAT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2880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UAT Result</w:t>
            </w:r>
          </w:p>
        </w:tc>
        <w:tc>
          <w:tcPr>
            <w:tcW w:type="dxa" w:w="676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537"/>
            <w:shd w:val="clear" w:color="auto" w:fill="D1FAE5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A34A"/>
                <w:sz w:val="24"/>
              </w:rPr>
              <w:t>PASSED</w:t>
            </w:r>
          </w:p>
        </w:tc>
        <w:tc>
          <w:tcPr>
            <w:tcW w:type="dxa" w:w="453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1F5B"/>
                <w:sz w:val="20"/>
              </w:rPr>
              <w:t>Approved for PRODUCTION deployment subject to SSL certificate replacement.</w:t>
            </w:r>
          </w:p>
        </w:tc>
      </w:tr>
    </w:tbl>
    <w:p/>
    <w:p/>
    <w:p>
      <w:pPr>
        <w:jc w:val="center"/>
      </w:pPr>
      <w:r>
        <w:rPr>
          <w:i/>
          <w:color w:val="9CA3AF"/>
          <w:sz w:val="18"/>
        </w:rPr>
        <w:t>â€” END OF DOCUMENT â€”</w:t>
      </w:r>
    </w:p>
    <w:p>
      <w:pPr>
        <w:jc w:val="center"/>
      </w:pPr>
      <w:r>
        <w:rPr>
          <w:color w:val="9CA3AF"/>
          <w:sz w:val="16"/>
        </w:rPr>
        <w:t>Keystone Bank Limited | FIRS e-Invoice Compliance | Document Ref: KBL-FIRS-UAT-SIGNOFF-001 | 29 July 2026</w:t>
      </w:r>
    </w:p>
    <w:sectPr w:rsidR="00FC693F" w:rsidRPr="0006063C" w:rsidSect="00034616">
      <w:pgSz w:w="11909" w:h="16834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