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67B70A" w14:textId="77777777" w:rsidR="003012A4" w:rsidRDefault="003012A4" w:rsidP="003012A4">
      <w:pPr>
        <w:bidi/>
        <w:spacing w:before="0" w:after="0"/>
        <w:jc w:val="center"/>
        <w:rPr>
          <w:b/>
          <w:bCs/>
          <w:sz w:val="46"/>
          <w:szCs w:val="36"/>
          <w:rtl/>
          <w:lang w:bidi="ar-KW"/>
        </w:rPr>
      </w:pPr>
      <w:r w:rsidRPr="003012A4">
        <w:rPr>
          <w:rFonts w:hint="cs"/>
          <w:b/>
          <w:bCs/>
          <w:sz w:val="46"/>
          <w:szCs w:val="36"/>
          <w:rtl/>
          <w:lang w:bidi="ar-KW"/>
        </w:rPr>
        <w:t xml:space="preserve">مستقبل نفايات الألواح الشمسية الكهروضوئية بين </w:t>
      </w:r>
    </w:p>
    <w:p w14:paraId="3D468FCE" w14:textId="6A8B494C" w:rsidR="003617EB" w:rsidRDefault="003012A4" w:rsidP="003012A4">
      <w:pPr>
        <w:bidi/>
        <w:spacing w:before="0" w:after="0"/>
        <w:jc w:val="center"/>
        <w:rPr>
          <w:b/>
          <w:bCs/>
          <w:sz w:val="46"/>
          <w:szCs w:val="36"/>
          <w:rtl/>
          <w:lang w:bidi="ar-KW"/>
        </w:rPr>
      </w:pPr>
      <w:r w:rsidRPr="003012A4">
        <w:rPr>
          <w:rFonts w:hint="cs"/>
          <w:b/>
          <w:bCs/>
          <w:sz w:val="46"/>
          <w:szCs w:val="36"/>
          <w:rtl/>
          <w:lang w:bidi="ar-KW"/>
        </w:rPr>
        <w:t>هاجس التلوث وفرص لاستثمار الموارد</w:t>
      </w:r>
    </w:p>
    <w:p w14:paraId="7F6CFB2D" w14:textId="12ECE7DC" w:rsidR="003012A4" w:rsidRDefault="003012A4" w:rsidP="003012A4">
      <w:pPr>
        <w:bidi/>
        <w:spacing w:line="240" w:lineRule="auto"/>
        <w:jc w:val="both"/>
        <w:rPr>
          <w:rFonts w:eastAsia="Times New Roman" w:cs="Times New Roman"/>
          <w:sz w:val="28"/>
          <w:szCs w:val="28"/>
          <w:rtl/>
          <w:lang w:val="en-US"/>
        </w:rPr>
      </w:pPr>
      <w:r w:rsidRPr="003012A4">
        <w:rPr>
          <w:rFonts w:eastAsia="Times New Roman" w:cs="Times New Roman" w:hint="cs"/>
          <w:sz w:val="28"/>
          <w:szCs w:val="28"/>
          <w:rtl/>
          <w:lang w:val="en-US"/>
        </w:rPr>
        <w:t>معظم</w:t>
      </w:r>
      <w:r w:rsidRPr="003012A4">
        <w:rPr>
          <w:rFonts w:eastAsia="Times New Roman" w:cs="Times New Roman"/>
          <w:sz w:val="28"/>
          <w:szCs w:val="28"/>
          <w:rtl/>
          <w:lang w:val="en-US"/>
        </w:rPr>
        <w:t xml:space="preserve"> الدول العربية لا تزال تعاني في التعامل مع النفايات الصلبة العامة وستزداد المعاناة أكثر خلال السنوات القليلة القادمة بسبب التوجه الكبير نحو الألواح الشمسية الكهروضوئية والتي سنشعر بمأساة نفاياتها بعد ما يقارب 15 سنة قادمة، فعلى سبيل المثال الكويت ركبت المرحلة الأولى من محطة الشقايا بقدرة </w:t>
      </w:r>
      <w:r w:rsidRPr="003012A4">
        <w:rPr>
          <w:rFonts w:eastAsia="Times New Roman" w:cs="Times New Roman"/>
          <w:sz w:val="28"/>
          <w:szCs w:val="28"/>
          <w:lang w:val="en-US"/>
        </w:rPr>
        <w:t>10 MW</w:t>
      </w:r>
      <w:r w:rsidRPr="003012A4">
        <w:rPr>
          <w:rFonts w:eastAsia="Times New Roman" w:cs="Times New Roman"/>
          <w:sz w:val="28"/>
          <w:szCs w:val="28"/>
          <w:rtl/>
          <w:lang w:val="en-US"/>
        </w:rPr>
        <w:t>، أي ما يعادل 40 ألف لوح شمسي، في عام ٢٠١٥ تقريبا.</w:t>
      </w:r>
    </w:p>
    <w:p w14:paraId="258795CD" w14:textId="2939A1D6" w:rsidR="003012A4" w:rsidRPr="003012A4" w:rsidRDefault="003012A4" w:rsidP="003012A4">
      <w:pPr>
        <w:bidi/>
        <w:spacing w:line="240" w:lineRule="auto"/>
        <w:jc w:val="center"/>
        <w:rPr>
          <w:rFonts w:eastAsia="Times New Roman" w:cs="Times New Roman"/>
          <w:sz w:val="28"/>
          <w:szCs w:val="28"/>
          <w:lang w:val="en-US"/>
        </w:rPr>
      </w:pPr>
      <w:r>
        <w:rPr>
          <w:rFonts w:eastAsia="Times New Roman" w:cs="Times New Roman"/>
          <w:noProof/>
          <w:sz w:val="28"/>
          <w:szCs w:val="28"/>
          <w:lang w:val="en-US"/>
        </w:rPr>
        <w:drawing>
          <wp:inline distT="0" distB="0" distL="0" distR="0" wp14:anchorId="230259F9" wp14:editId="411CA172">
            <wp:extent cx="4796756" cy="32004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96756" cy="3200400"/>
                    </a:xfrm>
                    <a:prstGeom prst="rect">
                      <a:avLst/>
                    </a:prstGeom>
                  </pic:spPr>
                </pic:pic>
              </a:graphicData>
            </a:graphic>
          </wp:inline>
        </w:drawing>
      </w:r>
    </w:p>
    <w:p w14:paraId="083D4FAB" w14:textId="747D2122" w:rsidR="003012A4" w:rsidRPr="003012A4" w:rsidRDefault="003012A4" w:rsidP="003012A4">
      <w:pPr>
        <w:bidi/>
        <w:spacing w:line="240" w:lineRule="auto"/>
        <w:jc w:val="both"/>
        <w:rPr>
          <w:rFonts w:eastAsia="Times New Roman" w:cs="Times New Roman"/>
          <w:sz w:val="28"/>
          <w:szCs w:val="28"/>
          <w:lang w:val="en-US"/>
        </w:rPr>
      </w:pPr>
      <w:r w:rsidRPr="003012A4">
        <w:rPr>
          <w:rFonts w:eastAsia="Times New Roman" w:cs="Times New Roman"/>
          <w:sz w:val="28"/>
          <w:szCs w:val="28"/>
          <w:rtl/>
          <w:lang w:val="en-US"/>
        </w:rPr>
        <w:t>بمعنى بعد أقل من 10 سنوات ستتحول هذه الأربعون ألف لوح شمسي إلى نفايات، وليس هذا فقط....بل أيضا الكويت متوقع أن تضيف 4500</w:t>
      </w:r>
      <w:r w:rsidRPr="003012A4">
        <w:rPr>
          <w:rFonts w:eastAsia="Times New Roman" w:cs="Times New Roman"/>
          <w:sz w:val="28"/>
          <w:szCs w:val="28"/>
          <w:lang w:val="en-US"/>
        </w:rPr>
        <w:t xml:space="preserve"> MW </w:t>
      </w:r>
      <w:r w:rsidRPr="003012A4">
        <w:rPr>
          <w:rFonts w:eastAsia="Times New Roman" w:cs="Times New Roman"/>
          <w:sz w:val="28"/>
          <w:szCs w:val="28"/>
          <w:rtl/>
          <w:lang w:val="en-US"/>
        </w:rPr>
        <w:t>قبل عام 2030، أي سيصل عدد الألواح الشمسية إلى أكثر من 18 مليون لوح شمسي كهروضوئي، ونقيس عليها ما يتم تنفيذه في السعودية لتحقيق رؤيتها بأنها ستركب أنظمة أكثر من 50000</w:t>
      </w:r>
      <w:r w:rsidRPr="003012A4">
        <w:rPr>
          <w:rFonts w:eastAsia="Times New Roman" w:cs="Times New Roman"/>
          <w:sz w:val="28"/>
          <w:szCs w:val="28"/>
          <w:lang w:val="en-US"/>
        </w:rPr>
        <w:t xml:space="preserve"> MW </w:t>
      </w:r>
      <w:r w:rsidRPr="003012A4">
        <w:rPr>
          <w:rFonts w:eastAsia="Times New Roman" w:cs="Times New Roman"/>
          <w:sz w:val="28"/>
          <w:szCs w:val="28"/>
          <w:rtl/>
          <w:lang w:val="en-US"/>
        </w:rPr>
        <w:t>مما يشكل 10 أضعاف من الألواح التي سيتم تركبها بالكويت مما يجعلنا نتوقع أن السعودية خلال العشرون سنة قادمة أكثر من 180 مليون من نفايات لوح شمسي في صحراءها....هل سنترك هذا الهاجس حتى تملأ صحراؤنا وأراضيها بأطنان المترية من هذه النفايات أو نبدأ من حيث ما انتهى منه العالم المتقدم بوضع تشريعات وآليات تحسن التعامل مع هذه النفايات بالإضافة إلى النفايات الأخرى العامة.</w:t>
      </w:r>
    </w:p>
    <w:p w14:paraId="7357E0C3" w14:textId="77777777" w:rsidR="003012A4" w:rsidRPr="003012A4" w:rsidRDefault="003012A4" w:rsidP="003012A4">
      <w:pPr>
        <w:bidi/>
        <w:spacing w:line="240" w:lineRule="auto"/>
        <w:jc w:val="both"/>
        <w:rPr>
          <w:rFonts w:eastAsia="Times New Roman" w:cs="Times New Roman"/>
          <w:sz w:val="28"/>
          <w:szCs w:val="28"/>
          <w:lang w:val="en-US"/>
        </w:rPr>
      </w:pPr>
      <w:r w:rsidRPr="003012A4">
        <w:rPr>
          <w:rFonts w:eastAsia="Times New Roman" w:cs="Times New Roman"/>
          <w:sz w:val="28"/>
          <w:szCs w:val="28"/>
          <w:rtl/>
          <w:lang w:val="en-US"/>
        </w:rPr>
        <w:t>هذه النفايات ممكن الاستفادة منها بعدة طرق أهمها</w:t>
      </w:r>
      <w:r w:rsidRPr="003012A4">
        <w:rPr>
          <w:rFonts w:eastAsia="Times New Roman" w:cs="Times New Roman"/>
          <w:sz w:val="28"/>
          <w:szCs w:val="28"/>
          <w:lang w:val="en-US"/>
        </w:rPr>
        <w:t>:</w:t>
      </w:r>
    </w:p>
    <w:p w14:paraId="7C87C5D1" w14:textId="711FB8C0" w:rsidR="003012A4" w:rsidRPr="003012A4" w:rsidRDefault="003012A4" w:rsidP="008E6D61">
      <w:pPr>
        <w:bidi/>
        <w:spacing w:line="240" w:lineRule="auto"/>
        <w:jc w:val="both"/>
        <w:rPr>
          <w:rFonts w:hint="cs"/>
          <w:sz w:val="42"/>
          <w:szCs w:val="32"/>
          <w:lang w:val="en-US" w:bidi="ar-KW"/>
        </w:rPr>
      </w:pPr>
      <w:r w:rsidRPr="003012A4">
        <w:rPr>
          <w:rFonts w:eastAsia="Times New Roman" w:cs="Times New Roman" w:hint="cs"/>
          <w:sz w:val="28"/>
          <w:szCs w:val="28"/>
          <w:rtl/>
          <w:lang w:val="en-US" w:bidi="ar-KW"/>
        </w:rPr>
        <w:t>ال</w:t>
      </w:r>
      <w:r w:rsidRPr="003012A4">
        <w:rPr>
          <w:rFonts w:eastAsia="Times New Roman" w:cs="Times New Roman"/>
          <w:sz w:val="28"/>
          <w:szCs w:val="28"/>
          <w:rtl/>
          <w:lang w:val="en-US"/>
        </w:rPr>
        <w:t>أولى: خلق بنية تحتية تحسن جمع هذه النفايات واستخلاص المعادن الثمينة أهمها الفضة وغيره</w:t>
      </w:r>
      <w:r w:rsidRPr="003012A4">
        <w:rPr>
          <w:rFonts w:eastAsia="Times New Roman" w:cs="Times New Roman"/>
          <w:sz w:val="28"/>
          <w:szCs w:val="28"/>
          <w:lang w:val="en-US"/>
        </w:rPr>
        <w:t>.</w:t>
      </w:r>
      <w:r w:rsidRPr="003012A4">
        <w:rPr>
          <w:rFonts w:eastAsia="Times New Roman" w:cs="Times New Roman"/>
          <w:sz w:val="28"/>
          <w:szCs w:val="28"/>
          <w:lang w:val="en-US"/>
        </w:rPr>
        <w:br/>
        <w:t xml:space="preserve"> </w:t>
      </w:r>
      <w:r w:rsidRPr="003012A4">
        <w:rPr>
          <w:rFonts w:eastAsia="Times New Roman" w:cs="Times New Roman"/>
          <w:sz w:val="28"/>
          <w:szCs w:val="28"/>
          <w:rtl/>
          <w:lang w:val="en-US"/>
        </w:rPr>
        <w:t>الثانية: التواصل مع الأسواق العالمية الأخرى لخلق مبادلات تجارية تخفف وتساند الخطوة الأولى</w:t>
      </w:r>
      <w:r w:rsidRPr="003012A4">
        <w:rPr>
          <w:rFonts w:eastAsia="Times New Roman" w:cs="Times New Roman"/>
          <w:sz w:val="28"/>
          <w:szCs w:val="28"/>
          <w:lang w:val="en-US"/>
        </w:rPr>
        <w:t>.</w:t>
      </w:r>
      <w:r w:rsidRPr="003012A4">
        <w:rPr>
          <w:rFonts w:eastAsia="Times New Roman" w:cs="Times New Roman"/>
          <w:sz w:val="28"/>
          <w:szCs w:val="28"/>
          <w:lang w:val="en-US"/>
        </w:rPr>
        <w:br/>
      </w:r>
      <w:r w:rsidRPr="003012A4">
        <w:rPr>
          <w:rFonts w:eastAsia="Times New Roman" w:cs="Times New Roman" w:hint="cs"/>
          <w:sz w:val="28"/>
          <w:szCs w:val="28"/>
          <w:rtl/>
          <w:lang w:val="en-US"/>
        </w:rPr>
        <w:t>ا</w:t>
      </w:r>
      <w:r w:rsidRPr="003012A4">
        <w:rPr>
          <w:rFonts w:eastAsia="Times New Roman" w:cs="Times New Roman"/>
          <w:sz w:val="28"/>
          <w:szCs w:val="28"/>
          <w:rtl/>
          <w:lang w:val="en-US"/>
        </w:rPr>
        <w:t>لخطوة الثالثة والمهمة عند تراكم النفايات ممكن جمعها ومن ثم إدخالها في مصهرات تساهم في إنتاج الكهرباء والحرارة بدلا من طمرها في الصحراء</w:t>
      </w:r>
      <w:r w:rsidRPr="003012A4">
        <w:rPr>
          <w:rFonts w:eastAsia="Times New Roman" w:cs="Times New Roman"/>
          <w:sz w:val="28"/>
          <w:szCs w:val="28"/>
          <w:lang w:val="en-US"/>
        </w:rPr>
        <w:t>.</w:t>
      </w:r>
      <w:r w:rsidRPr="003012A4">
        <w:rPr>
          <w:rFonts w:eastAsia="Times New Roman" w:cs="Times New Roman"/>
          <w:sz w:val="24"/>
          <w:szCs w:val="24"/>
          <w:lang w:val="en-US"/>
        </w:rPr>
        <w:br/>
      </w:r>
    </w:p>
    <w:sectPr w:rsidR="003012A4" w:rsidRPr="00301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A4"/>
    <w:rsid w:val="00050144"/>
    <w:rsid w:val="002E06E3"/>
    <w:rsid w:val="003012A4"/>
    <w:rsid w:val="003073F5"/>
    <w:rsid w:val="003166FF"/>
    <w:rsid w:val="003617EB"/>
    <w:rsid w:val="003F15B5"/>
    <w:rsid w:val="004C5748"/>
    <w:rsid w:val="008E6D61"/>
    <w:rsid w:val="00B62FA2"/>
    <w:rsid w:val="00F33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0B19"/>
  <w15:chartTrackingRefBased/>
  <w15:docId w15:val="{1B2C0AFC-CE16-4A3F-B3D8-8F192E4DB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A2"/>
    <w:pPr>
      <w:spacing w:before="120" w:after="280"/>
    </w:pPr>
    <w:rPr>
      <w:rFonts w:ascii="Times New Roman" w:hAnsi="Times New Roman"/>
      <w:sz w:val="32"/>
      <w:lang w:val="en-GB"/>
    </w:rPr>
  </w:style>
  <w:style w:type="paragraph" w:styleId="Heading1">
    <w:name w:val="heading 1"/>
    <w:basedOn w:val="Normal"/>
    <w:next w:val="Normal"/>
    <w:link w:val="Heading1Char"/>
    <w:autoRedefine/>
    <w:uiPriority w:val="9"/>
    <w:qFormat/>
    <w:rsid w:val="004C5748"/>
    <w:pPr>
      <w:keepNext/>
      <w:keepLines/>
      <w:spacing w:before="240" w:after="0"/>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3166FF"/>
    <w:pPr>
      <w:keepNext/>
      <w:keepLines/>
      <w:spacing w:before="40" w:after="0"/>
      <w:outlineLvl w:val="1"/>
    </w:pPr>
    <w:rPr>
      <w:rFonts w:asciiTheme="majorBidi" w:eastAsiaTheme="majorEastAsia" w:hAnsiTheme="majorBidi" w:cstheme="majorBidi"/>
      <w:b/>
      <w:color w:val="2F5496" w:themeColor="accent1" w:themeShade="BF"/>
      <w:sz w:val="36"/>
      <w:szCs w:val="26"/>
      <w:lang w:val="en-US"/>
    </w:rPr>
  </w:style>
  <w:style w:type="paragraph" w:styleId="Heading3">
    <w:name w:val="heading 3"/>
    <w:basedOn w:val="Normal"/>
    <w:next w:val="Normal"/>
    <w:link w:val="Heading3Char"/>
    <w:autoRedefine/>
    <w:uiPriority w:val="9"/>
    <w:unhideWhenUsed/>
    <w:qFormat/>
    <w:rsid w:val="00F33120"/>
    <w:pPr>
      <w:keepNext/>
      <w:keepLines/>
      <w:spacing w:before="40" w:after="0"/>
      <w:outlineLvl w:val="2"/>
    </w:pPr>
    <w:rPr>
      <w:rFonts w:asciiTheme="majorBidi" w:eastAsiaTheme="majorEastAsia" w:hAnsiTheme="majorBidi" w:cstheme="majorBidi"/>
      <w:b/>
      <w:bCs/>
      <w:color w:val="0070C0"/>
      <w:szCs w:val="24"/>
      <w:lang w:val="en-US" w:bidi="ar-K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48"/>
    <w:rPr>
      <w:rFonts w:asciiTheme="majorBidi" w:eastAsiaTheme="majorEastAsia" w:hAnsiTheme="majorBidi" w:cstheme="majorBidi"/>
      <w:color w:val="2F5496" w:themeColor="accent1" w:themeShade="BF"/>
      <w:sz w:val="36"/>
      <w:szCs w:val="32"/>
    </w:rPr>
  </w:style>
  <w:style w:type="paragraph" w:styleId="Title">
    <w:name w:val="Title"/>
    <w:basedOn w:val="Normal"/>
    <w:next w:val="Normal"/>
    <w:link w:val="TitleChar"/>
    <w:uiPriority w:val="10"/>
    <w:qFormat/>
    <w:rsid w:val="00307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F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33120"/>
    <w:rPr>
      <w:rFonts w:asciiTheme="majorBidi" w:eastAsiaTheme="majorEastAsia" w:hAnsiTheme="majorBidi" w:cstheme="majorBidi"/>
      <w:b/>
      <w:bCs/>
      <w:color w:val="0070C0"/>
      <w:sz w:val="32"/>
      <w:szCs w:val="24"/>
      <w:lang w:bidi="ar-KW"/>
    </w:rPr>
  </w:style>
  <w:style w:type="character" w:customStyle="1" w:styleId="Heading2Char">
    <w:name w:val="Heading 2 Char"/>
    <w:basedOn w:val="DefaultParagraphFont"/>
    <w:link w:val="Heading2"/>
    <w:uiPriority w:val="9"/>
    <w:rsid w:val="003166FF"/>
    <w:rPr>
      <w:rFonts w:asciiTheme="majorBidi" w:eastAsiaTheme="majorEastAsia" w:hAnsiTheme="majorBidi" w:cstheme="majorBidi"/>
      <w:b/>
      <w:color w:val="2F5496" w:themeColor="accent1" w:themeShade="BF"/>
      <w:sz w:val="3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946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Mohsen Alajmi</dc:creator>
  <cp:keywords/>
  <dc:description/>
  <cp:lastModifiedBy>Salem Mohsen Alajmi</cp:lastModifiedBy>
  <cp:revision>1</cp:revision>
  <dcterms:created xsi:type="dcterms:W3CDTF">2026-07-11T18:38:00Z</dcterms:created>
  <dcterms:modified xsi:type="dcterms:W3CDTF">2026-07-11T18:53:00Z</dcterms:modified>
</cp:coreProperties>
</file>