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وثيقة المواصفات التقنية النهائية والشاملة لمنصة الطباعة المتكاملة (الإصدار 3.1)</w:t>
      </w:r>
    </w:p>
    <w:p>
      <w:pPr>
        <w:pStyle w:val="MdParagraph"/>
      </w:pPr>
      <w:r>
        <w:rPr>
          <w:rStyle w:val="MdStrong"/>
          <w:b/>
          <w:bCs/>
        </w:rPr>
        <w:t xml:space="preserve">المؤلف:</w:t>
      </w:r>
      <w:r>
        <w:t xml:space="preserve"> Manus AI
</w:t>
      </w:r>
      <w:r>
        <w:rPr>
          <w:rStyle w:val="MdStrong"/>
          <w:b/>
          <w:bCs/>
        </w:rPr>
        <w:t xml:space="preserve">التاريخ:</w:t>
      </w:r>
      <w:r>
        <w:t xml:space="preserve"> 11 ديسمبر 2025
</w:t>
      </w:r>
      <w:r>
        <w:rPr>
          <w:rStyle w:val="MdStrong"/>
          <w:b/>
          <w:bCs/>
        </w:rPr>
        <w:t xml:space="preserve">الإصدار:</w:t>
      </w:r>
      <w:r>
        <w:t xml:space="preserve"> 3.2 (محدثة بهيكلة الجامعة)
</w:t>
      </w:r>
      <w:r>
        <w:rPr>
          <w:rStyle w:val="MdStrong"/>
          <w:b/>
          <w:bCs/>
        </w:rPr>
        <w:t xml:space="preserve">الهدف:</w:t>
      </w:r>
      <w:r>
        <w:t xml:space="preserve"> توثيق جميع المتطلبات المعتمدة لمنصة الطباعة المتكاملة، بما في ذلك منطق الأعمال، سير العمل، نماذج البيانات، ونظام الصلاحيات، والهيكل التنظيمي للمطبعة، لتكون مرجعاً نهائياً للتطوير.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المبادئ الأساسية ونموذج الجهة (Entity-Based Model)</w:t>
      </w:r>
    </w:p>
    <w:p>
      <w:pPr>
        <w:pStyle w:val="Heading3"/>
        <w:pStyle w:val="MdHeading3"/>
      </w:pPr>
      <w:r>
        <w:t xml:space="preserve">1.1 القاعدة الذهبية (Entity-Based Model)</w:t>
      </w:r>
    </w:p>
    <w:p>
      <w:pPr>
        <w:pStyle w:val="MdParagraph"/>
      </w:pPr>
      <w:r>
        <w:t xml:space="preserve">القاعدة الأساسية المعتمدة هي أن </w:t>
      </w:r>
      <w:r>
        <w:rPr>
          <w:rStyle w:val="MdStrong"/>
          <w:b/>
          <w:bCs/>
        </w:rPr>
        <w:t xml:space="preserve">جميع الطلبات تُسجل على الجهة (Entity)</w:t>
      </w:r>
      <w:r>
        <w:t xml:space="preserve"> (الكلية، العمادة، الإدارة) وليس على الموظف الفردي.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آلية العمل:</w:t>
      </w:r>
    </w:p>
    <w:p>
      <w:pPr>
        <w:pStyle w:val="MdListItem"/>
        <w:numPr>
          <w:ilvl w:val="1"/>
          <w:numId w:val="2"/>
        </w:numPr>
      </w:pPr>
      <w:r>
        <w:t xml:space="preserve">يُربط كل مستخدم بجهة واحدة (يُحدد من Active Directory).</w:t>
      </w:r>
    </w:p>
    <w:p>
      <w:pPr>
        <w:pStyle w:val="MdListItem"/>
        <w:numPr>
          <w:ilvl w:val="1"/>
          <w:numId w:val="2"/>
        </w:numPr>
      </w:pPr>
      <w:r>
        <w:t xml:space="preserve">عند إنشاء طلب، يُسجل آلياً باسم الجهة.</w:t>
      </w:r>
    </w:p>
    <w:p>
      <w:pPr>
        <w:pStyle w:val="MdListItem"/>
        <w:numPr>
          <w:ilvl w:val="1"/>
          <w:numId w:val="2"/>
        </w:numPr>
      </w:pPr>
      <w:r>
        <w:t xml:space="preserve">عند انتقال الموظف إلى إدارة أخرى، تبقى الطلبات السابقة للجهة الأصلية، مما يضمن استمرارية الملكية والمساءلة.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1.1.1 الهيكلة الهرمية للجهات (Entity Hierarchy)</w:t>
      </w:r>
    </w:p>
    <w:p>
      <w:pPr>
        <w:pStyle w:val="MdParagraph"/>
      </w:pPr>
      <w:r>
        <w:t xml:space="preserve">بناءً على هيكلة الجامعة، يجب أن يدعم النظام هيكلية هرمية للجهات (Entities) لتمكين التقارير والتحليلات على مستويات مختلفة.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المستوى الهرمي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مثال على الجهة (Entity)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الوظيفة في النظام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المستوى 1 (الأعلى)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الوكالة/القطاع (Vice-Rectorate)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تجميعي للتقارير والتحليلات.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المستوى 2 (المتوسط)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الكلية/العمادة (College/Deanship)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الجهة الرئيسية لرفع الطلبات والمساءلة.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المستوى 3 (الأدنى)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القسم/الوحدة (Department/Unit)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أدنى مستوى يمكن أن يُرفع منه الطلب.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آلية تطبيق الهيكلية:</w:t>
      </w:r>
    </w:p>
    <w:p>
      <w:pPr>
        <w:pStyle w:val="MdListItem"/>
        <w:numPr>
          <w:ilvl w:val="0"/>
          <w:numId w:val="2"/>
        </w:numPr>
      </w:pPr>
      <w:r>
        <w:t xml:space="preserve">يتم استيراد هذه الهيكلية من نظام Active Directory أو نظام الموارد البشرية.</w:t>
      </w:r>
    </w:p>
    <w:p>
      <w:pPr>
        <w:pStyle w:val="MdListItem"/>
        <w:numPr>
          <w:ilvl w:val="0"/>
          <w:numId w:val="2"/>
        </w:numPr>
      </w:pPr>
      <w:r>
        <w:t xml:space="preserve">يُسجل الطلب باسم الجهة في المستوى الأدنى (القسم/الوحدة) التابع لها المستخدم.</w:t>
      </w:r>
    </w:p>
    <w:p>
      <w:pPr>
        <w:pStyle w:val="MdListItem"/>
        <w:numPr>
          <w:ilvl w:val="0"/>
          <w:numId w:val="2"/>
        </w:numPr>
      </w:pPr>
      <w:r>
        <w:t xml:space="preserve">يتم ربط الطلب آلياً بالمستويات الأعلى (الكلية والوكالة) لغرض التقارير.</w:t>
      </w:r>
    </w:p>
    <w:p>
      <w:pPr>
        <w:pStyle w:val="MdListItem"/>
        <w:numPr>
          <w:ilvl w:val="0"/>
          <w:numId w:val="2"/>
        </w:numPr>
      </w:pPr>
      <w:r>
        <w:t xml:space="preserve">تُستخدم هذه الهيكلية في لوحة التقارير لتمكين مدير المطبعة من تصفية البيانات حسب الكلية أو الوكالة.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مرونة التحكم (Flexibility and Control)</w:t>
      </w:r>
    </w:p>
    <w:p>
      <w:pPr>
        <w:pStyle w:val="MdParagraph"/>
      </w:pPr>
      <w:r>
        <w:t xml:space="preserve">يُمكن لمدير المطبعة التحكم الكامل في النظام من خلال لوحة الإعدادات، بما في ذلك:</w:t>
      </w:r>
    </w:p>
    <w:p>
      <w:pPr>
        <w:pStyle w:val="MdListItem"/>
        <w:numPr>
          <w:ilvl w:val="0"/>
          <w:numId w:val="2"/>
        </w:numPr>
      </w:pPr>
      <w:r>
        <w:t xml:space="preserve">إخفاء/إظهار أي حقل أو خدمة للمستخدمين.</w:t>
      </w:r>
    </w:p>
    <w:p>
      <w:pPr>
        <w:pStyle w:val="MdListItem"/>
        <w:numPr>
          <w:ilvl w:val="0"/>
          <w:numId w:val="2"/>
        </w:numPr>
      </w:pPr>
      <w:r>
        <w:t xml:space="preserve">تعديل خيارات القوائم المنسدلة.</w:t>
      </w:r>
    </w:p>
    <w:p>
      <w:pPr>
        <w:pStyle w:val="MdListItem"/>
        <w:numPr>
          <w:ilvl w:val="0"/>
          <w:numId w:val="2"/>
        </w:numPr>
      </w:pPr>
      <w:r>
        <w:t xml:space="preserve">تغيير إلزامية الحقول.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أدوار المستخدمين والصلاحيات (User Roles and Permissions)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الدور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المسؤوليات الرئيسية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صلاحيات منطق الأعمال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المستهلك (Consumer)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رفع الطلبات، متابعة الحالة، حجز المواعيد، تقييم الخدمة.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تأكيد الطلب</w:t>
            </w:r>
            <w:r>
              <w:t xml:space="preserve"> (خلال 72 ساعة)، </w:t>
            </w:r>
            <w:r>
              <w:rPr>
                <w:rStyle w:val="MdStrong"/>
                <w:b/>
                <w:bCs/>
              </w:rPr>
              <w:t xml:space="preserve">حجز تسليم/توصيل/زيارة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مدير المطبعة (Print Manager)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المراجعة الأولية، الإشراف العام، إدارة الإعدادات، </w:t>
            </w:r>
            <w:r>
              <w:rPr>
                <w:rStyle w:val="MdStrong"/>
                <w:b/>
                <w:bCs/>
              </w:rPr>
              <w:t xml:space="preserve">الإشراف على الصيانة والمخزون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قبول/رفض/إلغاء/تعليق</w:t>
            </w:r>
            <w:r>
              <w:t xml:space="preserve"> أي طلب، </w:t>
            </w:r>
            <w:r>
              <w:rPr>
                <w:rStyle w:val="MdStrong"/>
                <w:b/>
                <w:bCs/>
              </w:rPr>
              <w:t xml:space="preserve">تحديد الأولوية</w:t>
            </w:r>
            <w:r>
              <w:t xml:space="preserve">، </w:t>
            </w:r>
            <w:r>
              <w:rPr>
                <w:rStyle w:val="MdStrong"/>
                <w:b/>
                <w:bCs/>
              </w:rPr>
              <w:t xml:space="preserve">إدارة مواعيد الزيارات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مدير القسم (Department Manager)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الإشراف على القسم (تصميم/طباعة)، </w:t>
            </w:r>
            <w:r>
              <w:rPr>
                <w:rStyle w:val="MdStrong"/>
                <w:b/>
                <w:bCs/>
              </w:rPr>
              <w:t xml:space="preserve">متابعة الإنتاجية اليومية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تعليق</w:t>
            </w:r>
            <w:r>
              <w:t xml:space="preserve"> الطلب فقط (لا يملك صلاحية الإلغاء)، متابعة الإنتاجية.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موظف القسم (Department Employee)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تنفيذ الطلبات، تحديث الحالة، إدخال الكميات المنفذة.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تحديث حالة الطلب</w:t>
            </w:r>
            <w:r>
              <w:t xml:space="preserve">، </w:t>
            </w:r>
            <w:r>
              <w:rPr>
                <w:rStyle w:val="MdStrong"/>
                <w:b/>
                <w:bCs/>
              </w:rPr>
              <w:t xml:space="preserve">إدخال الكمية الفعلية المنفذة</w:t>
            </w:r>
            <w:r>
              <w:t xml:space="preserve"> (لخصم المخزون).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مشرف التدريب (Training Supervisor)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إدارة طلبات التدريب التعاوني.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قبول/رفض</w:t>
            </w:r>
            <w:r>
              <w:t xml:space="preserve"> طلبات التدريب، </w:t>
            </w:r>
            <w:r>
              <w:rPr>
                <w:rStyle w:val="MdStrong"/>
                <w:b/>
                <w:bCs/>
              </w:rPr>
              <w:t xml:space="preserve">التقييم الأسبوعي والنهائي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2.1 الهيكل التنظيمي والوحدات التشغيلية (Organizational Structure and Operational Units)</w:t>
      </w:r>
    </w:p>
    <w:p>
      <w:pPr>
        <w:pStyle w:val="MdParagraph"/>
      </w:pPr>
      <w:r>
        <w:t xml:space="preserve">تعتمد المنصة في سير عملها على الهيكل التنظيمي الفعلي للمطبعة، والذي ينعكس في مسارات سير العمل (Workflow) وتوزيع المهام. الوحدات الرئيسية هي: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الوحدة التشغيلية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المسؤوليات الرئيسية (المنعكسة في النظام)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التصميم والإخراج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تصميم المطبوعات، ضمان الالتزام بالهوية البصرية، إعداد الملفات النهائية للطباعة، أرشفة التصاميم.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الطباعة (أوفست/ديجيتال)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تنفيذ الطباعة، الصيانة الدورية للآلات، تطبيق معايير الجودة والسلامة، أرشفة الملفات بعد الطباعة.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الأسطح الطباعية (C.T.P)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إعداد وتجهيز ألواح الطباعة (Plates)، حفظ الألواح والنماذج المكررة.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القص والتجليد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عمليات التجليد والقص والتجميع، تغليف المطبوعات النهائية.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المستودعات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إدارة المخزون (الورق، الأحبار، المواد الخام)، متابعة حركة المواد، الجرد السنوي. </w:t>
            </w:r>
            <w:r>
              <w:rPr>
                <w:rStyle w:val="MdStrong"/>
                <w:b/>
                <w:bCs/>
              </w:rPr>
              <w:t xml:space="preserve">(هذه الوحدة هي المسؤولة عن نظام المخزون في المنصة)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وحدة الدعم الفني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الإشراف على الأنظمة التقنية للمطبعة، أتمتة الإجراءات، تقديم الدعم الفني للموظفين.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خدمة طلب التصميم (Design Service)</w:t>
      </w:r>
    </w:p>
    <w:p>
      <w:pPr>
        <w:pStyle w:val="Heading3"/>
        <w:pStyle w:val="MdHeading3"/>
      </w:pPr>
      <w:r>
        <w:t xml:space="preserve">3.1 نموذج طلب تصميم جديد (DES-01)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الحقل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النوع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الإلزامية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ملاحظات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design_type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بوستر، بروشور، كارت، شهادة، شعار، إلخ.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نص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عنوان واضح (الحد الأقصى 200 حرف).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A0-A6 أو مخصص.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نص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الهدف، الألوان المطلوبة، الرسالة.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priority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عادي، عاجل، طارئ.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attachments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ملفات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ملفات توضيحية (PDF, PNG, AI, PSD) بحد أقصى 25MB.</w:t>
            </w:r>
          </w:p>
        </w:tc>
      </w:tr>
    </w:tbl>
    <w:p>
      <w:pPr>
        <w:pStyle w:val="Heading3"/>
        <w:pStyle w:val="MdHeading3"/>
      </w:pPr>
      <w:r>
        <w:t xml:space="preserve">3.2 سير عمل التصميم (Design Workflow)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PENDING_REVIEW:</w:t>
      </w:r>
      <w:r>
        <w:t xml:space="preserve"> مراجعة مدير المطبعة (قبول $\rightarrow$ </w:t>
      </w:r>
      <w:r>
        <w:rPr>
          <w:rStyle w:val="MdCode"/>
          <w:u w:val="single"/>
        </w:rPr>
        <w:t xml:space="preserve">IN_DESIGN</w:t>
      </w:r>
      <w:r>
        <w:t xml:space="preserve"> / رفض $\rightarrow$ </w:t>
      </w:r>
      <w:r>
        <w:rPr>
          <w:rStyle w:val="MdCode"/>
          <w:u w:val="single"/>
        </w:rPr>
        <w:t xml:space="preserve">REJECTED</w:t>
      </w:r>
      <w:r>
        <w:t xml:space="preserve"> / إرجاع $\rightarrow$ </w:t>
      </w:r>
      <w:r>
        <w:rPr>
          <w:rStyle w:val="MdCode"/>
          <w:u w:val="single"/>
        </w:rPr>
        <w:t xml:space="preserve">RETURNED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IN_DESIGN:</w:t>
      </w:r>
      <w:r>
        <w:t xml:space="preserve"> تنفيذ موظف التصميم. يتم تفعيل خاصية حجز موعد للمستهلك للتناقش.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PENDING_CONFIRM:</w:t>
      </w:r>
      <w:r>
        <w:t xml:space="preserve"> </w:t>
      </w:r>
      <w:r>
        <w:rPr>
          <w:rStyle w:val="MdStrong"/>
          <w:b/>
          <w:bCs/>
        </w:rPr>
        <w:t xml:space="preserve">قاعدة الـ 72 ساعة:</w:t>
      </w:r>
      <w:r>
        <w:t xml:space="preserve"> يُرسل للمستهلك للتأكيد. إذا لم يؤكد خلال 72 ساعة، يُعلق الطلب آلياً (</w:t>
      </w:r>
      <w:r>
        <w:rPr>
          <w:rStyle w:val="MdCode"/>
          <w:u w:val="single"/>
        </w:rPr>
        <w:t xml:space="preserve">SUSPENDED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COMPLETED:</w:t>
      </w:r>
      <w:r>
        <w:t xml:space="preserve"> بعد تأكيد المستهلك.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خدمة طلب الطباعة (Printing Service)</w:t>
      </w:r>
    </w:p>
    <w:p>
      <w:pPr>
        <w:pStyle w:val="Heading3"/>
        <w:pStyle w:val="MdHeading3"/>
      </w:pPr>
      <w:r>
        <w:t xml:space="preserve">4.1 نموذج طلب الطباعة (PRT-01)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الحقل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النوع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الإلزامية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ملاحظات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print_type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 نوعاً (كتب، كروت شخصية، بانرات، إلخ).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production_dept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أوفست، ديجيتال، GTO.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ISO 216 (A0-A7) أو مخصص.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paper_type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عادي، كوشيه، كرتون، شفاف، ستيكر.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paper_weight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70g - 350g.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رقم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الكمية المطلوبة (الحد الأدنى 1).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ملف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شرطي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إلزامي</w:t>
            </w:r>
            <w:r>
              <w:t xml:space="preserve"> لـ "الكروت الشخصية" حتى لو كان المصدر طلب سابق.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delivery_method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قائمة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✓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استلام ذاتي، توصيل، توصيل + تركيب.</w:t>
            </w:r>
          </w:p>
        </w:tc>
      </w:tr>
    </w:tbl>
    <w:p>
      <w:pPr>
        <w:pStyle w:val="Heading3"/>
        <w:pStyle w:val="MdHeading3"/>
      </w:pPr>
      <w:r>
        <w:t xml:space="preserve">4.2 سير عمل الطباعة (Printing Workflow)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PENDING_REVIEW:</w:t>
      </w:r>
      <w:r>
        <w:t xml:space="preserve"> مدير المطبعة يحدد الأولوية ويحيل للقسم المختص.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IN_PRODUCTION:</w:t>
      </w:r>
      <w:r>
        <w:t xml:space="preserve"> موظف القسم ينفذ العمل </w:t>
      </w:r>
      <w:r>
        <w:rPr>
          <w:rStyle w:val="MdStrong"/>
          <w:b/>
          <w:bCs/>
        </w:rPr>
        <w:t xml:space="preserve">ويدخل الكمية الفعلية المنفذة</w:t>
      </w:r>
      <w:r>
        <w:t xml:space="preserve"> (لخصم المخزون).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PENDING_CONFIRM:</w:t>
      </w:r>
      <w:r>
        <w:t xml:space="preserve"> قاعدة الـ 72 ساعة لتأكيد المستهلك.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IN_WAREHOUSE:</w:t>
      </w:r>
      <w:r>
        <w:t xml:space="preserve"> الطلب جاهز للتسليم. يتم تفعيل نموذج التسليم/التوصيل للمستهلك. </w:t>
      </w:r>
      <w:r>
        <w:rPr>
          <w:rStyle w:val="MdStrong"/>
          <w:b/>
          <w:bCs/>
        </w:rPr>
        <w:t xml:space="preserve">(هذه المرحلة تعكس دور وحدة المستودعات)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DELIVERY_SCHEDULED:</w:t>
      </w:r>
      <w:r>
        <w:t xml:space="preserve"> المستهلك حجز موعد التسليم/التوصيل.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ARCHIVED:</w:t>
      </w:r>
      <w:r>
        <w:t xml:space="preserve"> بعد تأكيد الاستلام النهائي من المستهلك أو الموصل.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نظام المخزون والخصم الآلي (Inventory and Automatic Deduction)</w:t>
      </w:r>
    </w:p>
    <w:p>
      <w:pPr>
        <w:pStyle w:val="MdParagraph"/>
      </w:pPr>
      <w:r>
        <w:t xml:space="preserve">تم اعتماد نظام الخصم الآلي للمخزون لضمان دقة التقارير، وهو يعكس مهام </w:t>
      </w:r>
      <w:r>
        <w:rPr>
          <w:rStyle w:val="MdStrong"/>
          <w:b/>
          <w:bCs/>
        </w:rPr>
        <w:t xml:space="preserve">وحدة المستودعات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آلية الخصم الآلي</w:t>
      </w:r>
    </w:p>
    <w:p>
      <w:pPr>
        <w:pStyle w:val="MdParagraph"/>
      </w:pPr>
      <w:r>
        <w:t xml:space="preserve">يتم الخصم آلياً من المخزون بناءً على الكمية الفعلية التي يدخلها موظف الطباعة عند إكمال الطلب.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صيغة حساب الأوراق المستهلكة:</w:t>
      </w:r>
      <w:r>
        <w:t xml:space="preserve">
$$\text{إجمالي الأوراق} = (\text{عدد الأوجه} \times \text{عدد الصفحات}) \times \text{الكمية الفعلية المنفذة}$$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تنبيهات المخزون</w:t>
      </w:r>
    </w:p>
    <w:p>
      <w:pPr>
        <w:pStyle w:val="MdListItem"/>
        <w:numPr>
          <w:ilvl w:val="0"/>
          <w:numId w:val="2"/>
        </w:numPr>
      </w:pPr>
      <w:r>
        <w:t xml:space="preserve">يتم إرسال تنبيه داخلي لمدير المطبعة عند وصول كمية أي صنف إلى </w:t>
      </w:r>
      <w:r>
        <w:rPr>
          <w:rStyle w:val="MdStrong"/>
          <w:b/>
          <w:bCs/>
        </w:rPr>
        <w:t xml:space="preserve">الحد الأدنى للتنبيه</w:t>
      </w:r>
      <w:r>
        <w:t xml:space="preserve"> (</w:t>
      </w:r>
      <w:r>
        <w:rPr>
          <w:rStyle w:val="MdCode"/>
          <w:u w:val="single"/>
        </w:rPr>
        <w:t xml:space="preserve">min_quantity</w:t>
      </w:r>
      <w:r>
        <w:t xml:space="preserve">) المحدد في جدول المخزون.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خدمة حجز الزيارات (Visit Booking Service)</w:t>
      </w:r>
    </w:p>
    <w:p>
      <w:pPr>
        <w:pStyle w:val="Heading3"/>
        <w:pStyle w:val="MdHeading3"/>
      </w:pPr>
      <w:r>
        <w:t xml:space="preserve">6.1 سير عمل الزيارات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الزيارة الداخلية:</w:t>
      </w:r>
      <w:r>
        <w:t xml:space="preserve"> تقديم الطلب $\rightarrow$ مراجعة مدير المطبعة (قبول/رفض/تأجيل).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الزيارة الخارجية:</w:t>
      </w:r>
      <w:r>
        <w:t xml:space="preserve"> تقديم الطلب + </w:t>
      </w:r>
      <w:r>
        <w:rPr>
          <w:rStyle w:val="MdStrong"/>
          <w:b/>
          <w:bCs/>
        </w:rPr>
        <w:t xml:space="preserve">إرفاق تصريح موقع ومختوم إلزامي</w:t>
      </w:r>
      <w:r>
        <w:t xml:space="preserve"> $\rightarrow$ مراجعة مدير المطبعة $\rightarrow$ مراجعة إدارة الأمن (اعتماد/رفض).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إدارة المواعيد (Business Logic)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صلاحيات المدير:</w:t>
      </w:r>
      <w:r>
        <w:t xml:space="preserve"> مدير المطبعة يحدد الأيام المتاحة، يحجب أياماً كاملة (صيانة، إجازات)، ويخصص أياماً لأنواع معينة من الزيارات.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منع التعارض:</w:t>
      </w:r>
      <w:r>
        <w:t xml:space="preserve"> يمنع النظام آلياً حجز مواعيد متضاربة.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قاعدة التأخير:</w:t>
      </w:r>
      <w:r>
        <w:t xml:space="preserve"> يُلغى الموعد آلياً عند التأخير 10 دقائق عن الموعد المحدد.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نظام الإشعارات (Notifications System)</w:t>
      </w:r>
    </w:p>
    <w:p>
      <w:pPr>
        <w:pStyle w:val="MdParagraph"/>
      </w:pPr>
      <w:r>
        <w:t xml:space="preserve">يتم إرسال الإشعارات داخلياً (In-App) وعبر البريد الإلكتروني (مع إمكانية تعطيل الإشعارات الخارجية من قبل المستخدم).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الحدث (Trigger)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المستفيد (Recipient)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نوع الإشعار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تجاوز مهلة التنفيذ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المطبعة، مدير القسم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تنبيه داخلي وإيميل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قرب انتهاء مهلة الـ 72 ساعة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المستهلك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تنبيه داخلي وإيميل (قبل 24 ساعة)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بلط جاهز للتسليم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المستهلك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تنبيه داخلي وإيميل (مع رابط حجز التسليم)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انخفاض المخزون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تنبيه داخلي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تغيير حالة الطلب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المستهلك، المعنيون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تنبيه داخلي فوري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هيكلة الصفحات (Routes)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المسار (Route)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الدور المستهدف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الوصف الوظيفي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جميع الأدوار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تسجيل الدخول الموحد (SSO) عبر Active Directory.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جميع الأدوار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لوحة معلومات مخصصة تعرض مؤشرات الأداء والإجراءات المطلوبة.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/requests/new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المستهلك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نموذج موحد لرفع طلبات الطباعة/التصميم.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/visits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المستهلك، المدير، الأمن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إدارة وحجز ومراجعة طلبات الزيارات.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/admin/inventory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إدخال ومتابعة المخزون (مع خاصية الخصم الآلي).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/admin/pricing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إدخال أسعار الخدمات (مخفية عن المستخدمين).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/admin/reports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تقارير الطلبات، التوفير، الإنتاجية، المخزون.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/admin/settings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مدير المطبعة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التحكم الكامل في مرونة النظام (إخفاء/إظهار الحقول والخدمات).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ملاحظة أخيرة:</w:t>
      </w:r>
      <w:r>
        <w:t xml:space="preserve"> هذه الوثيقة هي المرجع النهائي المعتمد للتطوير. يجب على فريق العمل الالتزام التام بجميع القواعد المنطقية وسير العمل الموضح فيها.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2025-12-22T20:14:47.459Z</dcterms:created>
  <dcterms:modified xsi:type="dcterms:W3CDTF">2025-12-22T20:14:47.459Z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