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r>
        <w:t>Date: 2026-02-22</w:t>
      </w:r>
    </w:p>
    <w:p>
      <w:r>
        <w:t>Product: Token-Driven UI Orchestration Platform</w:t>
      </w:r>
    </w:p>
    <w:p>
      <w:pPr>
        <w:pStyle w:val="Heading2"/>
      </w:pPr>
      <w:r>
        <w:t>1. System Architecture Layers</w:t>
      </w:r>
    </w:p>
    <w:p>
      <w:r>
        <w:t>1. Primitive Tokens (base scales)</w:t>
      </w:r>
    </w:p>
    <w:p>
      <w:r>
        <w:t>2. Semantic Tokens (theme layer)</w:t>
      </w:r>
    </w:p>
    <w:p>
      <w:r>
        <w:t>3. Component Tokens (component API contract)</w:t>
      </w:r>
    </w:p>
    <w:p>
      <w:r>
        <w:t>4. Structural SCSS (BEM-only usage)</w:t>
      </w:r>
    </w:p>
    <w:p>
      <w:r>
        <w:t>5. Adapter Layer (framework mapping only)</w:t>
      </w:r>
    </w:p>
    <w:p>
      <w:r>
        <w:t>6. Registry Layer (metadata-driven rendering)</w:t>
      </w:r>
    </w:p>
    <w:p>
      <w:r>
        <w:t>7. Sync Layer (Figma integration)</w:t>
      </w:r>
    </w:p>
    <w:p>
      <w:r>
        <w:t>8. Conflict Engine</w:t>
      </w:r>
    </w:p>
    <w:p>
      <w:r>
        <w:t>9. Theme Generator</w:t>
      </w:r>
    </w:p>
    <w:p>
      <w:pPr>
        <w:pStyle w:val="Heading2"/>
      </w:pPr>
      <w:r>
        <w:t>2. Token Governance Rules</w:t>
      </w:r>
    </w:p>
    <w:p>
      <w:r>
        <w:t>- Primitives cannot reference semantic or component.</w:t>
      </w:r>
    </w:p>
    <w:p>
      <w:r>
        <w:t>- Semantic can reference primitives only.</w:t>
      </w:r>
    </w:p>
    <w:p>
      <w:r>
        <w:t>- Component tokens reference semantic only.</w:t>
      </w:r>
    </w:p>
    <w:p>
      <w:r>
        <w:t>- Structural SCSS uses component tokens only.</w:t>
      </w:r>
    </w:p>
    <w:p>
      <w:r>
        <w:t>- Adapters cannot redefine tokens.</w:t>
      </w:r>
    </w:p>
    <w:p>
      <w:pPr>
        <w:pStyle w:val="Heading2"/>
      </w:pPr>
      <w:r>
        <w:t>3. Dynamic Registry Requirements</w:t>
      </w:r>
    </w:p>
    <w:p>
      <w:r>
        <w:t>- component.registry.json required.</w:t>
      </w:r>
    </w:p>
    <w:p>
      <w:r>
        <w:t>- adapter.registry.json required.</w:t>
      </w:r>
    </w:p>
    <w:p>
      <w:r>
        <w:t>- Docs and Preview must render dynamically from registry.</w:t>
      </w:r>
    </w:p>
    <w:p>
      <w:r>
        <w:t>- No hardcoded component markup allowed.</w:t>
      </w:r>
    </w:p>
    <w:p>
      <w:pPr>
        <w:pStyle w:val="Heading2"/>
      </w:pPr>
      <w:r>
        <w:t>4. Figma Sync Requirements</w:t>
      </w:r>
    </w:p>
    <w:p>
      <w:r>
        <w:t>- Support Overwrite Semantic, New Theme, Safe Merge modes.</w:t>
      </w:r>
    </w:p>
    <w:p>
      <w:r>
        <w:t>- Dry-run is default.</w:t>
      </w:r>
    </w:p>
    <w:p>
      <w:r>
        <w:t>- Must generate diff report.</w:t>
      </w:r>
    </w:p>
    <w:p>
      <w:r>
        <w:t>- Rollback file required before commit.</w:t>
      </w:r>
    </w:p>
    <w:p>
      <w:r>
        <w:t>- No component or structural modifications allowed.</w:t>
      </w:r>
    </w:p>
    <w:p>
      <w:pPr>
        <w:pStyle w:val="Heading2"/>
      </w:pPr>
      <w:r>
        <w:t>5. Versioning Strategy</w:t>
      </w:r>
    </w:p>
    <w:p>
      <w:r>
        <w:t>- Primitive changes → Major.</w:t>
      </w:r>
    </w:p>
    <w:p>
      <w:r>
        <w:t>- Semantic additions → Minor.</w:t>
      </w:r>
    </w:p>
    <w:p>
      <w:r>
        <w:t>- Component API additions → Minor.</w:t>
      </w:r>
    </w:p>
    <w:p>
      <w:r>
        <w:t>- Breaking token rename → Major.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