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b/>
          <w:bCs/>
          <w:color w:val="0C6E86"/>
          <w:sz w:val="40"/>
          <w:szCs w:val="40"/>
        </w:rPr>
        <w:t xml:space="preserve">Loan Interest Rate Feature</w:t>
      </w:r>
    </w:p>
    <w:p>
      <w:pPr>
        <w:spacing w:after="40"/>
      </w:pPr>
      <w:r>
        <w:rPr>
          <w:b/>
          <w:bCs/>
          <w:color w:val="141D27"/>
          <w:sz w:val="26"/>
          <w:szCs w:val="26"/>
        </w:rPr>
        <w:t xml:space="preserve">Investigation &amp; Decision Log</w:t>
      </w:r>
    </w:p>
    <w:p>
      <w:pPr>
        <w:spacing w:after="180"/>
      </w:pPr>
      <w:r>
        <w:rPr>
          <w:i/>
          <w:iCs/>
          <w:color w:val="56697B"/>
          <w:sz w:val="19"/>
          <w:szCs w:val="19"/>
        </w:rPr>
        <w:t xml:space="preserve">Revised 26 Aug 2026 — final decision updated to KEEP the feature (with a documented caveat). All investigative findings below are unchanged.</w:t>
      </w:r>
    </w:p>
    <w:p>
      <w:pPr>
        <w:pStyle w:val="Heading1"/>
        <w:spacing w:after="130" w:before="320"/>
      </w:pPr>
      <w:r>
        <w:rPr>
          <w:b/>
          <w:bCs/>
          <w:color w:val="0C6E86"/>
        </w:rPr>
        <w:t xml:space="preserve">Background</w:t>
      </w:r>
    </w:p>
    <w:p>
      <w:pPr>
        <w:spacing w:after="120" w:line="282"/>
      </w:pPr>
      <w:r>
        <w:t xml:space="preserve">While building an interactive tester for a loan approval model (XGBoost, trained on a synthetic Kaggle-style credit dataset with columns: person_age, person_gender, person_education, person_income, person_emp_exp, person_home_ownership, loan_amnt, loan_intent, loan_int_rate, loan_percent_income, cb_person_cred_hist_length, credit_score, previous_loan_defaults_on_file, loan_status), a counterintuitive pattern surfaced during manual “what-if” testing: raising the applicant’s interest rate increased their approval probability, and lowering it decreased approval probability. This is backwards from real-world lending logic, where higher rates are assigned to riskier borrowers and shouldn’t causally improve approval odds.</w:t>
      </w:r>
    </w:p>
    <w:p>
      <w:pPr>
        <w:pStyle w:val="Heading1"/>
        <w:spacing w:after="130" w:before="320"/>
      </w:pPr>
      <w:r>
        <w:rPr>
          <w:b/>
          <w:bCs/>
          <w:color w:val="0C6E86"/>
        </w:rPr>
        <w:t xml:space="preserve">Investigation timeline</w:t>
      </w:r>
    </w:p>
    <w:p>
      <w:pPr>
        <w:pStyle w:val="Heading2"/>
        <w:spacing w:after="80" w:before="220"/>
      </w:pPr>
      <w:r>
        <w:rPr>
          <w:b/>
          <w:bCs/>
          <w:color w:val="141D27"/>
        </w:rPr>
        <w:t xml:space="preserve">Step 1 — Ruled out a data/label bug first, not a model bug</w:t>
      </w:r>
    </w:p>
    <w:p>
      <w:pPr>
        <w:spacing w:after="120" w:line="282"/>
      </w:pPr>
      <w:r>
        <w:t xml:space="preserve">Before suspecting the model, a bucketed approval-rate analysis was run:</w:t>
      </w:r>
    </w:p>
    <w:p>
      <w:pPr>
        <w:pBdr>
          <w:left w:val="single" w:color="0C6E86" w:sz="14"/>
        </w:pBdr>
        <w:shd w:fill="F4F7F9" w:color="auto" w:val="clear"/>
        <w:spacing w:after="120"/>
        <w:ind w:left="120"/>
      </w:pPr>
      <w:r>
        <w:rPr>
          <w:rFonts w:ascii="Consolas" w:cs="Consolas" w:eastAsia="Consolas" w:hAnsi="Consolas"/>
          <w:color w:val="334155"/>
          <w:sz w:val="19"/>
          <w:szCs w:val="19"/>
        </w:rPr>
        <w:t xml:space="preserve">df["rate_bucket"] = pd.cut(df["loan_int_rate"], bins=10)</w:t>
      </w:r>
    </w:p>
    <w:p>
      <w:pPr>
        <w:pBdr>
          <w:left w:val="single" w:color="0C6E86" w:sz="14"/>
        </w:pBdr>
        <w:shd w:fill="F4F7F9" w:color="auto" w:val="clear"/>
        <w:spacing w:after="120"/>
        <w:ind w:left="120"/>
      </w:pPr>
      <w:r>
        <w:rPr>
          <w:rFonts w:ascii="Consolas" w:cs="Consolas" w:eastAsia="Consolas" w:hAnsi="Consolas"/>
          <w:color w:val="334155"/>
          <w:sz w:val="19"/>
          <w:szCs w:val="19"/>
        </w:rPr>
        <w:t xml:space="preserve">approval_by_rate = df.groupby("rate_bucket")["loan_status"].mean()</w:t>
      </w:r>
    </w:p>
    <w:p>
      <w:pPr>
        <w:spacing w:after="120" w:line="282"/>
      </w:pPr>
      <w:r>
        <w:t xml:space="preserve">Result was monotonically increasing across all 10 buckets, from ~7% approval at the lowest rate bucket up to ~73% approval at the highest. This ruled out noise/coincidence — it's a real, strong, consistent relationship baked into the training data itself, not an artifact of a specific test case.</w:t>
      </w:r>
    </w:p>
    <w:p>
      <w:pPr>
        <w:pStyle w:val="Heading2"/>
        <w:spacing w:after="80" w:before="220"/>
      </w:pPr>
      <w:r>
        <w:rPr>
          <w:b/>
          <w:bCs/>
          <w:color w:val="141D27"/>
        </w:rPr>
        <w:t xml:space="preserve">Step 2 — Confirmed target variable semantics</w:t>
      </w:r>
    </w:p>
    <w:p>
      <w:pPr>
        <w:spacing w:after="120" w:line="282"/>
      </w:pPr>
      <w:r>
        <w:t xml:space="preserve">Initially hypothesized loan_status might be inverted (1 = defaulted, not approved) since a flipped label would fully explain the reversed relationship. Checked the dataset documentation: loan_status is confirmed to be 1 = approved, 0 = rejected. So the label itself is not inverted; the reversed interest-rate relationship is real.</w:t>
      </w:r>
    </w:p>
    <w:p>
      <w:pPr>
        <w:pStyle w:val="Heading2"/>
        <w:spacing w:after="80" w:before="220"/>
      </w:pPr>
      <w:r>
        <w:rPr>
          <w:b/>
          <w:bCs/>
          <w:color w:val="141D27"/>
        </w:rPr>
        <w:t xml:space="preserve">Step 3 — Searched for a hidden confounder</w:t>
      </w:r>
    </w:p>
    <w:p>
      <w:pPr>
        <w:spacing w:after="120" w:line="282"/>
      </w:pPr>
      <w:r>
        <w:t xml:space="preserve">Hypothesized a loan_grade-style internal risk tier might exist, which would explain the pattern as two symptoms of the same underlying decision rather than a causal interest-rate effect. No loan_grade column exists in this dataset version (confirmed via df.columns.tolist()). Ran a full numeric correlation matrix against both loan_status and loan_int_rate:</w:t>
      </w:r>
    </w:p>
    <w:tbl>
      <w:tblPr>
        <w:tblW w:type="dxa" w:w="9026"/>
        <w:tblBorders>
          <w:top w:val="single" w:color="CBD5DD" w:sz="2"/>
          <w:left w:val="single" w:color="CBD5DD" w:sz="2"/>
          <w:bottom w:val="single" w:color="CBD5DD" w:sz="2"/>
          <w:right w:val="single" w:color="CBD5DD" w:sz="2"/>
          <w:insideH w:val="single" w:color="DDE3E9" w:sz="1"/>
          <w:insideV w:val="single" w:color="DDE3E9" w:sz="1"/>
        </w:tblBorders>
      </w:tblPr>
      <w:tblGrid>
        <w:gridCol w:w="4500"/>
        <w:gridCol w:w="4526"/>
      </w:tblGrid>
      <w:tr>
        <w:trPr>
          <w:tblHeader/>
        </w:trPr>
        <w:tc>
          <w:tcPr>
            <w:tcW w:type="dxa" w:w="4500"/>
            <w:shd w:fill="0C6E86" w:color="auto" w:val="clear"/>
            <w:tcMar>
              <w:top w:type="dxa" w:w="70"/>
              <w:left w:type="dxa" w:w="110"/>
              <w:bottom w:type="dxa" w:w="70"/>
              <w:right w:type="dxa" w:w="110"/>
            </w:tcMar>
          </w:tcPr>
          <w:p>
            <w:r>
              <w:rPr>
                <w:b/>
                <w:bCs/>
                <w:color w:val="FFFFFF"/>
                <w:sz w:val="18"/>
                <w:szCs w:val="18"/>
              </w:rPr>
              <w:t xml:space="preserve">loan_status correlations</w:t>
            </w:r>
          </w:p>
        </w:tc>
        <w:tc>
          <w:tcPr>
            <w:tcW w:type="dxa" w:w="4526"/>
            <w:shd w:fill="0C6E86" w:color="auto" w:val="clear"/>
            <w:tcMar>
              <w:top w:type="dxa" w:w="70"/>
              <w:left w:type="dxa" w:w="110"/>
              <w:bottom w:type="dxa" w:w="70"/>
              <w:right w:type="dxa" w:w="110"/>
            </w:tcMar>
          </w:tcPr>
          <w:p>
            <w:r>
              <w:rPr>
                <w:b/>
                <w:bCs/>
                <w:color w:val="FFFFFF"/>
                <w:sz w:val="18"/>
                <w:szCs w:val="18"/>
              </w:rPr>
              <w:t xml:space="preserve"/>
            </w:r>
          </w:p>
        </w:tc>
      </w:tr>
      <w:tr>
        <w:tc>
          <w:tcPr>
            <w:tcW w:type="dxa" w:w="4500"/>
            <w:shd w:fill="F4F7F9" w:color="auto" w:val="clear"/>
            <w:tcMar>
              <w:top w:type="dxa" w:w="60"/>
              <w:left w:type="dxa" w:w="110"/>
              <w:bottom w:type="dxa" w:w="60"/>
              <w:right w:type="dxa" w:w="110"/>
            </w:tcMar>
          </w:tcPr>
          <w:p>
            <w:r>
              <w:rPr>
                <w:sz w:val="18"/>
                <w:szCs w:val="18"/>
              </w:rPr>
              <w:t xml:space="preserve">loan_percent_income</w:t>
            </w:r>
          </w:p>
        </w:tc>
        <w:tc>
          <w:tcPr>
            <w:tcW w:type="dxa" w:w="4526"/>
            <w:shd w:fill="F4F7F9" w:color="auto" w:val="clear"/>
            <w:tcMar>
              <w:top w:type="dxa" w:w="60"/>
              <w:left w:type="dxa" w:w="110"/>
              <w:bottom w:type="dxa" w:w="60"/>
              <w:right w:type="dxa" w:w="110"/>
            </w:tcMar>
          </w:tcPr>
          <w:p>
            <w:r>
              <w:rPr>
                <w:sz w:val="18"/>
                <w:szCs w:val="18"/>
              </w:rPr>
              <w:t xml:space="preserve">0.378</w:t>
            </w:r>
          </w:p>
        </w:tc>
      </w:tr>
      <w:tr>
        <w:tc>
          <w:tcPr>
            <w:tcW w:type="dxa" w:w="4500"/>
            <w:shd w:fill="FFFFFF" w:color="auto" w:val="clear"/>
            <w:tcMar>
              <w:top w:type="dxa" w:w="60"/>
              <w:left w:type="dxa" w:w="110"/>
              <w:bottom w:type="dxa" w:w="60"/>
              <w:right w:type="dxa" w:w="110"/>
            </w:tcMar>
          </w:tcPr>
          <w:p>
            <w:r>
              <w:rPr>
                <w:sz w:val="18"/>
                <w:szCs w:val="18"/>
              </w:rPr>
              <w:t xml:space="preserve">loan_int_rate</w:t>
            </w:r>
          </w:p>
        </w:tc>
        <w:tc>
          <w:tcPr>
            <w:tcW w:type="dxa" w:w="4526"/>
            <w:shd w:fill="FFFFFF" w:color="auto" w:val="clear"/>
            <w:tcMar>
              <w:top w:type="dxa" w:w="60"/>
              <w:left w:type="dxa" w:w="110"/>
              <w:bottom w:type="dxa" w:w="60"/>
              <w:right w:type="dxa" w:w="110"/>
            </w:tcMar>
          </w:tcPr>
          <w:p>
            <w:r>
              <w:rPr>
                <w:sz w:val="18"/>
                <w:szCs w:val="18"/>
              </w:rPr>
              <w:t xml:space="preserve">0.332</w:t>
            </w:r>
          </w:p>
        </w:tc>
      </w:tr>
      <w:tr>
        <w:tc>
          <w:tcPr>
            <w:tcW w:type="dxa" w:w="4500"/>
            <w:shd w:fill="F4F7F9" w:color="auto" w:val="clear"/>
            <w:tcMar>
              <w:top w:type="dxa" w:w="60"/>
              <w:left w:type="dxa" w:w="110"/>
              <w:bottom w:type="dxa" w:w="60"/>
              <w:right w:type="dxa" w:w="110"/>
            </w:tcMar>
          </w:tcPr>
          <w:p>
            <w:r>
              <w:rPr>
                <w:sz w:val="18"/>
                <w:szCs w:val="18"/>
              </w:rPr>
              <w:t xml:space="preserve">loan_amnt</w:t>
            </w:r>
          </w:p>
        </w:tc>
        <w:tc>
          <w:tcPr>
            <w:tcW w:type="dxa" w:w="4526"/>
            <w:shd w:fill="F4F7F9" w:color="auto" w:val="clear"/>
            <w:tcMar>
              <w:top w:type="dxa" w:w="60"/>
              <w:left w:type="dxa" w:w="110"/>
              <w:bottom w:type="dxa" w:w="60"/>
              <w:right w:type="dxa" w:w="110"/>
            </w:tcMar>
          </w:tcPr>
          <w:p>
            <w:r>
              <w:rPr>
                <w:sz w:val="18"/>
                <w:szCs w:val="18"/>
              </w:rPr>
              <w:t xml:space="preserve">0.099</w:t>
            </w:r>
          </w:p>
        </w:tc>
      </w:tr>
      <w:tr>
        <w:tc>
          <w:tcPr>
            <w:tcW w:type="dxa" w:w="4500"/>
            <w:shd w:fill="FFFFFF" w:color="auto" w:val="clear"/>
            <w:tcMar>
              <w:top w:type="dxa" w:w="60"/>
              <w:left w:type="dxa" w:w="110"/>
              <w:bottom w:type="dxa" w:w="60"/>
              <w:right w:type="dxa" w:w="110"/>
            </w:tcMar>
          </w:tcPr>
          <w:p>
            <w:r>
              <w:rPr>
                <w:sz w:val="18"/>
                <w:szCs w:val="18"/>
              </w:rPr>
              <w:t xml:space="preserve">credit_score</w:t>
            </w:r>
          </w:p>
        </w:tc>
        <w:tc>
          <w:tcPr>
            <w:tcW w:type="dxa" w:w="4526"/>
            <w:shd w:fill="FFFFFF" w:color="auto" w:val="clear"/>
            <w:tcMar>
              <w:top w:type="dxa" w:w="60"/>
              <w:left w:type="dxa" w:w="110"/>
              <w:bottom w:type="dxa" w:w="60"/>
              <w:right w:type="dxa" w:w="110"/>
            </w:tcMar>
          </w:tcPr>
          <w:p>
            <w:r>
              <w:rPr>
                <w:sz w:val="18"/>
                <w:szCs w:val="18"/>
              </w:rPr>
              <w:t xml:space="preserve">-0.007</w:t>
            </w:r>
          </w:p>
        </w:tc>
      </w:tr>
      <w:tr>
        <w:tc>
          <w:tcPr>
            <w:tcW w:type="dxa" w:w="4500"/>
            <w:shd w:fill="F4F7F9" w:color="auto" w:val="clear"/>
            <w:tcMar>
              <w:top w:type="dxa" w:w="60"/>
              <w:left w:type="dxa" w:w="110"/>
              <w:bottom w:type="dxa" w:w="60"/>
              <w:right w:type="dxa" w:w="110"/>
            </w:tcMar>
          </w:tcPr>
          <w:p>
            <w:r>
              <w:rPr>
                <w:sz w:val="18"/>
                <w:szCs w:val="18"/>
              </w:rPr>
              <w:t xml:space="preserve">cb_person_cred_hist</w:t>
            </w:r>
          </w:p>
        </w:tc>
        <w:tc>
          <w:tcPr>
            <w:tcW w:type="dxa" w:w="4526"/>
            <w:shd w:fill="F4F7F9" w:color="auto" w:val="clear"/>
            <w:tcMar>
              <w:top w:type="dxa" w:w="60"/>
              <w:left w:type="dxa" w:w="110"/>
              <w:bottom w:type="dxa" w:w="60"/>
              <w:right w:type="dxa" w:w="110"/>
            </w:tcMar>
          </w:tcPr>
          <w:p>
            <w:r>
              <w:rPr>
                <w:sz w:val="18"/>
                <w:szCs w:val="18"/>
              </w:rPr>
              <w:t xml:space="preserve">-0.011</w:t>
            </w:r>
          </w:p>
        </w:tc>
      </w:tr>
      <w:tr>
        <w:tc>
          <w:tcPr>
            <w:tcW w:type="dxa" w:w="4500"/>
            <w:shd w:fill="FFFFFF" w:color="auto" w:val="clear"/>
            <w:tcMar>
              <w:top w:type="dxa" w:w="60"/>
              <w:left w:type="dxa" w:w="110"/>
              <w:bottom w:type="dxa" w:w="60"/>
              <w:right w:type="dxa" w:w="110"/>
            </w:tcMar>
          </w:tcPr>
          <w:p>
            <w:r>
              <w:rPr>
                <w:sz w:val="18"/>
                <w:szCs w:val="18"/>
              </w:rPr>
              <w:t xml:space="preserve">person_emp_exp</w:t>
            </w:r>
          </w:p>
        </w:tc>
        <w:tc>
          <w:tcPr>
            <w:tcW w:type="dxa" w:w="4526"/>
            <w:shd w:fill="FFFFFF" w:color="auto" w:val="clear"/>
            <w:tcMar>
              <w:top w:type="dxa" w:w="60"/>
              <w:left w:type="dxa" w:w="110"/>
              <w:bottom w:type="dxa" w:w="60"/>
              <w:right w:type="dxa" w:w="110"/>
            </w:tcMar>
          </w:tcPr>
          <w:p>
            <w:r>
              <w:rPr>
                <w:sz w:val="18"/>
                <w:szCs w:val="18"/>
              </w:rPr>
              <w:t xml:space="preserve">-0.017</w:t>
            </w:r>
          </w:p>
        </w:tc>
      </w:tr>
      <w:tr>
        <w:tc>
          <w:tcPr>
            <w:tcW w:type="dxa" w:w="4500"/>
            <w:shd w:fill="F4F7F9" w:color="auto" w:val="clear"/>
            <w:tcMar>
              <w:top w:type="dxa" w:w="60"/>
              <w:left w:type="dxa" w:w="110"/>
              <w:bottom w:type="dxa" w:w="60"/>
              <w:right w:type="dxa" w:w="110"/>
            </w:tcMar>
          </w:tcPr>
          <w:p>
            <w:r>
              <w:rPr>
                <w:sz w:val="18"/>
                <w:szCs w:val="18"/>
              </w:rPr>
              <w:t xml:space="preserve">person_age</w:t>
            </w:r>
          </w:p>
        </w:tc>
        <w:tc>
          <w:tcPr>
            <w:tcW w:type="dxa" w:w="4526"/>
            <w:shd w:fill="F4F7F9" w:color="auto" w:val="clear"/>
            <w:tcMar>
              <w:top w:type="dxa" w:w="60"/>
              <w:left w:type="dxa" w:w="110"/>
              <w:bottom w:type="dxa" w:w="60"/>
              <w:right w:type="dxa" w:w="110"/>
            </w:tcMar>
          </w:tcPr>
          <w:p>
            <w:r>
              <w:rPr>
                <w:sz w:val="18"/>
                <w:szCs w:val="18"/>
              </w:rPr>
              <w:t xml:space="preserve">-0.017</w:t>
            </w:r>
          </w:p>
        </w:tc>
      </w:tr>
      <w:tr>
        <w:tc>
          <w:tcPr>
            <w:tcW w:type="dxa" w:w="4500"/>
            <w:shd w:fill="FFFFFF" w:color="auto" w:val="clear"/>
            <w:tcMar>
              <w:top w:type="dxa" w:w="60"/>
              <w:left w:type="dxa" w:w="110"/>
              <w:bottom w:type="dxa" w:w="60"/>
              <w:right w:type="dxa" w:w="110"/>
            </w:tcMar>
          </w:tcPr>
          <w:p>
            <w:r>
              <w:rPr>
                <w:sz w:val="18"/>
                <w:szCs w:val="18"/>
              </w:rPr>
              <w:t xml:space="preserve">person_income</w:t>
            </w:r>
          </w:p>
        </w:tc>
        <w:tc>
          <w:tcPr>
            <w:tcW w:type="dxa" w:w="4526"/>
            <w:shd w:fill="FFFFFF" w:color="auto" w:val="clear"/>
            <w:tcMar>
              <w:top w:type="dxa" w:w="60"/>
              <w:left w:type="dxa" w:w="110"/>
              <w:bottom w:type="dxa" w:w="60"/>
              <w:right w:type="dxa" w:w="110"/>
            </w:tcMar>
          </w:tcPr>
          <w:p>
            <w:r>
              <w:rPr>
                <w:sz w:val="18"/>
                <w:szCs w:val="18"/>
              </w:rPr>
              <w:t xml:space="preserve">-0.135</w:t>
            </w:r>
          </w:p>
        </w:tc>
      </w:tr>
    </w:tbl>
    <w:p>
      <w:pPr>
        <w:spacing w:after="120" w:before="120" w:line="282"/>
      </w:pPr>
      <w:r>
        <w:t xml:space="preserve">Notably, credit_score correlates with approval at essentially zero — unusual for a real underwriting dataset, where credit score is normally one of the strongest predictors. This is a strong signal that this dataset’s internal logic doesn’t fully mirror real-world lending causality; it behaves more like a synthetic/generated dataset with its own internal rules.</w:t>
      </w:r>
    </w:p>
    <w:p>
      <w:pPr>
        <w:pStyle w:val="Heading2"/>
        <w:spacing w:after="80" w:before="220"/>
      </w:pPr>
      <w:r>
        <w:rPr>
          <w:b/>
          <w:bCs/>
          <w:color w:val="141D27"/>
        </w:rPr>
        <w:t xml:space="preserve">Step 4 — Tested previous_loan_defaults_on_file as a possible confounder</w:t>
      </w:r>
    </w:p>
    <w:p>
      <w:pPr>
        <w:spacing w:after="120" w:line="282"/>
      </w:pPr>
      <w:r>
        <w:t xml:space="preserve">Found a hard, deterministic rule: every single applicant with previous_loan_defaults_on_file == "Yes" has loan_status == 0 (rejected), with zero exceptions, confirmed via:</w:t>
      </w:r>
    </w:p>
    <w:p>
      <w:pPr>
        <w:pBdr>
          <w:left w:val="single" w:color="0C6E86" w:sz="14"/>
        </w:pBdr>
        <w:shd w:fill="F4F7F9" w:color="auto" w:val="clear"/>
        <w:spacing w:after="120"/>
        <w:ind w:left="120"/>
      </w:pPr>
      <w:r>
        <w:rPr>
          <w:rFonts w:ascii="Consolas" w:cs="Consolas" w:eastAsia="Consolas" w:hAnsi="Consolas"/>
          <w:color w:val="334155"/>
          <w:sz w:val="19"/>
          <w:szCs w:val="19"/>
        </w:rPr>
        <w:t xml:space="preserve">matches = df[(df["previous_loan_defaults_on_file"] == "Yes") &amp; (df["loan_status"] == 1)]   # len == 0</w:t>
      </w:r>
    </w:p>
    <w:p>
      <w:pPr>
        <w:spacing w:after="120" w:line="282"/>
      </w:pPr>
      <w:r>
        <w:t xml:space="preserve">However, this does not explain the interest rate pattern — in fact it runs the opposite direction. Applicants with prior defaults had a lower average interest rate (10.47) than those without (11.55), which is the reverse of what real risk-based pricing would produce. So this is a separate, independent hard-coded rule in the dataset, not the source of the rate-approval relationship.</w:t>
      </w:r>
    </w:p>
    <w:p>
      <w:pPr>
        <w:pStyle w:val="Heading2"/>
        <w:spacing w:after="80" w:before="220"/>
      </w:pPr>
      <w:r>
        <w:rPr>
          <w:b/>
          <w:bCs/>
          <w:color w:val="141D27"/>
        </w:rPr>
        <w:t xml:space="preserve">Step 5 — Checked loan_intent as a possible confounder</w:t>
      </w:r>
    </w:p>
    <w:p>
      <w:pPr>
        <w:spacing w:after="120" w:line="282"/>
      </w:pPr>
      <w:r>
        <w:t xml:space="preserve">Grouped rate/approval/loan_percent_income by intent category. Results were inconsistent in direction across categories (e.g., HOMEIMPROVEMENT had the highest rate but only middling approval; DEBTCONSOLIDATION had a lower rate but the highest approval), ruling out loan intent as the shared driver.</w:t>
      </w:r>
    </w:p>
    <w:p>
      <w:pPr>
        <w:pStyle w:val="Heading2"/>
        <w:spacing w:after="80" w:before="220"/>
      </w:pPr>
      <w:r>
        <w:rPr>
          <w:b/>
          <w:bCs/>
          <w:color w:val="141D27"/>
        </w:rPr>
        <w:t xml:space="preserve">Step 6 — Conclusion of the investigative phase</w:t>
      </w:r>
    </w:p>
    <w:p>
      <w:pPr>
        <w:spacing w:after="120" w:line="282"/>
      </w:pPr>
      <w:r>
        <w:t xml:space="preserve">No confounding variable cleanly explains the interest-rate/approval relationship. The most likely explanation is that loan_int_rate and loan_percent_income are entangled with each other in how this specific synthetic dataset was generated (both positively correlated with each other at 0.123, and both positively correlated with approval), rather than there being one clean external cause. This is most plausibly a property of the dataset's synthetic generation process, not a genuine real-world lending signal, and not a bug in the modeling pipeline.</w:t>
      </w:r>
    </w:p>
    <w:p>
      <w:pPr>
        <w:pStyle w:val="Heading1"/>
        <w:spacing w:after="130" w:before="320"/>
      </w:pPr>
      <w:r>
        <w:rPr>
          <w:b/>
          <w:bCs/>
          <w:color w:val="0C6E86"/>
        </w:rPr>
        <w:t xml:space="preserve">Causal argument (the case against keeping it)</w:t>
      </w:r>
    </w:p>
    <w:p>
      <w:pPr>
        <w:spacing w:after="120" w:line="282"/>
      </w:pPr>
      <w:r>
        <w:t xml:space="preserve">Beyond the data-artifact concern, there's a stronger, more defensible argument independent of the numbers: causal/temporal ordering. In real underwriting, the sequence is typically:</w:t>
      </w:r>
    </w:p>
    <w:p>
      <w:pPr>
        <w:pStyle w:val="ListParagraph"/>
        <w:numPr>
          <w:ilvl w:val="0"/>
          <w:numId w:val="1"/>
        </w:numPr>
        <w:spacing w:after="80" w:line="270"/>
      </w:pPr>
      <w:r>
        <w:t xml:space="preserve">Applicant submits their profile (income, credit score, requested amount, etc.)</w:t>
      </w:r>
    </w:p>
    <w:p>
      <w:pPr>
        <w:pStyle w:val="ListParagraph"/>
        <w:numPr>
          <w:ilvl w:val="0"/>
          <w:numId w:val="1"/>
        </w:numPr>
        <w:spacing w:after="80" w:line="270"/>
      </w:pPr>
      <w:r>
        <w:t xml:space="preserve">Bank makes the approval decision</w:t>
      </w:r>
    </w:p>
    <w:p>
      <w:pPr>
        <w:pStyle w:val="ListParagraph"/>
        <w:numPr>
          <w:ilvl w:val="0"/>
          <w:numId w:val="1"/>
        </w:numPr>
        <w:spacing w:after="80" w:line="270"/>
      </w:pPr>
      <w:r>
        <w:t xml:space="preserve">Only if approved, a specific interest rate is assigned based on the approved risk tier</w:t>
      </w:r>
    </w:p>
    <w:p>
      <w:pPr>
        <w:spacing w:after="120" w:line="282"/>
      </w:pPr>
      <w:r>
        <w:t xml:space="preserve">So loan_int_rate is normally decided </w:t>
      </w:r>
      <w:r>
        <w:rPr>
          <w:i/>
          <w:iCs/>
        </w:rPr>
        <w:t xml:space="preserve">after</w:t>
      </w:r>
      <w:r>
        <w:t xml:space="preserve"> or alongside the approval decision — it isn’t legitimately available information at the moment a real approval decision would be made. Using it as a predictive input is analogous to a data-leakage problem: it’s like predicting patient survival using hospital discharge date. This argument holds regardless of whether the correlation is “explainable” — a real bank’s automated decision system wouldn’t have this number to feed into a model in the first place. </w:t>
      </w:r>
      <w:r>
        <w:rPr>
          <w:b/>
          <w:bCs/>
        </w:rPr>
        <w:t xml:space="preserve">This concern is real, and it is why the decision below is framed as a caveat rather than ignored.</w:t>
      </w:r>
    </w:p>
    <w:p>
      <w:pPr>
        <w:pStyle w:val="Heading1"/>
        <w:spacing w:after="130" w:before="320"/>
      </w:pPr>
      <w:r>
        <w:rPr>
          <w:b/>
          <w:bCs/>
          <w:color w:val="0C6E86"/>
        </w:rPr>
        <w:t xml:space="preserve">Quantitative comparison: with vs. without loan_int_rate</w:t>
      </w:r>
    </w:p>
    <w:p>
      <w:pPr>
        <w:spacing w:after="120" w:line="282"/>
      </w:pPr>
      <w:r>
        <w:t xml:space="preserve">Each model evaluated at its own F1-optimal threshold (found independently via the precision-recall curve), so the comparison is fair:</w:t>
      </w:r>
    </w:p>
    <w:tbl>
      <w:tblPr>
        <w:tblW w:type="dxa" w:w="9026"/>
        <w:tblBorders>
          <w:top w:val="single" w:color="CBD5DD" w:sz="2"/>
          <w:left w:val="single" w:color="CBD5DD" w:sz="2"/>
          <w:bottom w:val="single" w:color="CBD5DD" w:sz="2"/>
          <w:right w:val="single" w:color="CBD5DD" w:sz="2"/>
          <w:insideH w:val="single" w:color="DDE3E9" w:sz="1"/>
          <w:insideV w:val="single" w:color="DDE3E9" w:sz="1"/>
        </w:tblBorders>
      </w:tblPr>
      <w:tblGrid>
        <w:gridCol w:w="2400"/>
        <w:gridCol w:w="3313"/>
        <w:gridCol w:w="3313"/>
      </w:tblGrid>
      <w:tr>
        <w:trPr>
          <w:tblHeader/>
        </w:trPr>
        <w:tc>
          <w:tcPr>
            <w:tcW w:type="dxa" w:w="2400"/>
            <w:shd w:fill="0C6E86" w:color="auto" w:val="clear"/>
            <w:tcMar>
              <w:top w:type="dxa" w:w="70"/>
              <w:left w:type="dxa" w:w="110"/>
              <w:bottom w:type="dxa" w:w="70"/>
              <w:right w:type="dxa" w:w="110"/>
            </w:tcMar>
          </w:tcPr>
          <w:p>
            <w:r>
              <w:rPr>
                <w:b/>
                <w:bCs/>
                <w:color w:val="FFFFFF"/>
                <w:sz w:val="18"/>
                <w:szCs w:val="18"/>
              </w:rPr>
              <w:t xml:space="preserve">Metric</w:t>
            </w:r>
          </w:p>
        </w:tc>
        <w:tc>
          <w:tcPr>
            <w:tcW w:type="dxa" w:w="3313"/>
            <w:shd w:fill="0C6E86" w:color="auto" w:val="clear"/>
            <w:tcMar>
              <w:top w:type="dxa" w:w="70"/>
              <w:left w:type="dxa" w:w="110"/>
              <w:bottom w:type="dxa" w:w="70"/>
              <w:right w:type="dxa" w:w="110"/>
            </w:tcMar>
          </w:tcPr>
          <w:p>
            <w:r>
              <w:rPr>
                <w:b/>
                <w:bCs/>
                <w:color w:val="FFFFFF"/>
                <w:sz w:val="18"/>
                <w:szCs w:val="18"/>
              </w:rPr>
              <w:t xml:space="preserve">With interest rate (thr = 0.69)</w:t>
            </w:r>
          </w:p>
        </w:tc>
        <w:tc>
          <w:tcPr>
            <w:tcW w:type="dxa" w:w="3313"/>
            <w:shd w:fill="0C6E86" w:color="auto" w:val="clear"/>
            <w:tcMar>
              <w:top w:type="dxa" w:w="70"/>
              <w:left w:type="dxa" w:w="110"/>
              <w:bottom w:type="dxa" w:w="70"/>
              <w:right w:type="dxa" w:w="110"/>
            </w:tcMar>
          </w:tcPr>
          <w:p>
            <w:r>
              <w:rPr>
                <w:b/>
                <w:bCs/>
                <w:color w:val="FFFFFF"/>
                <w:sz w:val="18"/>
                <w:szCs w:val="18"/>
              </w:rPr>
              <w:t xml:space="preserve">Without interest rate (thr = 0.6559)</w:t>
            </w:r>
          </w:p>
        </w:tc>
      </w:tr>
      <w:tr>
        <w:tc>
          <w:tcPr>
            <w:tcW w:type="dxa" w:w="2400"/>
            <w:shd w:fill="F4F7F9" w:color="auto" w:val="clear"/>
            <w:tcMar>
              <w:top w:type="dxa" w:w="60"/>
              <w:left w:type="dxa" w:w="110"/>
              <w:bottom w:type="dxa" w:w="60"/>
              <w:right w:type="dxa" w:w="110"/>
            </w:tcMar>
          </w:tcPr>
          <w:p>
            <w:r>
              <w:rPr>
                <w:sz w:val="18"/>
                <w:szCs w:val="18"/>
              </w:rPr>
              <w:t xml:space="preserve">ROC-AUC</w:t>
            </w:r>
          </w:p>
        </w:tc>
        <w:tc>
          <w:tcPr>
            <w:tcW w:type="dxa" w:w="3313"/>
            <w:shd w:fill="F4F7F9" w:color="auto" w:val="clear"/>
            <w:tcMar>
              <w:top w:type="dxa" w:w="60"/>
              <w:left w:type="dxa" w:w="110"/>
              <w:bottom w:type="dxa" w:w="60"/>
              <w:right w:type="dxa" w:w="110"/>
            </w:tcMar>
          </w:tcPr>
          <w:p>
            <w:r>
              <w:rPr>
                <w:sz w:val="18"/>
                <w:szCs w:val="18"/>
              </w:rPr>
              <w:t xml:space="preserve">0.975</w:t>
            </w:r>
          </w:p>
        </w:tc>
        <w:tc>
          <w:tcPr>
            <w:tcW w:type="dxa" w:w="3313"/>
            <w:shd w:fill="F4F7F9" w:color="auto" w:val="clear"/>
            <w:tcMar>
              <w:top w:type="dxa" w:w="60"/>
              <w:left w:type="dxa" w:w="110"/>
              <w:bottom w:type="dxa" w:w="60"/>
              <w:right w:type="dxa" w:w="110"/>
            </w:tcMar>
          </w:tcPr>
          <w:p>
            <w:r>
              <w:rPr>
                <w:sz w:val="18"/>
                <w:szCs w:val="18"/>
              </w:rPr>
              <w:t xml:space="preserve">0.958</w:t>
            </w:r>
          </w:p>
        </w:tc>
      </w:tr>
      <w:tr>
        <w:tc>
          <w:tcPr>
            <w:tcW w:type="dxa" w:w="2400"/>
            <w:shd w:fill="FFFFFF" w:color="auto" w:val="clear"/>
            <w:tcMar>
              <w:top w:type="dxa" w:w="60"/>
              <w:left w:type="dxa" w:w="110"/>
              <w:bottom w:type="dxa" w:w="60"/>
              <w:right w:type="dxa" w:w="110"/>
            </w:tcMar>
          </w:tcPr>
          <w:p>
            <w:r>
              <w:rPr>
                <w:sz w:val="18"/>
                <w:szCs w:val="18"/>
              </w:rPr>
              <w:t xml:space="preserve">Precision (class 1)</w:t>
            </w:r>
          </w:p>
        </w:tc>
        <w:tc>
          <w:tcPr>
            <w:tcW w:type="dxa" w:w="3313"/>
            <w:shd w:fill="FFFFFF" w:color="auto" w:val="clear"/>
            <w:tcMar>
              <w:top w:type="dxa" w:w="60"/>
              <w:left w:type="dxa" w:w="110"/>
              <w:bottom w:type="dxa" w:w="60"/>
              <w:right w:type="dxa" w:w="110"/>
            </w:tcMar>
          </w:tcPr>
          <w:p>
            <w:r>
              <w:rPr>
                <w:sz w:val="18"/>
                <w:szCs w:val="18"/>
              </w:rPr>
              <w:t xml:space="preserve">0.83</w:t>
            </w:r>
          </w:p>
        </w:tc>
        <w:tc>
          <w:tcPr>
            <w:tcW w:type="dxa" w:w="3313"/>
            <w:shd w:fill="FFFFFF" w:color="auto" w:val="clear"/>
            <w:tcMar>
              <w:top w:type="dxa" w:w="60"/>
              <w:left w:type="dxa" w:w="110"/>
              <w:bottom w:type="dxa" w:w="60"/>
              <w:right w:type="dxa" w:w="110"/>
            </w:tcMar>
          </w:tcPr>
          <w:p>
            <w:r>
              <w:rPr>
                <w:sz w:val="18"/>
                <w:szCs w:val="18"/>
              </w:rPr>
              <w:t xml:space="preserve">0.73</w:t>
            </w:r>
          </w:p>
        </w:tc>
      </w:tr>
      <w:tr>
        <w:tc>
          <w:tcPr>
            <w:tcW w:type="dxa" w:w="2400"/>
            <w:shd w:fill="F4F7F9" w:color="auto" w:val="clear"/>
            <w:tcMar>
              <w:top w:type="dxa" w:w="60"/>
              <w:left w:type="dxa" w:w="110"/>
              <w:bottom w:type="dxa" w:w="60"/>
              <w:right w:type="dxa" w:w="110"/>
            </w:tcMar>
          </w:tcPr>
          <w:p>
            <w:r>
              <w:rPr>
                <w:sz w:val="18"/>
                <w:szCs w:val="18"/>
              </w:rPr>
              <w:t xml:space="preserve">Recall (class 1)</w:t>
            </w:r>
          </w:p>
        </w:tc>
        <w:tc>
          <w:tcPr>
            <w:tcW w:type="dxa" w:w="3313"/>
            <w:shd w:fill="F4F7F9" w:color="auto" w:val="clear"/>
            <w:tcMar>
              <w:top w:type="dxa" w:w="60"/>
              <w:left w:type="dxa" w:w="110"/>
              <w:bottom w:type="dxa" w:w="60"/>
              <w:right w:type="dxa" w:w="110"/>
            </w:tcMar>
          </w:tcPr>
          <w:p>
            <w:r>
              <w:rPr>
                <w:sz w:val="18"/>
                <w:szCs w:val="18"/>
              </w:rPr>
              <w:t xml:space="preserve">0.83</w:t>
            </w:r>
          </w:p>
        </w:tc>
        <w:tc>
          <w:tcPr>
            <w:tcW w:type="dxa" w:w="3313"/>
            <w:shd w:fill="F4F7F9" w:color="auto" w:val="clear"/>
            <w:tcMar>
              <w:top w:type="dxa" w:w="60"/>
              <w:left w:type="dxa" w:w="110"/>
              <w:bottom w:type="dxa" w:w="60"/>
              <w:right w:type="dxa" w:w="110"/>
            </w:tcMar>
          </w:tcPr>
          <w:p>
            <w:r>
              <w:rPr>
                <w:sz w:val="18"/>
                <w:szCs w:val="18"/>
              </w:rPr>
              <w:t xml:space="preserve">0.82</w:t>
            </w:r>
          </w:p>
        </w:tc>
      </w:tr>
      <w:tr>
        <w:tc>
          <w:tcPr>
            <w:tcW w:type="dxa" w:w="2400"/>
            <w:shd w:fill="FFFFFF" w:color="auto" w:val="clear"/>
            <w:tcMar>
              <w:top w:type="dxa" w:w="60"/>
              <w:left w:type="dxa" w:w="110"/>
              <w:bottom w:type="dxa" w:w="60"/>
              <w:right w:type="dxa" w:w="110"/>
            </w:tcMar>
          </w:tcPr>
          <w:p>
            <w:r>
              <w:rPr>
                <w:sz w:val="18"/>
                <w:szCs w:val="18"/>
              </w:rPr>
              <w:t xml:space="preserve">F1 (class 1)</w:t>
            </w:r>
          </w:p>
        </w:tc>
        <w:tc>
          <w:tcPr>
            <w:tcW w:type="dxa" w:w="3313"/>
            <w:shd w:fill="FFFFFF" w:color="auto" w:val="clear"/>
            <w:tcMar>
              <w:top w:type="dxa" w:w="60"/>
              <w:left w:type="dxa" w:w="110"/>
              <w:bottom w:type="dxa" w:w="60"/>
              <w:right w:type="dxa" w:w="110"/>
            </w:tcMar>
          </w:tcPr>
          <w:p>
            <w:r>
              <w:rPr>
                <w:sz w:val="18"/>
                <w:szCs w:val="18"/>
              </w:rPr>
              <w:t xml:space="preserve">~0.83</w:t>
            </w:r>
          </w:p>
        </w:tc>
        <w:tc>
          <w:tcPr>
            <w:tcW w:type="dxa" w:w="3313"/>
            <w:shd w:fill="FFFFFF" w:color="auto" w:val="clear"/>
            <w:tcMar>
              <w:top w:type="dxa" w:w="60"/>
              <w:left w:type="dxa" w:w="110"/>
              <w:bottom w:type="dxa" w:w="60"/>
              <w:right w:type="dxa" w:w="110"/>
            </w:tcMar>
          </w:tcPr>
          <w:p>
            <w:r>
              <w:rPr>
                <w:sz w:val="18"/>
                <w:szCs w:val="18"/>
              </w:rPr>
              <w:t xml:space="preserve">0.77</w:t>
            </w:r>
          </w:p>
        </w:tc>
      </w:tr>
      <w:tr>
        <w:tc>
          <w:tcPr>
            <w:tcW w:type="dxa" w:w="2400"/>
            <w:shd w:fill="F4F7F9" w:color="auto" w:val="clear"/>
            <w:tcMar>
              <w:top w:type="dxa" w:w="60"/>
              <w:left w:type="dxa" w:w="110"/>
              <w:bottom w:type="dxa" w:w="60"/>
              <w:right w:type="dxa" w:w="110"/>
            </w:tcMar>
          </w:tcPr>
          <w:p>
            <w:r>
              <w:rPr>
                <w:sz w:val="18"/>
                <w:szCs w:val="18"/>
              </w:rPr>
              <w:t xml:space="preserve">False positives</w:t>
            </w:r>
          </w:p>
        </w:tc>
        <w:tc>
          <w:tcPr>
            <w:tcW w:type="dxa" w:w="3313"/>
            <w:shd w:fill="F4F7F9" w:color="auto" w:val="clear"/>
            <w:tcMar>
              <w:top w:type="dxa" w:w="60"/>
              <w:left w:type="dxa" w:w="110"/>
              <w:bottom w:type="dxa" w:w="60"/>
              <w:right w:type="dxa" w:w="110"/>
            </w:tcMar>
          </w:tcPr>
          <w:p>
            <w:r>
              <w:rPr>
                <w:sz w:val="18"/>
                <w:szCs w:val="18"/>
              </w:rPr>
              <w:t xml:space="preserve">336</w:t>
            </w:r>
          </w:p>
        </w:tc>
        <w:tc>
          <w:tcPr>
            <w:tcW w:type="dxa" w:w="3313"/>
            <w:shd w:fill="F4F7F9" w:color="auto" w:val="clear"/>
            <w:tcMar>
              <w:top w:type="dxa" w:w="60"/>
              <w:left w:type="dxa" w:w="110"/>
              <w:bottom w:type="dxa" w:w="60"/>
              <w:right w:type="dxa" w:w="110"/>
            </w:tcMar>
          </w:tcPr>
          <w:p>
            <w:r>
              <w:rPr>
                <w:sz w:val="18"/>
                <w:szCs w:val="18"/>
              </w:rPr>
              <w:t xml:space="preserve">611</w:t>
            </w:r>
          </w:p>
        </w:tc>
      </w:tr>
      <w:tr>
        <w:tc>
          <w:tcPr>
            <w:tcW w:type="dxa" w:w="2400"/>
            <w:shd w:fill="FFFFFF" w:color="auto" w:val="clear"/>
            <w:tcMar>
              <w:top w:type="dxa" w:w="60"/>
              <w:left w:type="dxa" w:w="110"/>
              <w:bottom w:type="dxa" w:w="60"/>
              <w:right w:type="dxa" w:w="110"/>
            </w:tcMar>
          </w:tcPr>
          <w:p>
            <w:r>
              <w:rPr>
                <w:sz w:val="18"/>
                <w:szCs w:val="18"/>
              </w:rPr>
              <w:t xml:space="preserve">False negatives</w:t>
            </w:r>
          </w:p>
        </w:tc>
        <w:tc>
          <w:tcPr>
            <w:tcW w:type="dxa" w:w="3313"/>
            <w:shd w:fill="FFFFFF" w:color="auto" w:val="clear"/>
            <w:tcMar>
              <w:top w:type="dxa" w:w="60"/>
              <w:left w:type="dxa" w:w="110"/>
              <w:bottom w:type="dxa" w:w="60"/>
              <w:right w:type="dxa" w:w="110"/>
            </w:tcMar>
          </w:tcPr>
          <w:p>
            <w:r>
              <w:rPr>
                <w:sz w:val="18"/>
                <w:szCs w:val="18"/>
              </w:rPr>
              <w:t xml:space="preserve">344</w:t>
            </w:r>
          </w:p>
        </w:tc>
        <w:tc>
          <w:tcPr>
            <w:tcW w:type="dxa" w:w="3313"/>
            <w:shd w:fill="FFFFFF" w:color="auto" w:val="clear"/>
            <w:tcMar>
              <w:top w:type="dxa" w:w="60"/>
              <w:left w:type="dxa" w:w="110"/>
              <w:bottom w:type="dxa" w:w="60"/>
              <w:right w:type="dxa" w:w="110"/>
            </w:tcMar>
          </w:tcPr>
          <w:p>
            <w:r>
              <w:rPr>
                <w:sz w:val="18"/>
                <w:szCs w:val="18"/>
              </w:rPr>
              <w:t xml:space="preserve">356</w:t>
            </w:r>
          </w:p>
        </w:tc>
      </w:tr>
    </w:tbl>
    <w:p>
      <w:pPr>
        <w:spacing w:after="120" w:line="282"/>
      </w:pPr>
      <w:r>
        <w:t xml:space="preserve">Key finding: recall is nearly identical (0.83 vs 0.82) — removing the feature does not meaningfully hurt the model’s ability to catch legitimately approvable applicants. The real cost is in precision (0.83 → 0.73): the no-rate model produces roughly twice as many false-positive approvals (611 vs 336). A real but moderate trade-off.</w:t>
      </w:r>
    </w:p>
    <w:p>
      <w:pPr>
        <w:pStyle w:val="Heading1"/>
        <w:spacing w:after="130" w:before="320"/>
      </w:pPr>
      <w:r>
        <w:rPr>
          <w:b/>
          <w:bCs/>
          <w:color w:val="0C6E86"/>
        </w:rPr>
        <w:t xml:space="preserve">Decision (revised): keep loan_int_rate, with a documented caveat</w:t>
      </w:r>
    </w:p>
    <w:tbl>
      <w:tblPr>
        <w:tblW w:type="dxa" w:w="9026"/>
        <w:tblBorders>
          <w:top w:val="single" w:color="B4772A" w:sz="2"/>
          <w:left w:val="single" w:color="B4772A" w:sz="20"/>
          <w:bottom w:val="single" w:color="B4772A" w:sz="2"/>
          <w:right w:val="single" w:color="B4772A" w:sz="2"/>
          <w:insideH w:val="none"/>
          <w:insideV w:val="none"/>
        </w:tblBorders>
      </w:tblPr>
      <w:tblGrid>
        <w:gridCol w:w="9026"/>
      </w:tblGrid>
      <w:tr>
        <w:tc>
          <w:tcPr>
            <w:tcW w:type="dxa" w:w="9026"/>
            <w:shd w:fill="F6ECDD" w:color="auto" w:val="clear"/>
            <w:tcMar>
              <w:top w:type="dxa" w:w="120"/>
              <w:left w:type="dxa" w:w="180"/>
              <w:bottom w:type="dxa" w:w="120"/>
              <w:right w:type="dxa" w:w="180"/>
            </w:tcMar>
          </w:tcPr>
          <w:p>
            <w:pPr>
              <w:spacing w:after="60"/>
            </w:pPr>
            <w:r>
              <w:rPr>
                <w:b/>
                <w:bCs/>
                <w:color w:val="B4772A"/>
              </w:rPr>
              <w:t xml:space="preserve">Final decision</w:t>
            </w:r>
          </w:p>
          <w:p>
            <w:pPr>
              <w:spacing w:after="0"/>
            </w:pPr>
            <w:r>
              <w:t xml:space="preserve">Keep loan_int_rate as a model feature for this project, and </w:t>
            </w:r>
            <w:r>
              <w:rPr>
                <w:b/>
                <w:bCs/>
              </w:rPr>
              <w:t xml:space="preserve">explicitly document the caveat</w:t>
            </w:r>
            <w:r>
              <w:t xml:space="preserve"> that a production underwriting system would exclude it on causal/temporal grounds. The feature stays; the honesty about why it wouldn’t survive in production stays too.</w:t>
            </w:r>
          </w:p>
        </w:tc>
      </w:tr>
    </w:tbl>
    <w:p>
      <w:pPr>
        <w:spacing w:after="120" w:line="282"/>
      </w:pPr>
      <w:r>
        <w:t xml:space="preserve">Reasoning:</w:t>
      </w:r>
    </w:p>
    <w:p>
      <w:pPr>
        <w:pStyle w:val="ListParagraph"/>
        <w:numPr>
          <w:ilvl w:val="0"/>
          <w:numId w:val="1"/>
        </w:numPr>
        <w:spacing w:after="80" w:line="270"/>
      </w:pPr>
      <w:r>
        <w:rPr>
          <w:b/>
          <w:bCs/>
        </w:rPr>
        <w:t xml:space="preserve">This is a portfolio / demonstration project on a synthetic dataset. </w:t>
      </w:r>
      <w:r>
        <w:t xml:space="preserve">Its purpose is to showcase an end-to-end ML + explainability pipeline that ships to production, not to make real lending decisions. On that goal, the feature is legitimately useful.</w:t>
      </w:r>
    </w:p>
    <w:p>
      <w:pPr>
        <w:pStyle w:val="ListParagraph"/>
        <w:numPr>
          <w:ilvl w:val="0"/>
          <w:numId w:val="1"/>
        </w:numPr>
        <w:spacing w:after="80" w:line="270"/>
      </w:pPr>
      <w:r>
        <w:rPr>
          <w:b/>
          <w:bCs/>
        </w:rPr>
        <w:t xml:space="preserve">It materially improves the model. </w:t>
      </w:r>
      <w:r>
        <w:t xml:space="preserve">Keeping it lifts precision from 0.73 to 0.83 and roughly halves false-positive approvals (336 vs 611) at essentially no recall cost — a clear win on this dataset.</w:t>
      </w:r>
    </w:p>
    <w:p>
      <w:pPr>
        <w:pStyle w:val="ListParagraph"/>
        <w:numPr>
          <w:ilvl w:val="0"/>
          <w:numId w:val="1"/>
        </w:numPr>
        <w:spacing w:after="80" w:line="270"/>
      </w:pPr>
      <w:r>
        <w:rPr>
          <w:b/>
          <w:bCs/>
        </w:rPr>
        <w:t xml:space="preserve">The caveat is a feature, not a weakness. </w:t>
      </w:r>
      <w:r>
        <w:t xml:space="preserve">Documenting that a real underwriting system would drop this feature — and why (causal/temporal ordering) — demonstrates exactly the judgment that separates a careful engineer from someone who just maximises a metric. It is a talking point in your favour, not against you.</w:t>
      </w:r>
    </w:p>
    <w:p>
      <w:pPr>
        <w:pStyle w:val="ListParagraph"/>
        <w:numPr>
          <w:ilvl w:val="0"/>
          <w:numId w:val="1"/>
        </w:numPr>
        <w:spacing w:after="80" w:line="270"/>
      </w:pPr>
      <w:r>
        <w:rPr>
          <w:b/>
          <w:bCs/>
        </w:rPr>
        <w:t xml:space="preserve">Handle it honestly in the explanation layer. </w:t>
      </w:r>
      <w:r>
        <w:t xml:space="preserve">Because SHAP will sometimes surface interest rate as a factor, the UI copy should note that this reflects a property of the dataset, not lending advice — so the explanation never reads as “ask for a higher rate to get approved.”</w:t>
      </w:r>
    </w:p>
    <w:p>
      <w:pPr>
        <w:pStyle w:val="Heading1"/>
        <w:spacing w:after="130" w:before="320"/>
      </w:pPr>
      <w:r>
        <w:rPr>
          <w:b/>
          <w:bCs/>
          <w:color w:val="0C6E86"/>
        </w:rPr>
        <w:t xml:space="preserve">Implementation status</w:t>
      </w:r>
    </w:p>
    <w:p>
      <w:pPr>
        <w:pStyle w:val="ListParagraph"/>
        <w:numPr>
          <w:ilvl w:val="0"/>
          <w:numId w:val="1"/>
        </w:numPr>
        <w:spacing w:after="80" w:line="270"/>
      </w:pPr>
      <w:r>
        <w:rPr>
          <w:b/>
          <w:bCs/>
        </w:rPr>
        <w:t xml:space="preserve">Feature set: </w:t>
      </w:r>
      <w:r>
        <w:t xml:space="preserve">the training pipeline (src/components/data_ingestion.py) drops person_education and person_gender; loan_int_rate is retained. This matches the keep decision — no code change needed.</w:t>
      </w:r>
    </w:p>
    <w:p>
      <w:pPr>
        <w:pStyle w:val="ListParagraph"/>
        <w:numPr>
          <w:ilvl w:val="0"/>
          <w:numId w:val="1"/>
        </w:numPr>
        <w:spacing w:after="80" w:line="270"/>
      </w:pPr>
      <w:r>
        <w:rPr>
          <w:b/>
          <w:bCs/>
        </w:rPr>
        <w:t xml:space="preserve">Threshold: </w:t>
      </w:r>
      <w:r>
        <w:t xml:space="preserve">inference threshold set to 0.6559 in both PredictPipeline (src/pipeline/predict_pipeline.py) and ModelTrainer (src/models/model_trainer.py).</w:t>
      </w:r>
    </w:p>
    <w:tbl>
      <w:tblPr>
        <w:tblW w:type="dxa" w:w="9026"/>
        <w:tblBorders>
          <w:top w:val="single" w:color="0C6E86" w:sz="2"/>
          <w:left w:val="single" w:color="0C6E86" w:sz="20"/>
          <w:bottom w:val="single" w:color="0C6E86" w:sz="2"/>
          <w:right w:val="single" w:color="0C6E86" w:sz="2"/>
          <w:insideH w:val="none"/>
          <w:insideV w:val="none"/>
        </w:tblBorders>
      </w:tblPr>
      <w:tblGrid>
        <w:gridCol w:w="9026"/>
      </w:tblGrid>
      <w:tr>
        <w:tc>
          <w:tcPr>
            <w:tcW w:type="dxa" w:w="9026"/>
            <w:shd w:fill="EEF3F5" w:color="auto" w:val="clear"/>
            <w:tcMar>
              <w:top w:type="dxa" w:w="120"/>
              <w:left w:type="dxa" w:w="180"/>
              <w:bottom w:type="dxa" w:w="120"/>
              <w:right w:type="dxa" w:w="180"/>
            </w:tcMar>
          </w:tcPr>
          <w:p>
            <w:pPr>
              <w:spacing w:after="60"/>
            </w:pPr>
            <w:r>
              <w:rPr>
                <w:b/>
                <w:bCs/>
                <w:color w:val="0C6E86"/>
              </w:rPr>
              <w:t xml:space="preserve">Open item — must verify</w:t>
            </w:r>
          </w:p>
          <w:p>
            <w:pPr>
              <w:spacing w:after="0"/>
            </w:pPr>
            <w:r>
              <w:t xml:space="preserve">0.6559 was originally derived as the F1-optimal threshold for the </w:t>
            </w:r>
            <w:r>
              <w:rPr>
                <w:b/>
                <w:bCs/>
              </w:rPr>
              <w:t xml:space="preserve">no-rate</w:t>
            </w:r>
            <w:r>
              <w:t xml:space="preserve"> model; in this same analysis the </w:t>
            </w:r>
            <w:r>
              <w:rPr>
                <w:b/>
                <w:bCs/>
              </w:rPr>
              <w:t xml:space="preserve">with-rate</w:t>
            </w:r>
            <w:r>
              <w:t xml:space="preserve"> model’s F1-optimal was ~0.69. Since the deployed model keeps the rate, re-run precision-recall threshold optimisation on the current with-rate model to confirm the operating point — then either keep 0.6559 as a deliberate, more-conservative choice, or move to the re-measured optimum. Also confirm artifacts/model.pkl was trained on the with-rate feature set (it is, via train_pipeline.py) so the model’s expected columns match the API’s 11-field input.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D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320"/>
      <w:outlineLvl w:val="0"/>
    </w:pPr>
    <w:rPr>
      <w:rFonts w:ascii="Calibri" w:cs="Calibri" w:eastAsia="Calibri" w:hAnsi="Calibri"/>
      <w:b/>
      <w:bCs/>
      <w:color w:val="0C6E86"/>
      <w:sz w:val="28"/>
      <w:szCs w:val="28"/>
    </w:rPr>
  </w:style>
  <w:style w:type="paragraph" w:styleId="Heading2">
    <w:name w:val="Heading 2"/>
    <w:basedOn w:val="Normal"/>
    <w:next w:val="Normal"/>
    <w:qFormat/>
    <w:pPr>
      <w:spacing w:after="80" w:before="220"/>
      <w:outlineLvl w:val="1"/>
    </w:pPr>
    <w:rPr>
      <w:rFonts w:ascii="Calibri" w:cs="Calibri" w:eastAsia="Calibri" w:hAnsi="Calibri"/>
      <w:b/>
      <w:bCs/>
      <w:color w:val="141D2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 Interest Rate — Investigation &amp; Decision Log</dc:title>
  <dc:creator>Claude (Cowork)</dc:creator>
  <cp:lastModifiedBy>Un-named</cp:lastModifiedBy>
  <cp:revision>1</cp:revision>
  <dcterms:created xsi:type="dcterms:W3CDTF">2026-08-26T06:40:19.440Z</dcterms:created>
  <dcterms:modified xsi:type="dcterms:W3CDTF">2026-08-26T06:40:19.484Z</dcterms:modified>
</cp:coreProperties>
</file>

<file path=docProps/custom.xml><?xml version="1.0" encoding="utf-8"?>
<Properties xmlns="http://schemas.openxmlformats.org/officeDocument/2006/custom-properties" xmlns:vt="http://schemas.openxmlformats.org/officeDocument/2006/docPropsVTypes"/>
</file>