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FF2CC"/>
      </w:pPr>
      <w:r>
        <w:rPr>
          <w:b/>
          <w:i w:val="0"/>
          <w:sz w:val="20"/>
        </w:rPr>
        <w:t xml:space="preserve">BEFORE SUBMISSION (delete this box): complete every yellow </w:t>
      </w:r>
      <w:r>
        <w:rPr>
          <w:b/>
          <w:i w:val="0"/>
          <w:sz w:val="20"/>
          <w:highlight w:val="yellow"/>
        </w:rPr>
        <w:t>[AUTHOR: …]</w:t>
      </w:r>
      <w:r>
        <w:rPr>
          <w:b/>
          <w:i w:val="0"/>
          <w:sz w:val="20"/>
        </w:rPr>
        <w:t xml:space="preserve"> placeholder here and in the manuscript, title page, and Supplementary Files S2–S3, and insert the redrawn Figure 2. See Final_Audit_Report.md.</w:t>
      </w:r>
    </w:p>
    <w:p>
      <w:pPr>
        <w:spacing w:after="200"/>
        <w:jc w:val="center"/>
      </w:pPr>
      <w:r>
        <w:rPr>
          <w:b/>
          <w:i w:val="0"/>
          <w:color w:val="1F3864"/>
          <w:sz w:val="32"/>
        </w:rPr>
        <w:t>Response to the Editor and Reviewers</w:t>
      </w:r>
    </w:p>
    <w:p>
      <w:pPr>
        <w:spacing w:after="0"/>
      </w:pPr>
      <w:r>
        <w:rPr>
          <w:b/>
          <w:i w:val="0"/>
        </w:rPr>
        <w:t xml:space="preserve">Manuscript ID: </w:t>
      </w:r>
      <w:r>
        <w:rPr>
          <w:b w:val="0"/>
          <w:i w:val="0"/>
        </w:rPr>
        <w:t>7545151</w:t>
      </w:r>
    </w:p>
    <w:p>
      <w:pPr>
        <w:spacing w:after="0"/>
      </w:pPr>
      <w:r>
        <w:rPr>
          <w:b/>
          <w:i w:val="0"/>
        </w:rPr>
        <w:t xml:space="preserve">Title: </w:t>
      </w:r>
      <w:r>
        <w:rPr>
          <w:b w:val="0"/>
          <w:i w:val="0"/>
        </w:rPr>
        <w:t>Between Alert and Action: Nurses’ Experiences of AI-Assisted Early Warning, Clinical Judgment, and Patient Safety in Critical Care</w:t>
      </w:r>
    </w:p>
    <w:p>
      <w:pPr>
        <w:spacing w:after="0"/>
      </w:pPr>
      <w:r>
        <w:rPr>
          <w:b/>
          <w:i w:val="0"/>
        </w:rPr>
        <w:t xml:space="preserve">Journal: </w:t>
      </w:r>
      <w:r>
        <w:rPr>
          <w:b w:val="0"/>
          <w:i w:val="0"/>
        </w:rPr>
        <w:t>Nursing &amp; Health Sciences</w:t>
      </w:r>
    </w:p>
    <w:p/>
    <w:p>
      <w:r>
        <w:rPr>
          <w:b w:val="0"/>
          <w:i w:val="0"/>
        </w:rPr>
        <w:t>Dear Editor,</w:t>
      </w:r>
    </w:p>
    <w:p>
      <w:pPr>
        <w:jc w:val="both"/>
      </w:pPr>
      <w:r>
        <w:rPr>
          <w:b w:val="0"/>
          <w:i w:val="0"/>
        </w:rPr>
        <w:t>We thank the editor and both reviewers for their constructive comments. Each comment is answered below with the revised text and its location (page and line numbers refer to the highlighted manuscript). All changes are highlighted in yellow; a clean copy is also supplied.</w:t>
      </w:r>
    </w:p>
    <w:p>
      <w:pPr>
        <w:jc w:val="both"/>
      </w:pPr>
      <w:r>
        <w:rPr>
          <w:b w:val="0"/>
          <w:i w:val="0"/>
        </w:rPr>
        <w:t>In addition, we checked the manuscript for internal consistency and made these corrections, none of which alters the findings:</w:t>
      </w:r>
    </w:p>
    <w:p>
      <w:pPr>
        <w:pStyle w:val="ListBullet"/>
        <w:spacing w:after="60"/>
      </w:pPr>
      <w:r>
        <w:rPr>
          <w:b w:val="0"/>
          <w:i w:val="0"/>
        </w:rPr>
        <w:t>Participant counts now agree with the participant table: female n = 12 (52%; previously 13, 57%); five or six participants per site (previously “five to seven”); nurses with five or fewer years of experience n = 6 (previously n = 7). A sentence repeating the experience range in Section 3.1 was deleted.</w:t>
      </w:r>
    </w:p>
    <w:p>
      <w:pPr>
        <w:pStyle w:val="ListBullet"/>
        <w:spacing w:after="60"/>
      </w:pPr>
      <w:r>
        <w:rPr>
          <w:b w:val="0"/>
          <w:i w:val="0"/>
        </w:rPr>
        <w:t>References: two duplicates merged (former 35 and 36 = 12 and 26); misattributed citations corrected (e.g., Braun and Clarke, Thorne); one unrelated citation removed; six entries reformatted; 11 references added; list renumbered (77 references).</w:t>
      </w:r>
    </w:p>
    <w:p>
      <w:pPr>
        <w:pStyle w:val="ListBullet"/>
        <w:spacing w:after="60"/>
      </w:pPr>
      <w:r>
        <w:rPr>
          <w:b w:val="0"/>
          <w:i w:val="0"/>
        </w:rPr>
        <w:t>New Table 1 added; former Tables 1 and 2 are now Tables 2 and 3. Reversed age ranges in the participant table (a right-to-left formatting error) corrected.</w:t>
      </w:r>
    </w:p>
    <w:p>
      <w:pPr>
        <w:pStyle w:val="ListBullet"/>
        <w:spacing w:after="60"/>
      </w:pPr>
      <w:r>
        <w:rPr>
          <w:b w:val="0"/>
          <w:i w:val="0"/>
        </w:rPr>
        <w:t>Overstated wording moderated in the Abstract conclusion, Key points, and Discussion.</w:t>
      </w:r>
    </w:p>
    <w:p>
      <w:pPr>
        <w:spacing w:after="0"/>
      </w:pPr>
      <w:r>
        <w:rPr>
          <w:b w:val="0"/>
          <w:i w:val="0"/>
        </w:rPr>
        <w:t>Yours sincerely,</w:t>
      </w:r>
    </w:p>
    <w:p>
      <w:r>
        <w:rPr>
          <w:b w:val="0"/>
          <w:i w:val="0"/>
        </w:rPr>
        <w:t>Osama Mohamed Elsayed Ramadan, on behalf of all authors</w:t>
      </w:r>
    </w:p>
    <w:p>
      <w:pPr>
        <w:pBdr>
          <w:bottom w:val="single" w:sz="6" w:space="1" w:color="1F3864"/>
        </w:pBdr>
        <w:spacing w:after="120" w:before="280"/>
      </w:pPr>
      <w:r>
        <w:rPr>
          <w:b/>
          <w:i w:val="0"/>
          <w:color w:val="1F3864"/>
          <w:sz w:val="26"/>
        </w:rPr>
        <w:t>EDITOR</w:t>
      </w:r>
    </w:p>
    <w:p>
      <w:pPr>
        <w:shd w:val="clear" w:color="auto" w:fill="EEF3FA"/>
        <w:spacing w:before="200"/>
      </w:pPr>
      <w:r>
        <w:rPr>
          <w:b/>
          <w:i w:val="0"/>
          <w:color w:val="1F3864"/>
        </w:rPr>
        <w:t xml:space="preserve">Comment E1. </w:t>
      </w:r>
      <w:r>
        <w:rPr>
          <w:b w:val="0"/>
          <w:i/>
        </w:rPr>
        <w:t>Characterization of the systems and participants’ exposure. If possible, describe the systems used at each hospital, including their purpose, the component that qualifies them as AI-assisted, the alerts generated, and their integration into nursing workflows. Distinguish these systems from conventional monitoring alarms or rule-based decision-support systems. Please also report how long the systems had been implemented and participants’ experience using them, drawing on the information collected through the demographic form. Explain how differences in technology, exposure, training, and response protocols across hospitals informed the interpretation of the findings. A concise table may help present this information while preserving institutional anonymity. If this distinction cannot be made, please explain why and discuss the implications for interpreting the findings in the Discussion section.</w:t>
      </w:r>
    </w:p>
    <w:p>
      <w:pPr>
        <w:jc w:val="both"/>
      </w:pPr>
      <w:r>
        <w:rPr>
          <w:b/>
          <w:i w:val="0"/>
        </w:rPr>
        <w:t xml:space="preserve">Response: </w:t>
      </w:r>
      <w:r>
        <w:rPr>
          <w:b w:val="0"/>
          <w:i w:val="0"/>
        </w:rPr>
        <w:t>(a) Definition and distinction. We added a working definition that separates AI-assisted systems from monitor alarms and rule-based scores. The same distinction now opens the Introduction, and the setting, inclusion criterion, and participant description use the defined term consistently (Sections 2.3, 2.4.1, and 3.1).</w:t>
      </w:r>
    </w:p>
    <w:p>
      <w:pPr>
        <w:spacing w:after="40"/>
      </w:pPr>
      <w:r>
        <w:rPr>
          <w:b/>
          <w:i/>
          <w:sz w:val="22"/>
        </w:rPr>
        <w:t>Revised text (Section 2.3, p. 6, lines 168–177):</w:t>
      </w:r>
    </w:p>
    <w:p>
      <w:pPr>
        <w:pBdr>
          <w:left w:val="single" w:sz="18" w:space="8" w:color="1F3864"/>
        </w:pBdr>
        <w:ind w:left="454"/>
        <w:jc w:val="both"/>
      </w:pPr>
      <w:r>
        <w:rPr>
          <w:b w:val="0"/>
          <w:i w:val="0"/>
          <w:sz w:val="22"/>
        </w:rPr>
        <w:t xml:space="preserve">“For this study, AI-assisted early warning systems were defined as systems that apply machine-learning or other data-driven predictive algorithms to multiple, continuously updated physiological, laboratory, and clinical data to generate patient-specific deterioration risk estimates or alerts. Single-parameter monitor alarms and rule-based scores with fixed thresholds were not considered AI-assisted, although monitor alarms operated alongside the AI-assisted systems in all units. Table 1 summarises each site’s system (purpose, AI component, alert types, workflow integration, implementation period, training, and response protocol) and participants’ self-reported exposure. Site-level information was obtained from </w:t>
      </w:r>
      <w:r>
        <w:rPr>
          <w:b w:val="0"/>
          <w:i w:val="0"/>
          <w:sz w:val="22"/>
          <w:highlight w:val="yellow"/>
        </w:rPr>
        <w:t>[AUTHOR: insert source, e.g., hospital nursing informatics departments]</w:t>
      </w:r>
      <w:r>
        <w:rPr>
          <w:b w:val="0"/>
          <w:i w:val="0"/>
          <w:sz w:val="22"/>
        </w:rPr>
        <w:t>; vendor and product names are withheld to preserve institutional anonymity.”</w:t>
      </w:r>
    </w:p>
    <w:p>
      <w:pPr>
        <w:jc w:val="both"/>
      </w:pPr>
      <w:r>
        <w:rPr>
          <w:b/>
          <w:i w:val="0"/>
        </w:rPr>
        <w:t xml:space="preserve">Response: </w:t>
      </w:r>
      <w:r>
        <w:rPr>
          <w:b w:val="0"/>
          <w:i w:val="0"/>
        </w:rPr>
        <w:t xml:space="preserve">(b, c) Systems and exposure. A new Table 1 reports, for each site, the system’s purpose and AI component, alert types, workflow integration, implementation period, training, and response protocol. It also reports participants’ duration of use, training, and prior experience, taken from Section 3 of the demographic form, which is now described in Section 2.5. Vendor names are withheld to preserve anonymity. </w:t>
      </w:r>
      <w:r>
        <w:rPr>
          <w:b w:val="0"/>
          <w:i w:val="0"/>
          <w:highlight w:val="yellow"/>
        </w:rPr>
        <w:t>[AUTHOR: complete Table 1, then delete this note.]</w:t>
      </w:r>
    </w:p>
    <w:p>
      <w:pPr>
        <w:spacing w:after="40"/>
      </w:pPr>
      <w:r>
        <w:rPr>
          <w:b/>
          <w:i/>
          <w:sz w:val="22"/>
        </w:rPr>
        <w:t>Revised text (Section 2.5, p. 8, lines 216–220):</w:t>
      </w:r>
    </w:p>
    <w:p>
      <w:pPr>
        <w:pBdr>
          <w:left w:val="single" w:sz="18" w:space="8" w:color="1F3864"/>
        </w:pBdr>
        <w:ind w:left="454"/>
        <w:jc w:val="both"/>
      </w:pPr>
      <w:r>
        <w:rPr>
          <w:b w:val="0"/>
          <w:i w:val="0"/>
          <w:sz w:val="22"/>
        </w:rPr>
        <w:t>“Before each interview, participants completed a brief demographic form capturing age, sex, nationality, years of critical care experience, highest educational qualification, the AI-assisted system used in their unit, duration of use of that system, training received, and prior experience with similar systems elsewhere (Supplementary File S1).”</w:t>
      </w:r>
    </w:p>
    <w:p>
      <w:pPr>
        <w:jc w:val="both"/>
      </w:pPr>
      <w:r>
        <w:rPr>
          <w:b/>
          <w:i w:val="0"/>
        </w:rPr>
        <w:t xml:space="preserve">Response: </w:t>
      </w:r>
      <w:r>
        <w:rPr>
          <w:b w:val="0"/>
          <w:i w:val="0"/>
        </w:rPr>
        <w:t>(d) Use in analysis. Site differences were treated as interpretive context during analysis.</w:t>
      </w:r>
    </w:p>
    <w:p>
      <w:pPr>
        <w:spacing w:after="40"/>
      </w:pPr>
      <w:r>
        <w:rPr>
          <w:b/>
          <w:i/>
          <w:sz w:val="22"/>
        </w:rPr>
        <w:t>Revised text (Section 2.8, p. 11, lines 293–298):</w:t>
      </w:r>
    </w:p>
    <w:p>
      <w:pPr>
        <w:pBdr>
          <w:left w:val="single" w:sz="18" w:space="8" w:color="1F3864"/>
        </w:pBdr>
        <w:ind w:left="454"/>
        <w:jc w:val="both"/>
      </w:pPr>
      <w:r>
        <w:rPr>
          <w:b w:val="0"/>
          <w:i w:val="0"/>
          <w:sz w:val="22"/>
        </w:rPr>
        <w:t>“Site-level differences (Table 1) were treated as interpretive context rather than as variables for comparison: extracts were tagged by site, and analytic memos examined how accounts of alert interpretation, trust, and escalation related to local protocols, training, and exposure. This informed, for example, the interpretation of defensive alert management at Hospital D, where non-action required documented justification, and of the more collaborative stance described at Hospital A.”</w:t>
      </w:r>
    </w:p>
    <w:p>
      <w:pPr>
        <w:jc w:val="both"/>
      </w:pPr>
      <w:r>
        <w:rPr>
          <w:b/>
          <w:i w:val="0"/>
        </w:rPr>
        <w:t xml:space="preserve">Response: </w:t>
      </w:r>
      <w:r>
        <w:rPr>
          <w:b w:val="0"/>
          <w:i w:val="0"/>
        </w:rPr>
        <w:t>(e) Implications. The Limitations now separate cross-site patterns from site-specific ones. They also state that the findings concern locally implemented systems, and that alert burden may partly reflect conventional alarms.</w:t>
      </w:r>
    </w:p>
    <w:p>
      <w:pPr>
        <w:spacing w:after="40"/>
      </w:pPr>
      <w:r>
        <w:rPr>
          <w:b/>
          <w:i/>
          <w:sz w:val="22"/>
        </w:rPr>
        <w:t>Revised text (Section 4.6, p. 27, lines 750–759):</w:t>
      </w:r>
    </w:p>
    <w:p>
      <w:pPr>
        <w:pBdr>
          <w:left w:val="single" w:sz="18" w:space="8" w:color="1F3864"/>
        </w:pBdr>
        <w:ind w:left="454"/>
        <w:jc w:val="both"/>
      </w:pPr>
      <w:r>
        <w:rPr>
          <w:b w:val="0"/>
          <w:i w:val="0"/>
          <w:sz w:val="22"/>
        </w:rPr>
        <w:t>“The four sites used different systems, alert types, implementation histories, training, and response protocols (Table 1). Some patterns were reported at all four sites (peer-mediated calibration, concern about false-positive alerts, and inadequate preparation), suggesting that they reflect engagement with AI-assisted early warning generally; others were site-specific, notably the defensive alert management linked to the documented-justification requirement at Hospital D. The findings therefore describe AI-assisted early warning as implemented locally, not the performance of any single algorithm. Because AI-generated alerts were encountered alongside conventional monitor alarms, which participants may not always have distinguished, accounts of alert burden may reflect the cumulative alerting environment; future studies could combine interviews with system audit data.”</w:t>
      </w:r>
    </w:p>
    <w:p>
      <w:pPr>
        <w:shd w:val="clear" w:color="auto" w:fill="EEF3FA"/>
        <w:spacing w:before="200"/>
      </w:pPr>
      <w:r>
        <w:rPr>
          <w:b/>
          <w:i w:val="0"/>
          <w:color w:val="1F3864"/>
        </w:rPr>
        <w:t xml:space="preserve">Comment E2. </w:t>
      </w:r>
      <w:r>
        <w:rPr>
          <w:b w:val="0"/>
          <w:i/>
        </w:rPr>
        <w:t>Transparency in theme development. The supplementary interview guide labels its sections “Themes 1–4,” closely corresponding to the final themes. Please clarify whether these labels were present during data collection or added retrospectively for presentation. Explain the relationship between the orienting conceptual framework, interview questions, initial codes, and final themes, distinguishing predefined areas of inquiry from interpretations developed through analysis. Please also clarify whether the analysis was deductive, inductive, or a combination of both.</w:t>
      </w:r>
    </w:p>
    <w:p>
      <w:pPr>
        <w:jc w:val="both"/>
      </w:pPr>
      <w:r>
        <w:rPr>
          <w:b/>
          <w:i w:val="0"/>
        </w:rPr>
        <w:t xml:space="preserve">Response: </w:t>
      </w:r>
      <w:r>
        <w:rPr>
          <w:b w:val="0"/>
          <w:i w:val="0"/>
        </w:rPr>
        <w:t xml:space="preserve">(a) The theme labels were added retrospectively, when the supplementary file was prepared after analysis. During data collection, sections were labelled by area of inquiry. We have restored those labels in S1, added an explanatory note there, and stated this in Section 2.6. </w:t>
      </w:r>
      <w:r>
        <w:rPr>
          <w:b w:val="0"/>
          <w:i w:val="0"/>
          <w:highlight w:val="yellow"/>
        </w:rPr>
        <w:t>[AUTHOR: confirm; see audit item A1.]</w:t>
      </w:r>
    </w:p>
    <w:p>
      <w:pPr>
        <w:spacing w:after="40"/>
      </w:pPr>
      <w:r>
        <w:rPr>
          <w:b/>
          <w:i/>
          <w:sz w:val="22"/>
        </w:rPr>
        <w:t>Revised text (Section 2.6, p. 9, lines 241–244):</w:t>
      </w:r>
    </w:p>
    <w:p>
      <w:pPr>
        <w:pBdr>
          <w:left w:val="single" w:sz="18" w:space="8" w:color="1F3864"/>
        </w:pBdr>
        <w:ind w:left="454"/>
        <w:jc w:val="both"/>
      </w:pPr>
      <w:r>
        <w:rPr>
          <w:b w:val="0"/>
          <w:i w:val="0"/>
          <w:sz w:val="22"/>
        </w:rPr>
        <w:t>“These topics were organised into four areas of inquiry derived from the study objectives and the orienting framework, followed by closing questions. During data collection, guide sections were labelled by area of inquiry only; themes were developed during analysis (Section 2.8).”</w:t>
      </w:r>
    </w:p>
    <w:p>
      <w:pPr>
        <w:jc w:val="both"/>
      </w:pPr>
      <w:r>
        <w:rPr>
          <w:b/>
          <w:i w:val="0"/>
        </w:rPr>
        <w:t xml:space="preserve">Response: </w:t>
      </w:r>
      <w:r>
        <w:rPr>
          <w:b w:val="0"/>
          <w:i w:val="0"/>
        </w:rPr>
        <w:t>(b, c) The analysis combined both approaches: the framework set the areas of inquiry, while codes and themes were developed inductively. Section 2.8 now explains this and names the interpretations that were not predefined. New Supplementary File S2 traces framework concept → area of inquiry → illustrative codes → theme for each theme. The correspondence between the guide and the theme structure is acknowledged as a limitation (Section 4.6).</w:t>
      </w:r>
    </w:p>
    <w:p>
      <w:pPr>
        <w:spacing w:after="40"/>
      </w:pPr>
      <w:r>
        <w:rPr>
          <w:b/>
          <w:i/>
          <w:sz w:val="22"/>
        </w:rPr>
        <w:t>Revised text (Section 2.8, p. 10, lines 281–292):</w:t>
      </w:r>
    </w:p>
    <w:p>
      <w:pPr>
        <w:pBdr>
          <w:left w:val="single" w:sz="18" w:space="8" w:color="1F3864"/>
        </w:pBdr>
        <w:ind w:left="454"/>
        <w:jc w:val="both"/>
      </w:pPr>
      <w:r>
        <w:rPr>
          <w:b w:val="0"/>
          <w:i w:val="0"/>
          <w:sz w:val="22"/>
        </w:rPr>
        <w:t>“The analysis combined deductive and inductive elements. The orienting framework shaped the four areas of inquiry, and therefore what participants were asked, but no codebook or predefined themes were applied. Initial codes were generated inductively at semantic and latent levels, and candidate themes were built around central organising concepts rather than as summaries of responses to particular questions. The final themes broadly correspond to the areas of inquiry, as expected given that these structured the interviews, but their interpretive content was generated through analysis. Interpretations not anticipated by the framework or guide include peer-mediated calibration, scepticism as an early interpretive strategy among senior nurses, negotiation as a third response mode, the dependence of the perceived safety value of AI on attentional capacity, and defensive documentation where non-action required justification. Supplementary File S2 traces the relationships among framework concepts, areas of inquiry, illustrative initial codes, and final themes.”</w:t>
      </w:r>
    </w:p>
    <w:p>
      <w:pPr>
        <w:shd w:val="clear" w:color="auto" w:fill="EEF3FA"/>
        <w:spacing w:before="200"/>
      </w:pPr>
      <w:r>
        <w:rPr>
          <w:b/>
          <w:i w:val="0"/>
          <w:color w:val="1F3864"/>
        </w:rPr>
        <w:t xml:space="preserve">Comment E3. </w:t>
      </w:r>
      <w:r>
        <w:rPr>
          <w:b w:val="0"/>
          <w:i/>
        </w:rPr>
        <w:t>Disclosure of AI use. Please specify whether AI tools were used in preparing the manuscript. If they were used for drafting, language editing, grammar correction, or similar purposes, this information must be included in the Acknowledgements section on the title page. If AI tools were used to create or enhance Figures 1 and 2, this information must also be disclosed in the respective figure legends.</w:t>
      </w:r>
    </w:p>
    <w:p>
      <w:pPr>
        <w:jc w:val="both"/>
      </w:pPr>
      <w:r>
        <w:rPr>
          <w:b/>
          <w:i w:val="0"/>
        </w:rPr>
        <w:t xml:space="preserve">Response: </w:t>
      </w:r>
      <w:r>
        <w:rPr>
          <w:b w:val="0"/>
          <w:i w:val="0"/>
        </w:rPr>
        <w:t xml:space="preserve">The following statement has been added to the Acknowledgements on the title page. Both figure legends now state that no AI tools were used to create or enhance the figures. </w:t>
      </w:r>
      <w:r>
        <w:rPr>
          <w:b w:val="0"/>
          <w:i w:val="0"/>
          <w:highlight w:val="yellow"/>
        </w:rPr>
        <w:t>[AUTHOR: if an AI assistant was used to help prepare this revision, disclose it here and on the title page; see audit item B0.]</w:t>
      </w:r>
    </w:p>
    <w:p>
      <w:pPr>
        <w:spacing w:after="40"/>
      </w:pPr>
      <w:r>
        <w:rPr>
          <w:b/>
          <w:i/>
          <w:sz w:val="22"/>
        </w:rPr>
        <w:t>Revised text (Title page, Acknowledgements):</w:t>
      </w:r>
    </w:p>
    <w:p>
      <w:pPr>
        <w:pBdr>
          <w:left w:val="single" w:sz="18" w:space="8" w:color="1F3864"/>
        </w:pBdr>
        <w:ind w:left="454"/>
        <w:jc w:val="both"/>
      </w:pPr>
      <w:r>
        <w:rPr>
          <w:b w:val="0"/>
          <w:i w:val="0"/>
          <w:sz w:val="22"/>
        </w:rPr>
        <w:t>“The authors used Grammarly and QuillBot solely for grammar, spelling, and readability edits to author-written text. These tools were not used for study design or conduct, data analysis, interpretation, or reference generation. Only de-identified manuscript text was processed; no recordings or interview transcripts were uploaded, and participant quotations remained unchanged. The authors reviewed all edits for accuracy and fidelity to the study data and sources, approved the final manuscript, and retain full responsibility for its content.”</w:t>
      </w:r>
    </w:p>
    <w:p>
      <w:pPr>
        <w:shd w:val="clear" w:color="auto" w:fill="EEF3FA"/>
        <w:spacing w:before="200"/>
      </w:pPr>
      <w:r>
        <w:rPr>
          <w:b/>
          <w:i w:val="0"/>
          <w:color w:val="1F3864"/>
        </w:rPr>
        <w:t xml:space="preserve">Comment E4. </w:t>
      </w:r>
      <w:r>
        <w:rPr>
          <w:b w:val="0"/>
          <w:i/>
        </w:rPr>
        <w:t>These revisions are essential to establish what technology participants experienced and how the analysis generated its interpretive contribution. Please submit a revised manuscript with a point-by-point response explaining how each concern has been addressed.</w:t>
      </w:r>
    </w:p>
    <w:p>
      <w:pPr>
        <w:jc w:val="both"/>
      </w:pPr>
      <w:r>
        <w:rPr>
          <w:b/>
          <w:i w:val="0"/>
        </w:rPr>
        <w:t xml:space="preserve">Response: </w:t>
      </w:r>
      <w:r>
        <w:rPr>
          <w:b w:val="0"/>
          <w:i w:val="0"/>
        </w:rPr>
        <w:t>Addressed under E1 (technology: Table 1, Section 2.3) and E2 (analysis: Section 2.8, Supplementary File S2).</w:t>
      </w:r>
    </w:p>
    <w:p>
      <w:pPr>
        <w:pBdr>
          <w:bottom w:val="single" w:sz="6" w:space="1" w:color="1F3864"/>
        </w:pBdr>
        <w:spacing w:after="120" w:before="280"/>
      </w:pPr>
      <w:r>
        <w:rPr>
          <w:b/>
          <w:i w:val="0"/>
          <w:color w:val="1F3864"/>
          <w:sz w:val="26"/>
        </w:rPr>
        <w:t>REVIEWER 1</w:t>
      </w:r>
    </w:p>
    <w:p>
      <w:pPr>
        <w:shd w:val="clear" w:color="auto" w:fill="EEF3FA"/>
        <w:spacing w:before="200"/>
      </w:pPr>
      <w:r>
        <w:rPr>
          <w:b/>
          <w:i w:val="0"/>
          <w:color w:val="1F3864"/>
        </w:rPr>
        <w:t xml:space="preserve">Comment 1.1. </w:t>
      </w:r>
      <w:r>
        <w:rPr>
          <w:b w:val="0"/>
          <w:i/>
        </w:rPr>
        <w:t>The manuscript submitted by the authors is very well presented and comprehensively addresses the core aspects of research. The study is ethically sound, scientifically rigorous, and methodologically robust, with clear and technically accurate reporting of the methods and results. The scope of the manuscript is highly relevant to clinical practice, education, and future decision-making. The findings are presented in a balanced manner, offering a comprehensive understanding of participants’ perspectives. Importantly, the authors have also appropriately acknowledged and discussed the limitations of the study, reflecting transparency and critical reflection in reporting the research. Furthermore, the detailed presentation of the study has the potential to encourage similar research in other contexts and settings. Overall, the manuscript is reader-friendly, engaging, and contributes meaningfully to the existing body of knowledge.</w:t>
      </w:r>
    </w:p>
    <w:p>
      <w:pPr>
        <w:jc w:val="both"/>
      </w:pPr>
      <w:r>
        <w:rPr>
          <w:b/>
          <w:i w:val="0"/>
        </w:rPr>
        <w:t xml:space="preserve">Response: </w:t>
      </w:r>
      <w:r>
        <w:rPr>
          <w:b w:val="0"/>
          <w:i w:val="0"/>
        </w:rPr>
        <w:t>We thank the reviewer for this positive assessment. No changes were requested.</w:t>
      </w:r>
    </w:p>
    <w:p>
      <w:pPr>
        <w:pBdr>
          <w:bottom w:val="single" w:sz="6" w:space="1" w:color="1F3864"/>
        </w:pBdr>
        <w:spacing w:after="120" w:before="280"/>
      </w:pPr>
      <w:r>
        <w:rPr>
          <w:b/>
          <w:i w:val="0"/>
          <w:color w:val="1F3864"/>
          <w:sz w:val="26"/>
        </w:rPr>
        <w:t>REVIEWER 2</w:t>
      </w:r>
    </w:p>
    <w:p>
      <w:pPr>
        <w:shd w:val="clear" w:color="auto" w:fill="EEF3FA"/>
        <w:spacing w:before="200"/>
      </w:pPr>
      <w:r>
        <w:rPr>
          <w:b/>
          <w:i w:val="0"/>
          <w:color w:val="1F3864"/>
        </w:rPr>
        <w:t xml:space="preserve">General comment. </w:t>
      </w:r>
      <w:r>
        <w:rPr>
          <w:b w:val="0"/>
          <w:i/>
        </w:rPr>
        <w:t>Thank you to the authors for this well-presented manuscript which presents research that highlights the complexity of integrating clinical judgement with technology use in critical care environments. The study is rigorous and adheres well to the chosen methodology. … The findings are informative and elucidate the necessity for critical thinking and following intuitive and experiential judgments alongside adapting to the technology. Reporting on contextual differences is an added strength of the multi-site study. I have provided some feedback for consideration, mainly relating to clarifying phrasing and supporting references. I also have a concern about table 1 and potential identification of participants. Please see below for more details.</w:t>
      </w:r>
    </w:p>
    <w:p>
      <w:pPr>
        <w:jc w:val="both"/>
      </w:pPr>
      <w:r>
        <w:rPr>
          <w:b/>
          <w:i w:val="0"/>
        </w:rPr>
        <w:t xml:space="preserve">Response: </w:t>
      </w:r>
      <w:r>
        <w:rPr>
          <w:b w:val="0"/>
          <w:i w:val="0"/>
        </w:rPr>
        <w:t>Thank you. Each point is answered below.</w:t>
      </w:r>
    </w:p>
    <w:p>
      <w:pPr>
        <w:shd w:val="clear" w:color="auto" w:fill="EEF3FA"/>
        <w:spacing w:before="200"/>
      </w:pPr>
      <w:r>
        <w:rPr>
          <w:b/>
          <w:i w:val="0"/>
          <w:color w:val="1F3864"/>
        </w:rPr>
        <w:t xml:space="preserve">Comment 2.1. </w:t>
      </w:r>
      <w:r>
        <w:rPr>
          <w:b w:val="0"/>
          <w:i/>
        </w:rPr>
        <w:t>Please consider adding a COREQ checklist to the submission to support reporting quality.</w:t>
      </w:r>
    </w:p>
    <w:p>
      <w:pPr>
        <w:jc w:val="both"/>
      </w:pPr>
      <w:r>
        <w:rPr>
          <w:b/>
          <w:i w:val="0"/>
        </w:rPr>
        <w:t xml:space="preserve">Response: </w:t>
      </w:r>
      <w:r>
        <w:rPr>
          <w:b w:val="0"/>
          <w:i w:val="0"/>
        </w:rPr>
        <w:t>The completed checklist is provided as Supplementary File S3 and cited in Section 2.1 and the Abstract. Three items not previously reported (non-participants present, repeat interviews, and transcript return) were added to Sections 2.5 and 2.10.</w:t>
      </w:r>
    </w:p>
    <w:p>
      <w:pPr>
        <w:spacing w:after="40"/>
      </w:pPr>
      <w:r>
        <w:rPr>
          <w:b/>
          <w:i/>
          <w:sz w:val="22"/>
        </w:rPr>
        <w:t>Revised text (Section 2.1, p. 5, lines 132–134):</w:t>
      </w:r>
    </w:p>
    <w:p>
      <w:pPr>
        <w:pBdr>
          <w:left w:val="single" w:sz="18" w:space="8" w:color="1F3864"/>
        </w:pBdr>
        <w:ind w:left="454"/>
        <w:jc w:val="both"/>
      </w:pPr>
      <w:r>
        <w:rPr>
          <w:b w:val="0"/>
          <w:i w:val="0"/>
          <w:sz w:val="22"/>
        </w:rPr>
        <w:t>“Reporting followed the Consolidated Criteria for Reporting Qualitative Research (COREQ) [41, 42]; the completed checklist is provided in Supplementary File S3.”</w:t>
      </w:r>
    </w:p>
    <w:p>
      <w:pPr>
        <w:shd w:val="clear" w:color="auto" w:fill="EEF3FA"/>
        <w:spacing w:before="200"/>
      </w:pPr>
      <w:r>
        <w:rPr>
          <w:b/>
          <w:i w:val="0"/>
          <w:color w:val="1F3864"/>
        </w:rPr>
        <w:t xml:space="preserve">Comment 2.2. </w:t>
      </w:r>
      <w:r>
        <w:rPr>
          <w:b w:val="0"/>
          <w:i/>
        </w:rPr>
        <w:t>Line 82, page 5 - An additional sentence to outline what Vision 2030 is would provide more context to this statement.</w:t>
      </w:r>
    </w:p>
    <w:p>
      <w:pPr>
        <w:jc w:val="both"/>
      </w:pPr>
      <w:r>
        <w:rPr>
          <w:b/>
          <w:i w:val="0"/>
        </w:rPr>
        <w:t xml:space="preserve">Response: </w:t>
      </w:r>
      <w:r>
        <w:rPr>
          <w:b w:val="0"/>
          <w:i w:val="0"/>
        </w:rPr>
        <w:t>Added.</w:t>
      </w:r>
    </w:p>
    <w:p>
      <w:pPr>
        <w:spacing w:after="40"/>
      </w:pPr>
      <w:r>
        <w:rPr>
          <w:b/>
          <w:i/>
          <w:sz w:val="22"/>
        </w:rPr>
        <w:t>Revised text (Introduction, p. 3, lines 89–92):</w:t>
      </w:r>
    </w:p>
    <w:p>
      <w:pPr>
        <w:pBdr>
          <w:left w:val="single" w:sz="18" w:space="8" w:color="1F3864"/>
        </w:pBdr>
        <w:ind w:left="454"/>
        <w:jc w:val="both"/>
      </w:pPr>
      <w:r>
        <w:rPr>
          <w:b w:val="0"/>
          <w:i w:val="0"/>
          <w:sz w:val="22"/>
        </w:rPr>
        <w:t>“Vision 2030, launched in 2016, is Saudi Arabia’s national framework for economic diversification and public-sector modernisation; its Health Sector Transformation Program aims to improve access, quality, and efficiency, partly through expanded e-health and digital services [31].”</w:t>
      </w:r>
    </w:p>
    <w:p>
      <w:pPr>
        <w:shd w:val="clear" w:color="auto" w:fill="EEF3FA"/>
        <w:spacing w:before="200"/>
      </w:pPr>
      <w:r>
        <w:rPr>
          <w:b/>
          <w:i w:val="0"/>
          <w:color w:val="1F3864"/>
        </w:rPr>
        <w:t xml:space="preserve">Comment 2.3. </w:t>
      </w:r>
      <w:r>
        <w:rPr>
          <w:b w:val="0"/>
          <w:i/>
        </w:rPr>
        <w:t>Is there any underpinning reference for figure 1? If AI was used to develop the figure, please disclose this or add in any supporting references used.</w:t>
      </w:r>
    </w:p>
    <w:p>
      <w:pPr>
        <w:jc w:val="both"/>
      </w:pPr>
      <w:r>
        <w:rPr>
          <w:b/>
          <w:i w:val="0"/>
        </w:rPr>
        <w:t xml:space="preserve">Response: </w:t>
      </w:r>
      <w:r>
        <w:rPr>
          <w:b w:val="0"/>
          <w:i w:val="0"/>
        </w:rPr>
        <w:t>The framework is the authors’ own. Its sources are now cited: Tanner’s clinical judgment model [43], Sittig and Singh’s sociotechnical model [44], and the literature on trust in automation and alarm fatigue [11, 45, 46]. The legend states that no AI tools were used.</w:t>
      </w:r>
    </w:p>
    <w:p>
      <w:pPr>
        <w:spacing w:after="40"/>
      </w:pPr>
      <w:r>
        <w:rPr>
          <w:b/>
          <w:i/>
          <w:sz w:val="22"/>
        </w:rPr>
        <w:t>Revised text (Section 2.2, p. 5, lines 139–147):</w:t>
      </w:r>
    </w:p>
    <w:p>
      <w:pPr>
        <w:pBdr>
          <w:left w:val="single" w:sz="18" w:space="8" w:color="1F3864"/>
        </w:pBdr>
        <w:ind w:left="454"/>
        <w:jc w:val="both"/>
      </w:pPr>
      <w:r>
        <w:rPr>
          <w:b w:val="0"/>
          <w:i w:val="0"/>
          <w:sz w:val="22"/>
        </w:rPr>
        <w:t>“The framework was developed by the authors from three bodies of work: Tanner’s model of clinical judgment, which describes judgment as noticing, interpreting, responding, and reflecting, shaped by what the nurse brings to the situation and by knowing the patient [43]; sociotechnical perspectives, which view safety as emerging from interactions among technology, people, workflow, and organisational policy [44]; and research on trust in automation and AI-based decision support and on alarm fatigue [11, 45, 46]. Drawing on this literature, the framework identified trust in AI, alert fatigue, professional autonomy, and institutional support and governance as potentially relevant contextual influences.”</w:t>
      </w:r>
    </w:p>
    <w:p>
      <w:pPr>
        <w:shd w:val="clear" w:color="auto" w:fill="EEF3FA"/>
        <w:spacing w:before="200"/>
      </w:pPr>
      <w:r>
        <w:rPr>
          <w:b/>
          <w:i w:val="0"/>
          <w:color w:val="1F3864"/>
        </w:rPr>
        <w:t xml:space="preserve">Comment 2.4. </w:t>
      </w:r>
      <w:r>
        <w:rPr>
          <w:b w:val="0"/>
          <w:i/>
        </w:rPr>
        <w:t>Did the researcher/ interviewer have any relationship with any of the settings? For example, have they previously worked in ICU? Please consider adding this information to the reflexivity statements on page 11; section 2.10.</w:t>
      </w:r>
    </w:p>
    <w:p>
      <w:pPr>
        <w:jc w:val="both"/>
      </w:pPr>
      <w:r>
        <w:rPr>
          <w:b/>
          <w:i w:val="0"/>
        </w:rPr>
        <w:t xml:space="preserve">Response: </w:t>
      </w:r>
      <w:r>
        <w:rPr>
          <w:b w:val="0"/>
          <w:i w:val="0"/>
        </w:rPr>
        <w:t>Added to Section 2.10.</w:t>
      </w:r>
    </w:p>
    <w:p>
      <w:pPr>
        <w:spacing w:after="40"/>
      </w:pPr>
      <w:r>
        <w:rPr>
          <w:b/>
          <w:i/>
          <w:sz w:val="22"/>
        </w:rPr>
        <w:t>Revised text (Section 2.10, p. 12, lines 341–348):</w:t>
      </w:r>
    </w:p>
    <w:p>
      <w:pPr>
        <w:pBdr>
          <w:left w:val="single" w:sz="18" w:space="8" w:color="1F3864"/>
        </w:pBdr>
        <w:ind w:left="454"/>
        <w:jc w:val="both"/>
      </w:pPr>
      <w:r>
        <w:rPr>
          <w:b w:val="0"/>
          <w:i w:val="0"/>
          <w:sz w:val="22"/>
        </w:rPr>
        <w:t xml:space="preserve">“The principal investigator is a male nurse academic with a clinical background in critical care and paediatric nursing </w:t>
      </w:r>
      <w:r>
        <w:rPr>
          <w:b w:val="0"/>
          <w:i w:val="0"/>
          <w:sz w:val="22"/>
          <w:highlight w:val="yellow"/>
        </w:rPr>
        <w:t>[AUTHOR: specify roles and years, e.g., “six years as an adult ICU staff nurse”]</w:t>
      </w:r>
      <w:r>
        <w:rPr>
          <w:b w:val="0"/>
          <w:i w:val="0"/>
          <w:sz w:val="22"/>
        </w:rPr>
        <w:t xml:space="preserve">. He had no employment, managerial, supervisory, or teaching relationship with the participating units or participants and had not worked at any of the four hospitals </w:t>
      </w:r>
      <w:r>
        <w:rPr>
          <w:b w:val="0"/>
          <w:i w:val="0"/>
          <w:sz w:val="22"/>
          <w:highlight w:val="yellow"/>
        </w:rPr>
        <w:t>[AUTHOR: confirm; if any prior relationship existed, state how it was managed]</w:t>
      </w:r>
      <w:r>
        <w:rPr>
          <w:b w:val="0"/>
          <w:i w:val="0"/>
          <w:sz w:val="22"/>
        </w:rPr>
        <w:t>. To limit the assumption of shared clinical meanings, he asked participants to explain situations in their own words and recorded in the reflexive journal where his assumptions shaped follow-up questions; these entries were reviewed in team meetings.”</w:t>
      </w:r>
    </w:p>
    <w:p>
      <w:pPr>
        <w:shd w:val="clear" w:color="auto" w:fill="EEF3FA"/>
        <w:spacing w:before="200"/>
      </w:pPr>
      <w:r>
        <w:rPr>
          <w:b/>
          <w:i w:val="0"/>
          <w:color w:val="1F3864"/>
        </w:rPr>
        <w:t xml:space="preserve">Comment 2.5. </w:t>
      </w:r>
      <w:r>
        <w:rPr>
          <w:b w:val="0"/>
          <w:i/>
        </w:rPr>
        <w:t>I have some concerns that the confidentiality of the participants may be at risk though the information in table 1. For example, if there is only one male, Filipino ICU nurse working in hospital site A they would be able to be identified. I think the nationalities could be removed from this table, but the aggregated text could stay in (line 288, page 12).</w:t>
      </w:r>
    </w:p>
    <w:p>
      <w:pPr>
        <w:jc w:val="both"/>
      </w:pPr>
      <w:r>
        <w:rPr>
          <w:b/>
          <w:i w:val="0"/>
        </w:rPr>
        <w:t xml:space="preserve">Response: </w:t>
      </w:r>
      <w:r>
        <w:rPr>
          <w:b w:val="0"/>
          <w:i w:val="0"/>
        </w:rPr>
        <w:t>Agreed. Nationality has been removed from the participant table (now Table 2) and is reported only in aggregate in the text. To further reduce identifiability, experience is banded in the table and in quotation attributions, and the single doctoral qualification is grouped as “Postgraduate”.</w:t>
      </w:r>
    </w:p>
    <w:p>
      <w:pPr>
        <w:spacing w:after="40"/>
      </w:pPr>
      <w:r>
        <w:rPr>
          <w:b/>
          <w:i/>
          <w:sz w:val="22"/>
        </w:rPr>
        <w:t>Revised text (Table 2 note, p. 13, lines 362–364):</w:t>
      </w:r>
    </w:p>
    <w:p>
      <w:pPr>
        <w:pBdr>
          <w:left w:val="single" w:sz="18" w:space="8" w:color="1F3864"/>
        </w:pBdr>
        <w:ind w:left="454"/>
        <w:jc w:val="both"/>
      </w:pPr>
      <w:r>
        <w:rPr>
          <w:b w:val="0"/>
          <w:i w:val="0"/>
          <w:sz w:val="22"/>
        </w:rPr>
        <w:t>“Note: To protect participant confidentiality, nationality is reported only in aggregate in the text, critical care experience is presented in bands, and postgraduate qualifications are combined. BSN, Bachelor of Science in Nursing; ICU, intensive care unit; Postgraduate, Master of Science in Nursing (n = 5) or doctoral degree (n = 1).”</w:t>
      </w:r>
    </w:p>
    <w:p>
      <w:pPr>
        <w:shd w:val="clear" w:color="auto" w:fill="EEF3FA"/>
        <w:spacing w:before="200"/>
      </w:pPr>
      <w:r>
        <w:rPr>
          <w:b/>
          <w:i w:val="0"/>
          <w:color w:val="1F3864"/>
        </w:rPr>
        <w:t xml:space="preserve">Comment 2.6. </w:t>
      </w:r>
      <w:r>
        <w:rPr>
          <w:b w:val="0"/>
          <w:i/>
        </w:rPr>
        <w:t>Figure 2 is very difficult to read. I appreciate the interconnectedness of all the concepts but please revise the figure to ensure all text boxes are easier to read.</w:t>
      </w:r>
    </w:p>
    <w:p>
      <w:pPr>
        <w:jc w:val="both"/>
      </w:pPr>
      <w:r>
        <w:rPr>
          <w:b/>
          <w:i w:val="0"/>
        </w:rPr>
        <w:t xml:space="preserve">Response: </w:t>
      </w:r>
      <w:r>
        <w:rPr>
          <w:b w:val="0"/>
          <w:i w:val="0"/>
        </w:rPr>
        <w:t xml:space="preserve">Figure 2 has been redrawn: the background network was removed, text is at least 9 pt, each theme is one block containing its subthemes, labels match Table 3, and a typographical error was corrected. </w:t>
      </w:r>
      <w:r>
        <w:rPr>
          <w:b w:val="0"/>
          <w:i w:val="0"/>
          <w:highlight w:val="yellow"/>
        </w:rPr>
        <w:t>[AUTHOR: redraw per audit item B2, confirm that each statement holds, then delete this note.]</w:t>
      </w:r>
    </w:p>
    <w:p>
      <w:pPr>
        <w:shd w:val="clear" w:color="auto" w:fill="EEF3FA"/>
        <w:spacing w:before="200"/>
      </w:pPr>
      <w:r>
        <w:rPr>
          <w:b/>
          <w:i w:val="0"/>
          <w:color w:val="1F3864"/>
        </w:rPr>
        <w:t xml:space="preserve">Comment 2.7. </w:t>
      </w:r>
      <w:r>
        <w:rPr>
          <w:b w:val="0"/>
          <w:i/>
        </w:rPr>
        <w:t>Lines 569-571 page 22; please provide a reference to the earlier work mentioned here. Also, the statements on lines 572 -575 would benefit from additional referencing support.</w:t>
      </w:r>
    </w:p>
    <w:p>
      <w:pPr>
        <w:jc w:val="both"/>
      </w:pPr>
      <w:r>
        <w:rPr>
          <w:b/>
          <w:i w:val="0"/>
        </w:rPr>
        <w:t xml:space="preserve">Response: </w:t>
      </w:r>
      <w:r>
        <w:rPr>
          <w:b w:val="0"/>
          <w:i w:val="0"/>
        </w:rPr>
        <w:t>The earlier work (technology-acceptance research) is now cited [9, 36, 62–64]. The statements that followed are supported with references on the Saudi nursing workforce and expatriate nurses’ adjustment [65, 66] and on experiential learning [67].</w:t>
      </w:r>
    </w:p>
    <w:p>
      <w:pPr>
        <w:spacing w:after="40"/>
      </w:pPr>
      <w:r>
        <w:rPr>
          <w:b/>
          <w:i/>
          <w:sz w:val="22"/>
        </w:rPr>
        <w:t>Revised text (Section 4.1, p. 24, lines 652–662):</w:t>
      </w:r>
    </w:p>
    <w:p>
      <w:pPr>
        <w:pBdr>
          <w:left w:val="single" w:sz="18" w:space="8" w:color="1F3864"/>
        </w:pBdr>
        <w:ind w:left="454"/>
        <w:jc w:val="both"/>
      </w:pPr>
      <w:r>
        <w:rPr>
          <w:b w:val="0"/>
          <w:i w:val="0"/>
          <w:sz w:val="22"/>
        </w:rPr>
        <w:t>“Earlier work has largely treated technology acceptance as an attitude or intention measured at adoption [9, 36, 62, 63]; these findings suggest instead that acceptance develops through everyday practice, consistent with frameworks emphasising the continuing mutual adaptation of technologies, users, and organisations [64]. In Saudi Arabia, where internationally recruited nurses form a large share of the nursing workforce [65], this may be further complicated for nurses adapting simultaneously to a new organisational and cultural environment [66] and a new digital system. The prominence of peer-mediated learning is consistent with accounts of expertise developing through experience and shared practical knowledge [67]; it makes informal socialisation central to how AI becomes usable but introduces variability in what is learned, pointing to the need for structured onboarding.”</w:t>
      </w:r>
    </w:p>
    <w:p>
      <w:pPr>
        <w:shd w:val="clear" w:color="auto" w:fill="EEF3FA"/>
        <w:spacing w:before="200"/>
      </w:pPr>
      <w:r>
        <w:rPr>
          <w:b/>
          <w:i w:val="0"/>
          <w:color w:val="1F3864"/>
        </w:rPr>
        <w:t xml:space="preserve">Comment 2.8. </w:t>
      </w:r>
      <w:r>
        <w:rPr>
          <w:b w:val="0"/>
          <w:i/>
        </w:rPr>
        <w:t>Line 604 -please provide a reference for ‘sociotechnical perspectives.’</w:t>
      </w:r>
    </w:p>
    <w:p>
      <w:pPr>
        <w:jc w:val="both"/>
      </w:pPr>
      <w:r>
        <w:rPr>
          <w:b/>
          <w:i w:val="0"/>
        </w:rPr>
        <w:t xml:space="preserve">Response: </w:t>
      </w:r>
      <w:r>
        <w:rPr>
          <w:b w:val="0"/>
          <w:i w:val="0"/>
        </w:rPr>
        <w:t>References added [44, 72].</w:t>
      </w:r>
    </w:p>
    <w:p>
      <w:pPr>
        <w:spacing w:after="40"/>
      </w:pPr>
      <w:r>
        <w:rPr>
          <w:b/>
          <w:i/>
          <w:sz w:val="22"/>
        </w:rPr>
        <w:t>Revised text (Section 4.3, p. 25, lines 692–694):</w:t>
      </w:r>
    </w:p>
    <w:p>
      <w:pPr>
        <w:pBdr>
          <w:left w:val="single" w:sz="18" w:space="8" w:color="1F3864"/>
        </w:pBdr>
        <w:ind w:left="454"/>
        <w:jc w:val="both"/>
      </w:pPr>
      <w:r>
        <w:rPr>
          <w:b w:val="0"/>
          <w:i w:val="0"/>
          <w:sz w:val="22"/>
        </w:rPr>
        <w:t>“This interpretation aligns with sociotechnical perspectives that emphasise the human work required to translate digital outputs into safe clinical action [44, 72].”</w:t>
      </w:r>
    </w:p>
    <w:p>
      <w:pPr>
        <w:shd w:val="clear" w:color="auto" w:fill="EEF3FA"/>
        <w:spacing w:before="200"/>
      </w:pPr>
      <w:r>
        <w:rPr>
          <w:b/>
          <w:i w:val="0"/>
          <w:color w:val="1F3864"/>
        </w:rPr>
        <w:t xml:space="preserve">Comment 2.9. </w:t>
      </w:r>
      <w:r>
        <w:rPr>
          <w:b w:val="0"/>
          <w:i/>
        </w:rPr>
        <w:t>Line 608 – For clarity, rather than starting the sentence with ‘This suggests…’, consider rephrasing to, “These findings suggest…’</w:t>
      </w:r>
    </w:p>
    <w:p>
      <w:pPr>
        <w:jc w:val="both"/>
      </w:pPr>
      <w:r>
        <w:rPr>
          <w:b/>
          <w:i w:val="0"/>
        </w:rPr>
        <w:t xml:space="preserve">Response: </w:t>
      </w:r>
      <w:r>
        <w:rPr>
          <w:b w:val="0"/>
          <w:i w:val="0"/>
        </w:rPr>
        <w:t>Changed as suggested. Other sentences opening with “This suggests” or “This highlights” were also revised (Findings subtheme 3.1; Discussion Sections 4.1, 4.2, and 4.4).</w:t>
      </w:r>
    </w:p>
    <w:p>
      <w:pPr>
        <w:spacing w:after="40"/>
      </w:pPr>
      <w:r>
        <w:rPr>
          <w:b/>
          <w:i/>
          <w:sz w:val="22"/>
        </w:rPr>
        <w:t>Revised text (Section 4.3, p. 25, lines 698–700):</w:t>
      </w:r>
    </w:p>
    <w:p>
      <w:pPr>
        <w:pBdr>
          <w:left w:val="single" w:sz="18" w:space="8" w:color="1F3864"/>
        </w:pBdr>
        <w:ind w:left="454"/>
        <w:jc w:val="both"/>
      </w:pPr>
      <w:r>
        <w:rPr>
          <w:b w:val="0"/>
          <w:i w:val="0"/>
          <w:sz w:val="22"/>
        </w:rPr>
        <w:t>“These findings suggest that the safety contribution of AI-assisted early warning is context-sensitive rather than fixed: the settings in which AI may be most useful may also be those in which its effectiveness is most vulnerable.”</w:t>
      </w:r>
    </w:p>
    <w:p>
      <w:pPr>
        <w:shd w:val="clear" w:color="auto" w:fill="EEF3FA"/>
        <w:spacing w:before="200"/>
      </w:pPr>
      <w:r>
        <w:rPr>
          <w:b/>
          <w:i w:val="0"/>
          <w:color w:val="1F3864"/>
        </w:rPr>
        <w:t xml:space="preserve">Comment 2.10. </w:t>
      </w:r>
      <w:r>
        <w:rPr>
          <w:b w:val="0"/>
          <w:i/>
        </w:rPr>
        <w:t>Line 621 – again, please rephrase ‘This suggests..’ as it can be ambiguous.</w:t>
      </w:r>
    </w:p>
    <w:p>
      <w:pPr>
        <w:jc w:val="both"/>
      </w:pPr>
      <w:r>
        <w:rPr>
          <w:b/>
          <w:i w:val="0"/>
        </w:rPr>
        <w:t xml:space="preserve">Response: </w:t>
      </w:r>
      <w:r>
        <w:rPr>
          <w:b w:val="0"/>
          <w:i w:val="0"/>
        </w:rPr>
        <w:t>Rephrased.</w:t>
      </w:r>
    </w:p>
    <w:p>
      <w:pPr>
        <w:spacing w:after="40"/>
      </w:pPr>
      <w:r>
        <w:rPr>
          <w:b/>
          <w:i/>
          <w:sz w:val="22"/>
        </w:rPr>
        <w:t>Revised text (Section 4.4, pp. 25–26, lines 711–715):</w:t>
      </w:r>
    </w:p>
    <w:p>
      <w:pPr>
        <w:pBdr>
          <w:left w:val="single" w:sz="18" w:space="8" w:color="1F3864"/>
        </w:pBdr>
        <w:ind w:left="454"/>
        <w:jc w:val="both"/>
      </w:pPr>
      <w:r>
        <w:rPr>
          <w:b w:val="0"/>
          <w:i w:val="0"/>
          <w:sz w:val="22"/>
        </w:rPr>
        <w:t>“Taken together, these accounts suggest that trust in AI may be better understood as a situated practice judgment than as a stable personal trait, consistent with models that describe trust in automation as dynamic and calibrated through experience of a system’s reliability in a particular context [45].”</w:t>
      </w:r>
    </w:p>
    <w:p>
      <w:pPr>
        <w:shd w:val="clear" w:color="auto" w:fill="EEF3FA"/>
        <w:spacing w:before="200"/>
      </w:pPr>
      <w:r>
        <w:rPr>
          <w:b/>
          <w:i w:val="0"/>
          <w:color w:val="1F3864"/>
        </w:rPr>
        <w:t xml:space="preserve">Comment 2.11. </w:t>
      </w:r>
      <w:r>
        <w:rPr>
          <w:b w:val="0"/>
          <w:i/>
        </w:rPr>
        <w:t>It is interesting that the age range of participants overall was 26 – 51 years. This may be a factor to add into the discussion and/or limitations. Does this reflect the general demographic of ICU nurses overall in the specific contexts?</w:t>
      </w:r>
    </w:p>
    <w:p>
      <w:pPr>
        <w:jc w:val="both"/>
      </w:pPr>
      <w:r>
        <w:rPr>
          <w:b/>
          <w:i w:val="0"/>
        </w:rPr>
        <w:t xml:space="preserve">Response: </w:t>
      </w:r>
      <w:r>
        <w:rPr>
          <w:b w:val="0"/>
          <w:i w:val="0"/>
        </w:rPr>
        <w:t>Added to the Limitations. Unit-level workforce data were not available, so representativeness cannot be confirmed; the text says so.</w:t>
      </w:r>
    </w:p>
    <w:p>
      <w:pPr>
        <w:spacing w:after="40"/>
      </w:pPr>
      <w:r>
        <w:rPr>
          <w:b/>
          <w:i/>
          <w:sz w:val="22"/>
        </w:rPr>
        <w:t>Revised text (Section 4.6, p. 27, lines 760–766):</w:t>
      </w:r>
    </w:p>
    <w:p>
      <w:pPr>
        <w:pBdr>
          <w:left w:val="single" w:sz="18" w:space="8" w:color="1F3864"/>
        </w:pBdr>
        <w:ind w:left="454"/>
        <w:jc w:val="both"/>
      </w:pPr>
      <w:r>
        <w:rPr>
          <w:b w:val="0"/>
          <w:i w:val="0"/>
          <w:sz w:val="22"/>
        </w:rPr>
        <w:t>“Participants were aged 26 to 51 years. Newly qualified nurses were excluded by the one-year experience criterion, and the absence of nurses older than 51 may reflect the exclusion of solely managerial roles and voluntary recruitment. Workforce data were not available to establish whether this profile is representative of critical care nurses at these hospitals or nationally, where internationally recruited nurses form a large share of the workforce [65]. Because career stage may shape engagement with digital technologies and confidence in independent judgment [67], the experiences of late-career nurses and novices may differ.”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