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0C61E" w14:textId="3DF0C412" w:rsidR="00F10363" w:rsidRDefault="008C5BC7" w:rsidP="00B21028">
      <w:pPr>
        <w:bidi w:val="0"/>
        <w:spacing w:after="0"/>
        <w:jc w:val="both"/>
        <w:rPr>
          <w:rFonts w:asciiTheme="majorBidi" w:hAnsiTheme="majorBidi" w:cstheme="majorBidi"/>
          <w:b/>
          <w:bCs/>
          <w:sz w:val="28"/>
          <w:szCs w:val="28"/>
        </w:rPr>
      </w:pPr>
      <w:r>
        <w:rPr>
          <w:rFonts w:asciiTheme="majorBidi" w:hAnsiTheme="majorBidi" w:cstheme="majorBidi"/>
          <w:b/>
          <w:bCs/>
          <w:sz w:val="28"/>
          <w:szCs w:val="28"/>
        </w:rPr>
        <w:t>Between Alert and Action: Nurses' Experiences of AI-Assisted Early Warning, Clinical Judgment, and Patient Safety in Critical Care</w:t>
      </w:r>
    </w:p>
    <w:p w14:paraId="5EAE1700" w14:textId="77777777" w:rsidR="0048543E" w:rsidRPr="000242F4" w:rsidRDefault="0048543E" w:rsidP="0048543E">
      <w:pPr>
        <w:bidi w:val="0"/>
        <w:spacing w:after="0"/>
        <w:jc w:val="center"/>
        <w:rPr>
          <w:rFonts w:asciiTheme="majorBidi" w:hAnsiTheme="majorBidi" w:cstheme="majorBidi"/>
          <w:b/>
          <w:bCs/>
          <w:sz w:val="28"/>
          <w:szCs w:val="28"/>
        </w:rPr>
      </w:pPr>
    </w:p>
    <w:p w14:paraId="7517B203" w14:textId="77777777" w:rsidR="008C5BC7" w:rsidRDefault="008C5BC7" w:rsidP="00B21028">
      <w:pPr>
        <w:bidi w:val="0"/>
        <w:spacing w:after="0" w:line="240" w:lineRule="auto"/>
        <w:jc w:val="both"/>
        <w:rPr>
          <w:rFonts w:asciiTheme="majorBidi" w:hAnsiTheme="majorBidi" w:cstheme="majorBidi"/>
          <w:b/>
          <w:bCs/>
        </w:rPr>
      </w:pPr>
    </w:p>
    <w:p w14:paraId="60171D7E" w14:textId="23B67303" w:rsidR="00F10363" w:rsidRDefault="00F10363" w:rsidP="00F10363">
      <w:pPr>
        <w:bidi w:val="0"/>
        <w:jc w:val="both"/>
        <w:rPr>
          <w:rFonts w:asciiTheme="majorBidi" w:hAnsiTheme="majorBidi" w:cstheme="majorBidi"/>
          <w:b/>
          <w:bCs/>
        </w:rPr>
      </w:pPr>
      <w:r>
        <w:rPr>
          <w:rFonts w:asciiTheme="majorBidi" w:hAnsiTheme="majorBidi" w:cstheme="majorBidi"/>
          <w:b/>
          <w:bCs/>
        </w:rPr>
        <w:t xml:space="preserve">Abstract </w:t>
      </w:r>
    </w:p>
    <w:p w14:paraId="2BA7B80F" w14:textId="6B4B93AB" w:rsidR="003B0E9A" w:rsidRPr="003B0E9A" w:rsidRDefault="003B0E9A" w:rsidP="003B0E9A">
      <w:pPr>
        <w:bidi w:val="0"/>
        <w:spacing w:line="360" w:lineRule="auto"/>
        <w:jc w:val="both"/>
        <w:rPr>
          <w:rFonts w:asciiTheme="majorBidi" w:hAnsiTheme="majorBidi" w:cstheme="majorBidi"/>
        </w:rPr>
      </w:pPr>
      <w:r>
        <w:rPr>
          <w:rFonts w:asciiTheme="majorBidi" w:hAnsiTheme="majorBidi" w:cstheme="majorBidi"/>
          <w:b/>
          <w:bCs/>
        </w:rPr>
        <w:t>Background:</w:t>
      </w:r>
      <w:r>
        <w:rPr>
          <w:rFonts w:asciiTheme="majorBidi" w:hAnsiTheme="majorBidi" w:cstheme="majorBidi"/>
        </w:rPr>
        <w:t xml:space="preserve"> Artificial intelligence (AI)-assisted early warning systems are increasingly used in critical care, yet little is known about how nurses experience them in practice.</w:t>
      </w:r>
    </w:p>
    <w:p w14:paraId="5C4CDEA1" w14:textId="423A24A8" w:rsidR="003B0E9A" w:rsidRPr="003B0E9A" w:rsidRDefault="003B0E9A" w:rsidP="003B0E9A">
      <w:pPr>
        <w:bidi w:val="0"/>
        <w:spacing w:line="360" w:lineRule="auto"/>
        <w:jc w:val="both"/>
        <w:rPr>
          <w:rFonts w:asciiTheme="majorBidi" w:hAnsiTheme="majorBidi" w:cstheme="majorBidi"/>
        </w:rPr>
      </w:pPr>
      <w:r>
        <w:rPr>
          <w:rFonts w:asciiTheme="majorBidi" w:hAnsiTheme="majorBidi" w:cstheme="majorBidi"/>
          <w:b/>
          <w:bCs/>
        </w:rPr>
        <w:t>Aim:</w:t>
      </w:r>
      <w:r>
        <w:rPr>
          <w:rFonts w:asciiTheme="majorBidi" w:hAnsiTheme="majorBidi" w:cstheme="majorBidi"/>
        </w:rPr>
        <w:t xml:space="preserve"> To explore how critical care nurses in Saudi Arabia experience AI-assisted early warning systems and their influence on clinical judgment and patient safety.</w:t>
      </w:r>
    </w:p>
    <w:p w14:paraId="0C05B5C3" w14:textId="77777777" w:rsidR="003B0E9A" w:rsidRPr="003B0E9A" w:rsidRDefault="003B0E9A" w:rsidP="003B0E9A">
      <w:pPr>
        <w:bidi w:val="0"/>
        <w:spacing w:line="360" w:lineRule="auto"/>
        <w:jc w:val="both"/>
        <w:rPr>
          <w:rFonts w:asciiTheme="majorBidi" w:hAnsiTheme="majorBidi" w:cstheme="majorBidi"/>
        </w:rPr>
      </w:pPr>
      <w:r>
        <w:rPr>
          <w:rFonts w:asciiTheme="majorBidi" w:hAnsiTheme="majorBidi" w:cstheme="majorBidi"/>
          <w:b/>
          <w:bCs/>
        </w:rPr>
        <w:t>Design:</w:t>
      </w:r>
      <w:r>
        <w:rPr>
          <w:rFonts w:asciiTheme="majorBidi" w:hAnsiTheme="majorBidi" w:cstheme="majorBidi"/>
        </w:rPr>
        <w:t xml:space="preserve"> A qualitative study informed by Interpretive Description and reported in accordance with the Consolidated Criteria for Reporting Qualitative Research (COREQ).</w:t>
      </w:r>
    </w:p>
    <w:p w14:paraId="521AA333" w14:textId="66162363" w:rsidR="003B0E9A" w:rsidRPr="003B0E9A" w:rsidRDefault="003B0E9A" w:rsidP="003B0E9A">
      <w:pPr>
        <w:bidi w:val="0"/>
        <w:spacing w:line="360" w:lineRule="auto"/>
        <w:jc w:val="both"/>
        <w:rPr>
          <w:rFonts w:asciiTheme="majorBidi" w:hAnsiTheme="majorBidi" w:cstheme="majorBidi"/>
        </w:rPr>
      </w:pPr>
      <w:r>
        <w:rPr>
          <w:rFonts w:asciiTheme="majorBidi" w:hAnsiTheme="majorBidi" w:cstheme="majorBidi"/>
          <w:b/>
          <w:bCs/>
        </w:rPr>
        <w:t>Methods:</w:t>
      </w:r>
      <w:r>
        <w:rPr>
          <w:rFonts w:asciiTheme="majorBidi" w:hAnsiTheme="majorBidi" w:cstheme="majorBidi"/>
        </w:rPr>
        <w:t xml:space="preserve"> Semi-structured interviews were conducted with 23 purposively sampled registered nurses across four tertiary hospitals in northern Saudi Arabia that used AI-assisted early warning systems. Data were analysed using reflexive thematic analysis, combining inductive coding with sensitising concepts from an orienting conceptual framework.</w:t>
      </w:r>
    </w:p>
    <w:p w14:paraId="62F3BF8E" w14:textId="5D7CE79A" w:rsidR="003B0E9A" w:rsidRPr="003B0E9A" w:rsidRDefault="00CE1D4C" w:rsidP="003B0E9A">
      <w:pPr>
        <w:bidi w:val="0"/>
        <w:spacing w:line="360" w:lineRule="auto"/>
        <w:jc w:val="both"/>
        <w:rPr>
          <w:rFonts w:asciiTheme="majorBidi" w:hAnsiTheme="majorBidi" w:cstheme="majorBidi"/>
        </w:rPr>
      </w:pPr>
      <w:r>
        <w:rPr>
          <w:rFonts w:asciiTheme="majorBidi" w:hAnsiTheme="majorBidi" w:cstheme="majorBidi"/>
          <w:b/>
          <w:bCs/>
        </w:rPr>
        <w:t>Findings:</w:t>
      </w:r>
      <w:r>
        <w:rPr>
          <w:rFonts w:asciiTheme="majorBidi" w:hAnsiTheme="majorBidi" w:cstheme="majorBidi"/>
        </w:rPr>
        <w:t xml:space="preserve"> Four themes were generated: learning to read the machine; between the alert and the bedside; alert, action, and patient safety; and conditions shaping the space between alert and action. Nurses developed engagement through peer learning and experience. Clinical judgment remained central, with nurses overriding, deferring to, or negotiating alerts in relation to patient assessment, workload, and context. Trust, autonomy, alert burden, and educational readiness shaped engagement.</w:t>
      </w:r>
    </w:p>
    <w:p w14:paraId="3C08973C" w14:textId="684062A2" w:rsidR="003B0E9A" w:rsidRDefault="003B0E9A" w:rsidP="003B0E9A">
      <w:pPr>
        <w:bidi w:val="0"/>
        <w:spacing w:line="360" w:lineRule="auto"/>
        <w:jc w:val="both"/>
        <w:rPr>
          <w:rFonts w:asciiTheme="majorBidi" w:hAnsiTheme="majorBidi" w:cstheme="majorBidi"/>
        </w:rPr>
      </w:pPr>
      <w:r>
        <w:rPr>
          <w:rFonts w:asciiTheme="majorBidi" w:hAnsiTheme="majorBidi" w:cstheme="majorBidi"/>
          <w:b/>
          <w:bCs/>
        </w:rPr>
        <w:t>Conclusion:</w:t>
      </w:r>
      <w:r>
        <w:rPr>
          <w:rFonts w:asciiTheme="majorBidi" w:hAnsiTheme="majorBidi" w:cstheme="majorBidi"/>
        </w:rPr>
        <w:t xml:space="preserve"> AI-assisted early warning did not replace nursing judgment. Its value depended on nurses’ capacity to interpret alerts within bedside realities.</w:t>
      </w:r>
      <w:r>
        <w:rPr>
          <w:rFonts w:asciiTheme="majorBidi" w:hAnsiTheme="majorBidi" w:cstheme="majorBidi"/>
        </w:rPr>
        <w:t xml:space="preserve"> The findings suggest that safe implementation depends on structured training, supportive governance, and attention to alert fatigue.</w:t>
      </w:r>
    </w:p>
    <w:p w14:paraId="1CBB1E88" w14:textId="17F1ED7A" w:rsidR="00F10363" w:rsidRDefault="003B0E9A" w:rsidP="00AB3CE5">
      <w:pPr>
        <w:bidi w:val="0"/>
        <w:spacing w:line="360" w:lineRule="auto"/>
        <w:jc w:val="both"/>
        <w:rPr>
          <w:rFonts w:asciiTheme="majorBidi" w:hAnsiTheme="majorBidi" w:cstheme="majorBidi"/>
        </w:rPr>
      </w:pPr>
      <w:r>
        <w:rPr>
          <w:rFonts w:asciiTheme="majorBidi" w:hAnsiTheme="majorBidi" w:cstheme="majorBidi"/>
          <w:b/>
          <w:bCs/>
        </w:rPr>
        <w:t>Keywords:</w:t>
      </w:r>
      <w:r>
        <w:rPr>
          <w:rFonts w:asciiTheme="majorBidi" w:hAnsiTheme="majorBidi" w:cstheme="majorBidi"/>
        </w:rPr>
        <w:t xml:space="preserve"> artificial intelligence; early warning systems; critical care nursing; clinical judgment; patient safety; Saudi Arabia</w:t>
      </w:r>
    </w:p>
    <w:p w14:paraId="41F49AE5" w14:textId="6C85727E" w:rsidR="005F3ADC" w:rsidRPr="005F3ADC" w:rsidRDefault="005F3ADC" w:rsidP="005F3ADC">
      <w:pPr>
        <w:bidi w:val="0"/>
        <w:spacing w:line="360" w:lineRule="auto"/>
        <w:jc w:val="both"/>
        <w:rPr>
          <w:rFonts w:asciiTheme="majorBidi" w:hAnsiTheme="majorBidi" w:cstheme="majorBidi"/>
          <w:b/>
          <w:bCs/>
        </w:rPr>
      </w:pPr>
      <w:r>
        <w:rPr>
          <w:rFonts w:asciiTheme="majorBidi" w:hAnsiTheme="majorBidi" w:cstheme="majorBidi"/>
          <w:b/>
          <w:bCs/>
        </w:rPr>
        <w:t>Key points:</w:t>
      </w:r>
    </w:p>
    <w:p w14:paraId="78C13ACC" w14:textId="77777777" w:rsidR="00EC6033" w:rsidRPr="00EC6033" w:rsidRDefault="00EC6033" w:rsidP="00EC6033">
      <w:pPr>
        <w:pStyle w:val="ListParagraph"/>
        <w:numPr>
          <w:ilvl w:val="0"/>
          <w:numId w:val="11"/>
        </w:numPr>
        <w:bidi w:val="0"/>
        <w:spacing w:line="360" w:lineRule="auto"/>
        <w:jc w:val="both"/>
        <w:rPr>
          <w:rFonts w:asciiTheme="majorBidi" w:hAnsiTheme="majorBidi" w:cstheme="majorBidi"/>
        </w:rPr>
      </w:pPr>
      <w:r>
        <w:rPr>
          <w:rFonts w:asciiTheme="majorBidi" w:hAnsiTheme="majorBidi" w:cstheme="majorBidi"/>
        </w:rPr>
        <w:t>AI-assisted early warning did not replace critical care nurses’ clinical judgment; nurses interpreted alerts in relation to bedside assessment, patient context, and workload.</w:t>
      </w:r>
    </w:p>
    <w:p w14:paraId="27F9952E" w14:textId="77777777" w:rsidR="00EC6033" w:rsidRPr="00EC6033" w:rsidRDefault="00EC6033" w:rsidP="00EC6033">
      <w:pPr>
        <w:pStyle w:val="ListParagraph"/>
        <w:numPr>
          <w:ilvl w:val="0"/>
          <w:numId w:val="11"/>
        </w:numPr>
        <w:bidi w:val="0"/>
        <w:spacing w:line="360" w:lineRule="auto"/>
        <w:jc w:val="both"/>
        <w:rPr>
          <w:rFonts w:asciiTheme="majorBidi" w:hAnsiTheme="majorBidi" w:cstheme="majorBidi"/>
        </w:rPr>
      </w:pPr>
      <w:r>
        <w:rPr>
          <w:rFonts w:asciiTheme="majorBidi" w:hAnsiTheme="majorBidi" w:cstheme="majorBidi"/>
        </w:rPr>
        <w:t>Nurses’ responses to alerts were shaped by selective trust, alert burden, professional autonomy, and organisational expectations, making AI use a negotiated practice rather than a purely technical process.</w:t>
      </w:r>
    </w:p>
    <w:p w14:paraId="77073150" w14:textId="0AA51A38" w:rsidR="005F3ADC" w:rsidRPr="005F3ADC" w:rsidRDefault="00EC6033" w:rsidP="00EC6033">
      <w:pPr>
        <w:pStyle w:val="ListParagraph"/>
        <w:numPr>
          <w:ilvl w:val="0"/>
          <w:numId w:val="11"/>
        </w:numPr>
        <w:bidi w:val="0"/>
        <w:spacing w:after="0" w:line="360" w:lineRule="auto"/>
        <w:jc w:val="both"/>
        <w:rPr>
          <w:rFonts w:asciiTheme="majorBidi" w:hAnsiTheme="majorBidi" w:cstheme="majorBidi"/>
        </w:rPr>
      </w:pPr>
      <w:r>
        <w:rPr>
          <w:rFonts w:asciiTheme="majorBidi" w:hAnsiTheme="majorBidi" w:cstheme="majorBidi"/>
        </w:rPr>
        <w:t xml:space="preserve">Safe use of AI-assisted early warning in critical care is likely to depend on structured education, supportive governance, and explicit attention to alert fatigue and nurses’ decision-making authority.</w:t>
      </w:r>
    </w:p>
    <w:p w14:paraId="1B2A9F0D" w14:textId="77777777" w:rsidR="00AB3CE5" w:rsidRPr="00D31A83" w:rsidRDefault="00AB3CE5" w:rsidP="00AB3CE5">
      <w:pPr>
        <w:bidi w:val="0"/>
        <w:spacing w:line="360" w:lineRule="auto"/>
        <w:jc w:val="both"/>
        <w:rPr>
          <w:rFonts w:asciiTheme="majorBidi" w:hAnsiTheme="majorBidi" w:cstheme="majorBidi"/>
        </w:rPr>
      </w:pPr>
    </w:p>
    <w:p w14:paraId="11EA5DC7" w14:textId="48CD459C" w:rsidR="0041447E" w:rsidRPr="00A55C16" w:rsidRDefault="00105234" w:rsidP="00A55C16">
      <w:pPr>
        <w:pStyle w:val="ListParagraph"/>
        <w:numPr>
          <w:ilvl w:val="0"/>
          <w:numId w:val="3"/>
        </w:numPr>
        <w:bidi w:val="0"/>
        <w:jc w:val="both"/>
        <w:rPr>
          <w:rFonts w:asciiTheme="majorBidi" w:hAnsiTheme="majorBidi" w:cstheme="majorBidi"/>
          <w:b/>
          <w:bCs/>
        </w:rPr>
      </w:pPr>
      <w:r>
        <w:rPr>
          <w:rFonts w:asciiTheme="majorBidi" w:hAnsiTheme="majorBidi" w:cstheme="majorBidi"/>
          <w:b/>
          <w:bCs/>
        </w:rPr>
        <w:lastRenderedPageBreak/>
        <w:t xml:space="preserve">Introduction </w:t>
      </w:r>
    </w:p>
    <w:p w14:paraId="24E204B1" w14:textId="0780CB6A" w:rsidR="00736D93" w:rsidRDefault="002674DB" w:rsidP="00736D93">
      <w:pPr>
        <w:bidi w:val="0"/>
        <w:spacing w:line="360" w:lineRule="auto"/>
        <w:ind w:firstLine="360"/>
        <w:jc w:val="both"/>
        <w:rPr>
          <w:rFonts w:asciiTheme="majorBidi" w:hAnsiTheme="majorBidi" w:cstheme="majorBidi"/>
          <w:rtl/>
        </w:rPr>
      </w:pPr>
      <w:r>
        <w:rPr>
          <w:rFonts w:asciiTheme="majorBidi" w:hAnsiTheme="majorBidi" w:cstheme="majorBidi"/>
        </w:rPr>
        <w:t xml:space="preserve">The integration of artificial intelligence (AI) into critical care settings is reshaping how deterioration is detected, interpreted, and acted upon in contemporary nursing practice [1, 2]. Among the most prominent developments are AI-assisted early warning systems, which analyse physiological and clinical data to identify early signs of patient deterioration and generate alerts to support timely clinical response [3].</w:t>
      </w:r>
      <w:r>
        <w:rPr>
          <w:rFonts w:asciiTheme="majorBidi" w:hAnsiTheme="majorBidi" w:cstheme="majorBidi"/>
        </w:rPr>
        <w:t xml:space="preserve"> Unlike conventional single-parameter monitor alarms and rule-based aggregate scores, which trigger alerts when fixed thresholds are crossed, AI-assisted systems apply machine-learning or other data-driven predictive models to multiple, continuously updated data sources to generate patient-specific risk estimates [4, 5].</w:t>
      </w:r>
      <w:r>
        <w:rPr>
          <w:rFonts w:asciiTheme="majorBidi" w:hAnsiTheme="majorBidi" w:cstheme="majorBidi"/>
        </w:rPr>
        <w:t xml:space="preserve"> These systems are increasingly embedded within intensive care unit (ICU) workflows as part of broader efforts to enhance surveillance, support timely intervention, and improve patient safety [6, 7].</w:t>
      </w:r>
      <w:r>
        <w:rPr>
          <w:rFonts w:asciiTheme="majorBidi" w:hAnsiTheme="majorBidi" w:cstheme="majorBidi"/>
        </w:rPr>
        <w:t xml:space="preserve"> However, their rapid implementation has outpaced understanding of how nurses, who remain central to bedside monitoring, escalation, and rescue, experience and use these tools in everyday practice [8].</w:t>
      </w:r>
      <w:r>
        <w:rPr>
          <w:rFonts w:asciiTheme="majorBidi" w:hAnsiTheme="majorBidi" w:cstheme="majorBidi"/>
        </w:rPr>
        <w:t xml:space="preserve"> Although AI-assisted early warning systems are intended to strengthen clinical decision-making, their effectiveness in practice depends not only on algorithmic performance but also on how nurses interpret, trust, question, and act on algorithm-generated alerts [4, 9].</w:t>
      </w:r>
    </w:p>
    <w:p w14:paraId="29A25468" w14:textId="3FBE047E" w:rsidR="00736D93" w:rsidRDefault="00736D93" w:rsidP="00736D93">
      <w:pPr>
        <w:bidi w:val="0"/>
        <w:spacing w:line="360" w:lineRule="auto"/>
        <w:ind w:firstLine="360"/>
        <w:jc w:val="both"/>
        <w:rPr>
          <w:rFonts w:asciiTheme="majorBidi" w:hAnsiTheme="majorBidi" w:cstheme="majorBidi"/>
          <w:rtl/>
        </w:rPr>
      </w:pPr>
      <w:r>
        <w:rPr>
          <w:rFonts w:asciiTheme="majorBidi" w:hAnsiTheme="majorBidi" w:cstheme="majorBidi"/>
        </w:rPr>
        <w:t xml:space="preserve">Existing research on early warning technologies has focused predominantly on predictive accuracy, system performance, implementation feasibility, and general clinician attitudes toward AI-enabled tools [10–12].</w:t>
      </w:r>
      <w:r>
        <w:rPr>
          <w:rFonts w:asciiTheme="majorBidi" w:hAnsiTheme="majorBidi" w:cstheme="majorBidi"/>
        </w:rPr>
        <w:t xml:space="preserve"> This body of work has demonstrated the potential of machine-learning-based surveillance systems, sepsis prediction tools, and continuously monitored alert platforms to improve the timeliness of detecting deterioration in acute care environments [5]. At the same time, concerns remain regarding false positives, limited specificity, workflow disruption, and alert fatigue, all of which may undermine responsiveness to clinically important warnings [13, 14]. For critical care nurses, AI-generated alerts do not function in isolation; rather, they enter an already complex clinical environment in which nurses must integrate algorithmic output with bedside assessment, contextual knowledge of the patient, and professional judgment [15, 16].</w:t>
      </w:r>
      <w:r>
        <w:rPr>
          <w:rFonts w:asciiTheme="majorBidi" w:hAnsiTheme="majorBidi" w:cstheme="majorBidi"/>
        </w:rPr>
        <w:t xml:space="preserve"> Yet this interpretive work has rarely been examined from the perspective of nurses themselves, particularly as a real-time practice phenomenon situated at the intersection of alert interpretation, clinical reasoning, and patient safety.</w:t>
      </w:r>
    </w:p>
    <w:p w14:paraId="1D313D44" w14:textId="16FDA45C" w:rsidR="00736D93" w:rsidRDefault="00736D93" w:rsidP="00736D93">
      <w:pPr>
        <w:bidi w:val="0"/>
        <w:spacing w:line="360" w:lineRule="auto"/>
        <w:ind w:firstLine="360"/>
        <w:jc w:val="both"/>
        <w:rPr>
          <w:rFonts w:asciiTheme="majorBidi" w:hAnsiTheme="majorBidi" w:cstheme="majorBidi"/>
          <w:rtl/>
        </w:rPr>
      </w:pPr>
      <w:r>
        <w:rPr>
          <w:rFonts w:asciiTheme="majorBidi" w:hAnsiTheme="majorBidi" w:cstheme="majorBidi"/>
        </w:rPr>
        <w:t xml:space="preserve">Clinical judgment in critical care nursing is a dynamic and context-dependent process through which nurses synthesise physiological data, prior knowledge, pattern recognition, and relational understanding of the patient to make timely and defensible decisions </w:t>
      </w:r>
      <w:r>
        <w:rPr>
          <w:rFonts w:asciiTheme="majorBidi" w:hAnsiTheme="majorBidi" w:cstheme="majorBidi"/>
          <w:noProof/>
        </w:rPr>
        <w:t>[17, 18]</w:t>
      </w:r>
      <w:r>
        <w:rPr>
          <w:rFonts w:asciiTheme="majorBidi" w:hAnsiTheme="majorBidi" w:cstheme="majorBidi"/>
        </w:rPr>
        <w:t xml:space="preserve">. The introduction of AI-assisted alerts does not replace this judgment; rather, it adds another layer of information that must be weighed, validated, or at times overridden </w:t>
      </w:r>
      <w:r>
        <w:rPr>
          <w:rFonts w:asciiTheme="majorBidi" w:hAnsiTheme="majorBidi" w:cstheme="majorBidi"/>
          <w:noProof/>
        </w:rPr>
        <w:t>[19, 20]</w:t>
      </w:r>
      <w:r>
        <w:rPr>
          <w:rFonts w:asciiTheme="majorBidi" w:hAnsiTheme="majorBidi" w:cstheme="majorBidi"/>
        </w:rPr>
        <w:t xml:space="preserve">. Quantitative studies have reported on nurses’ attitudes, perceived usefulness, and self-reported confidence regarding digital decision-support tools, but such approaches provide limited insight into how nurses actually experience AI-</w:t>
        <w:lastRenderedPageBreak/>
        <w:t xml:space="preserve">supported decision-making under conditions of uncertainty, workload, and clinical risk </w:t>
      </w:r>
      <w:r>
        <w:rPr>
          <w:rFonts w:asciiTheme="majorBidi" w:hAnsiTheme="majorBidi" w:cstheme="majorBidi"/>
          <w:noProof/>
        </w:rPr>
        <w:t>[21–24]</w:t>
      </w:r>
      <w:r>
        <w:rPr>
          <w:rFonts w:asciiTheme="majorBidi" w:hAnsiTheme="majorBidi" w:cstheme="majorBidi"/>
        </w:rPr>
        <w:t xml:space="preserve">. Qualitative inquiry is therefore needed to examine how AI alerts are incorporated into nursing judgment in practice, how tensions between algorithmic recommendations and bedside assessment are negotiated, and how these interactions shape action in time-sensitive, critical-care environments </w:t>
      </w:r>
      <w:r>
        <w:rPr>
          <w:rFonts w:asciiTheme="majorBidi" w:hAnsiTheme="majorBidi" w:cstheme="majorBidi"/>
          <w:noProof/>
        </w:rPr>
        <w:t>[25]</w:t>
      </w:r>
      <w:r>
        <w:rPr>
          <w:rFonts w:asciiTheme="majorBidi" w:hAnsiTheme="majorBidi" w:cstheme="majorBidi"/>
        </w:rPr>
        <w:t>.</w:t>
      </w:r>
    </w:p>
    <w:p w14:paraId="7D59ED32" w14:textId="6855FF09" w:rsidR="00736D93" w:rsidRDefault="00736D93" w:rsidP="00736D93">
      <w:pPr>
        <w:bidi w:val="0"/>
        <w:spacing w:line="360" w:lineRule="auto"/>
        <w:ind w:firstLine="360"/>
        <w:jc w:val="both"/>
        <w:rPr>
          <w:rFonts w:asciiTheme="majorBidi" w:hAnsiTheme="majorBidi" w:cstheme="majorBidi"/>
          <w:rtl/>
        </w:rPr>
      </w:pPr>
      <w:r>
        <w:rPr>
          <w:rFonts w:asciiTheme="majorBidi" w:hAnsiTheme="majorBidi" w:cstheme="majorBidi"/>
        </w:rPr>
        <w:t xml:space="preserve">Patient safety in AI-augmented critical care is shaped not only by the technical performance of predictive systems but also by the human decisions through which those systems are enacted in practice </w:t>
      </w:r>
      <w:r>
        <w:rPr>
          <w:rFonts w:asciiTheme="majorBidi" w:hAnsiTheme="majorBidi" w:cstheme="majorBidi"/>
          <w:noProof/>
        </w:rPr>
        <w:t>[26]</w:t>
      </w:r>
      <w:r>
        <w:rPr>
          <w:rFonts w:asciiTheme="majorBidi" w:hAnsiTheme="majorBidi" w:cstheme="majorBidi"/>
        </w:rPr>
        <w:t xml:space="preserve">. Trust in clinical AI is not a simple matter of confidence in technology; it is influenced by perceptions of accuracy, usability, professional autonomy, institutional support, and consistency with nurses’ clinical values and responsibilities </w:t>
      </w:r>
      <w:r>
        <w:rPr>
          <w:rFonts w:asciiTheme="majorBidi" w:hAnsiTheme="majorBidi" w:cstheme="majorBidi"/>
          <w:noProof/>
        </w:rPr>
        <w:t>[27, 28]</w:t>
      </w:r>
      <w:r>
        <w:rPr>
          <w:rFonts w:asciiTheme="majorBidi" w:hAnsiTheme="majorBidi" w:cstheme="majorBidi"/>
        </w:rPr>
        <w:t xml:space="preserve">. Where alerts are perceived as credible and supportive, AI may strengthen surveillance capacity and facilitate earlier intervention </w:t>
      </w:r>
      <w:r>
        <w:rPr>
          <w:rFonts w:asciiTheme="majorBidi" w:hAnsiTheme="majorBidi" w:cstheme="majorBidi"/>
          <w:noProof/>
        </w:rPr>
        <w:t>[29]</w:t>
      </w:r>
      <w:r>
        <w:rPr>
          <w:rFonts w:asciiTheme="majorBidi" w:hAnsiTheme="majorBidi" w:cstheme="majorBidi"/>
        </w:rPr>
        <w:t xml:space="preserve">. Where alerts are frequent, poorly contextualised, or experienced as misaligned with bedside realities, they may generate cognitive burden, uncertainty, or disengagement. Understanding how nurses experience these dynamics is therefore essential to developing AI-enabled systems that are safe, acceptable, and responsive to the realities of critical care nursing practice </w:t>
      </w:r>
      <w:r>
        <w:rPr>
          <w:rFonts w:asciiTheme="majorBidi" w:hAnsiTheme="majorBidi" w:cstheme="majorBidi"/>
          <w:noProof/>
        </w:rPr>
        <w:t>[30]</w:t>
      </w:r>
      <w:r>
        <w:rPr>
          <w:rFonts w:asciiTheme="majorBidi" w:hAnsiTheme="majorBidi" w:cstheme="majorBidi"/>
        </w:rPr>
        <w:t>.</w:t>
      </w:r>
    </w:p>
    <w:p w14:paraId="17BA06C6" w14:textId="6EA7CD5D" w:rsidR="00736D93" w:rsidRPr="00736D93" w:rsidRDefault="00736D93" w:rsidP="00736D93">
      <w:pPr>
        <w:bidi w:val="0"/>
        <w:spacing w:line="360" w:lineRule="auto"/>
        <w:ind w:firstLine="360"/>
        <w:jc w:val="both"/>
        <w:rPr>
          <w:rFonts w:asciiTheme="majorBidi" w:hAnsiTheme="majorBidi" w:cstheme="majorBidi"/>
          <w:rtl/>
        </w:rPr>
      </w:pPr>
      <w:r>
        <w:rPr>
          <w:rFonts w:asciiTheme="majorBidi" w:hAnsiTheme="majorBidi" w:cstheme="majorBidi"/>
        </w:rPr>
        <w:t xml:space="preserve">The Saudi Arabian healthcare context gives this inquiry particular relevance.</w:t>
      </w:r>
      <w:r>
        <w:rPr>
          <w:rFonts w:asciiTheme="majorBidi" w:hAnsiTheme="majorBidi" w:cstheme="majorBidi"/>
        </w:rPr>
        <w:t xml:space="preserve"> Vision 2030, launched in 2016, is Saudi Arabia’s national framework for economic diversification and public-sector modernisation; its Health Sector Transformation Program aims to improve access, quality, and efficiency, partly through expanded e-health and digital services [31]. Within this agenda, digital health transformation and AI integration have become strategic national priorities, with substantial investment in smart hospital infrastructure, advanced monitoring technologies, and intelligent clinical decision-support systems [32, 33].</w:t>
      </w:r>
      <w:r>
        <w:rPr>
          <w:rFonts w:asciiTheme="majorBidi" w:hAnsiTheme="majorBidi" w:cstheme="majorBidi"/>
        </w:rPr>
        <w:t xml:space="preserve"> Within critical care settings, these developments unfold in a socio-professional environment characterised by rapid technological expansion, a multinational nursing workforce, evolving nursing leadership, and the ongoing development of professional roles and decision-making authority [34]. These contextual features may shape how AI-generated alerts are understood, trusted, and translated into action in practice [35]. Despite growing technological adoption in the Kingdom, there remains limited qualitative evidence on how critical care nurses in Saudi Arabia experience AI-assisted early warning systems and how these systems influence clinical judgment and patient safety practices [13, 27, 36]. Addressing this gap is important for informing nursing education, implementation strategies, technology governance, and the safe integration of AI into critical care services.</w:t>
      </w:r>
    </w:p>
    <w:p w14:paraId="38AC9733" w14:textId="0A9F4C90" w:rsidR="00736D93" w:rsidRPr="00736D93" w:rsidRDefault="00736D93" w:rsidP="00150D08">
      <w:pPr>
        <w:pStyle w:val="ListParagraph"/>
        <w:bidi w:val="0"/>
        <w:spacing w:line="240" w:lineRule="auto"/>
        <w:jc w:val="both"/>
        <w:rPr>
          <w:rFonts w:asciiTheme="majorBidi" w:hAnsiTheme="majorBidi" w:cstheme="majorBidi"/>
          <w:i/>
          <w:iCs/>
          <w:rtl/>
        </w:rPr>
      </w:pPr>
      <w:r>
        <w:rPr>
          <w:rFonts w:asciiTheme="majorBidi" w:hAnsiTheme="majorBidi" w:cstheme="majorBidi"/>
          <w:i/>
          <w:iCs/>
        </w:rPr>
        <w:t>Aim of the study</w:t>
      </w:r>
    </w:p>
    <w:p w14:paraId="3AA6E49B" w14:textId="2438A360" w:rsidR="00736D93" w:rsidRPr="00736D93" w:rsidRDefault="00736D93" w:rsidP="007A0883">
      <w:pPr>
        <w:bidi w:val="0"/>
        <w:spacing w:after="0" w:line="360" w:lineRule="auto"/>
        <w:ind w:firstLine="360"/>
        <w:jc w:val="both"/>
        <w:rPr>
          <w:rFonts w:asciiTheme="majorBidi" w:hAnsiTheme="majorBidi" w:cstheme="majorBidi"/>
          <w:rtl/>
        </w:rPr>
      </w:pPr>
      <w:r>
        <w:rPr>
          <w:rFonts w:asciiTheme="majorBidi" w:hAnsiTheme="majorBidi" w:cstheme="majorBidi"/>
        </w:rPr>
        <w:t>This study aimed to explore how critical care nurses in Saudi Arabia experience AI-assisted early warning systems, with particular attention to their influence on clinical judgment and patient safety practices.</w:t>
      </w:r>
    </w:p>
    <w:p w14:paraId="2DCE9D71" w14:textId="65EA62D3" w:rsidR="00736D93" w:rsidRPr="00736D93" w:rsidRDefault="00736D93" w:rsidP="00150D08">
      <w:pPr>
        <w:pStyle w:val="ListParagraph"/>
        <w:bidi w:val="0"/>
        <w:spacing w:line="240" w:lineRule="auto"/>
        <w:jc w:val="both"/>
        <w:rPr>
          <w:rFonts w:asciiTheme="majorBidi" w:hAnsiTheme="majorBidi" w:cstheme="majorBidi"/>
          <w:i/>
          <w:iCs/>
          <w:rtl/>
        </w:rPr>
      </w:pPr>
      <w:r>
        <w:rPr>
          <w:rFonts w:asciiTheme="majorBidi" w:hAnsiTheme="majorBidi" w:cstheme="majorBidi"/>
          <w:i/>
          <w:iCs/>
        </w:rPr>
        <w:lastRenderedPageBreak/>
        <w:t>Research question</w:t>
      </w:r>
    </w:p>
    <w:p w14:paraId="03715969" w14:textId="5AC997F8" w:rsidR="00736D93" w:rsidRPr="00736D93" w:rsidRDefault="00736D93" w:rsidP="00736D93">
      <w:pPr>
        <w:bidi w:val="0"/>
        <w:spacing w:line="360" w:lineRule="auto"/>
        <w:ind w:firstLine="360"/>
        <w:jc w:val="both"/>
        <w:rPr>
          <w:rFonts w:asciiTheme="majorBidi" w:hAnsiTheme="majorBidi" w:cstheme="majorBidi"/>
          <w:rtl/>
        </w:rPr>
      </w:pPr>
      <w:r>
        <w:rPr>
          <w:rFonts w:asciiTheme="majorBidi" w:hAnsiTheme="majorBidi" w:cstheme="majorBidi"/>
        </w:rPr>
        <w:t>How do critical care nurses in Saudi Arabia experience AI-assisted early warning systems, and how do these experiences influence clinical judgment and patient safety practices?</w:t>
      </w:r>
    </w:p>
    <w:p w14:paraId="2E7FCC57" w14:textId="77777777" w:rsidR="00736D93" w:rsidRPr="00736D93" w:rsidRDefault="00736D93" w:rsidP="00736D93">
      <w:pPr>
        <w:pStyle w:val="ListParagraph"/>
        <w:bidi w:val="0"/>
        <w:spacing w:line="360" w:lineRule="auto"/>
        <w:jc w:val="both"/>
        <w:rPr>
          <w:rFonts w:asciiTheme="majorBidi" w:hAnsiTheme="majorBidi" w:cstheme="majorBidi"/>
          <w:i/>
          <w:iCs/>
        </w:rPr>
      </w:pPr>
      <w:r>
        <w:rPr>
          <w:rFonts w:asciiTheme="majorBidi" w:hAnsiTheme="majorBidi" w:cstheme="majorBidi"/>
          <w:i/>
          <w:iCs/>
        </w:rPr>
        <w:t>Objectives</w:t>
      </w:r>
    </w:p>
    <w:p w14:paraId="77CEEC1C" w14:textId="77777777" w:rsidR="00736D93" w:rsidRPr="00C133AB" w:rsidRDefault="00736D93" w:rsidP="00C133AB">
      <w:pPr>
        <w:pStyle w:val="ListParagraph"/>
        <w:numPr>
          <w:ilvl w:val="0"/>
          <w:numId w:val="7"/>
        </w:numPr>
        <w:bidi w:val="0"/>
        <w:spacing w:line="360" w:lineRule="auto"/>
        <w:jc w:val="both"/>
        <w:rPr>
          <w:rFonts w:asciiTheme="majorBidi" w:hAnsiTheme="majorBidi" w:cstheme="majorBidi"/>
        </w:rPr>
      </w:pPr>
      <w:r>
        <w:rPr>
          <w:rFonts w:asciiTheme="majorBidi" w:hAnsiTheme="majorBidi" w:cstheme="majorBidi"/>
        </w:rPr>
        <w:t>To explore critical care nurses’ experiences of interacting with AI-assisted early warning systems in clinical practice.</w:t>
      </w:r>
    </w:p>
    <w:p w14:paraId="5844EB73" w14:textId="77777777" w:rsidR="00736D93" w:rsidRPr="00C133AB" w:rsidRDefault="00736D93" w:rsidP="00C133AB">
      <w:pPr>
        <w:pStyle w:val="ListParagraph"/>
        <w:numPr>
          <w:ilvl w:val="0"/>
          <w:numId w:val="7"/>
        </w:numPr>
        <w:bidi w:val="0"/>
        <w:spacing w:line="360" w:lineRule="auto"/>
        <w:jc w:val="both"/>
        <w:rPr>
          <w:rFonts w:asciiTheme="majorBidi" w:hAnsiTheme="majorBidi" w:cstheme="majorBidi"/>
        </w:rPr>
      </w:pPr>
      <w:r>
        <w:rPr>
          <w:rFonts w:asciiTheme="majorBidi" w:hAnsiTheme="majorBidi" w:cstheme="majorBidi"/>
        </w:rPr>
        <w:t>To examine how AI-generated alerts influence nurses’ clinical judgment and decision-making in the ICU.</w:t>
      </w:r>
    </w:p>
    <w:p w14:paraId="67098F97" w14:textId="77777777" w:rsidR="00736D93" w:rsidRPr="00C133AB" w:rsidRDefault="00736D93" w:rsidP="00C133AB">
      <w:pPr>
        <w:pStyle w:val="ListParagraph"/>
        <w:numPr>
          <w:ilvl w:val="0"/>
          <w:numId w:val="7"/>
        </w:numPr>
        <w:bidi w:val="0"/>
        <w:spacing w:line="360" w:lineRule="auto"/>
        <w:jc w:val="both"/>
        <w:rPr>
          <w:rFonts w:asciiTheme="majorBidi" w:hAnsiTheme="majorBidi" w:cstheme="majorBidi"/>
        </w:rPr>
      </w:pPr>
      <w:r>
        <w:rPr>
          <w:rFonts w:asciiTheme="majorBidi" w:hAnsiTheme="majorBidi" w:cstheme="majorBidi"/>
        </w:rPr>
        <w:t>To investigate nurses’ perceptions of the implications of AI-assisted early warning systems for patient safety practices.</w:t>
      </w:r>
    </w:p>
    <w:p w14:paraId="48DCBF86" w14:textId="74D67483" w:rsidR="002E221C" w:rsidRPr="00C133AB" w:rsidRDefault="00736D93" w:rsidP="00C133AB">
      <w:pPr>
        <w:pStyle w:val="ListParagraph"/>
        <w:numPr>
          <w:ilvl w:val="0"/>
          <w:numId w:val="7"/>
        </w:numPr>
        <w:bidi w:val="0"/>
        <w:spacing w:line="360" w:lineRule="auto"/>
        <w:jc w:val="both"/>
        <w:rPr>
          <w:rFonts w:asciiTheme="majorBidi" w:hAnsiTheme="majorBidi" w:cstheme="majorBidi"/>
        </w:rPr>
      </w:pPr>
      <w:r>
        <w:rPr>
          <w:rFonts w:asciiTheme="majorBidi" w:hAnsiTheme="majorBidi" w:cstheme="majorBidi"/>
        </w:rPr>
        <w:t>To identify contextual and professional factors that shape nurses’ trust in, and responses to, AI-generated alerts in the Saudi Arabian critical care context.</w:t>
      </w:r>
    </w:p>
    <w:p w14:paraId="5CBB4CEE" w14:textId="77777777" w:rsidR="001B55A8" w:rsidRDefault="001B55A8" w:rsidP="001B55A8">
      <w:pPr>
        <w:pStyle w:val="ListParagraph"/>
        <w:bidi w:val="0"/>
        <w:spacing w:after="0" w:line="240" w:lineRule="auto"/>
        <w:jc w:val="both"/>
        <w:rPr>
          <w:rFonts w:asciiTheme="majorBidi" w:hAnsiTheme="majorBidi" w:cstheme="majorBidi"/>
        </w:rPr>
      </w:pPr>
    </w:p>
    <w:p w14:paraId="551D6393" w14:textId="6593E897" w:rsidR="00A55C16" w:rsidRPr="00A55C16" w:rsidRDefault="001B55A8" w:rsidP="00A55C16">
      <w:pPr>
        <w:pStyle w:val="ListParagraph"/>
        <w:numPr>
          <w:ilvl w:val="0"/>
          <w:numId w:val="3"/>
        </w:numPr>
        <w:bidi w:val="0"/>
        <w:spacing w:line="360" w:lineRule="auto"/>
        <w:jc w:val="both"/>
        <w:rPr>
          <w:rFonts w:asciiTheme="majorBidi" w:hAnsiTheme="majorBidi" w:cstheme="majorBidi"/>
          <w:b/>
          <w:bCs/>
        </w:rPr>
      </w:pPr>
      <w:r>
        <w:rPr>
          <w:rFonts w:asciiTheme="majorBidi" w:hAnsiTheme="majorBidi" w:cstheme="majorBidi"/>
          <w:b/>
          <w:bCs/>
        </w:rPr>
        <w:t xml:space="preserve">Methods </w:t>
      </w:r>
    </w:p>
    <w:p w14:paraId="7670F3C4" w14:textId="2B7FED85" w:rsidR="008920A1" w:rsidRPr="00A55C16" w:rsidRDefault="00A55C16" w:rsidP="00150D08">
      <w:pPr>
        <w:bidi w:val="0"/>
        <w:spacing w:line="240" w:lineRule="auto"/>
        <w:ind w:left="720"/>
        <w:jc w:val="both"/>
        <w:rPr>
          <w:rFonts w:asciiTheme="majorBidi" w:hAnsiTheme="majorBidi" w:cstheme="majorBidi"/>
          <w:b/>
          <w:bCs/>
        </w:rPr>
      </w:pPr>
      <w:r>
        <w:rPr>
          <w:rFonts w:asciiTheme="majorBidi" w:hAnsiTheme="majorBidi" w:cstheme="majorBidi"/>
          <w:b/>
          <w:bCs/>
        </w:rPr>
        <w:t xml:space="preserve">2.1 Research design</w:t>
      </w:r>
    </w:p>
    <w:p w14:paraId="738E0B7E" w14:textId="4277A35E" w:rsidR="008920A1" w:rsidRDefault="00541BED" w:rsidP="008920A1">
      <w:pPr>
        <w:bidi w:val="0"/>
        <w:spacing w:after="0" w:line="360" w:lineRule="auto"/>
        <w:ind w:firstLine="720"/>
        <w:jc w:val="both"/>
        <w:rPr>
          <w:rFonts w:asciiTheme="majorBidi" w:hAnsiTheme="majorBidi" w:cstheme="majorBidi"/>
        </w:rPr>
      </w:pPr>
      <w:r>
        <w:rPr>
          <w:rFonts w:asciiTheme="majorBidi" w:hAnsiTheme="majorBidi" w:cstheme="majorBidi"/>
        </w:rPr>
        <w:t xml:space="preserve">This study used a qualitative design informed by Interpretive Description (ID) [37, 38] to explore how critical care nurses in Saudi Arabia experience AI-assisted early warning systems in relation to clinical judgment and patient safety.</w:t>
      </w:r>
      <w:r>
        <w:rPr>
          <w:rFonts w:asciiTheme="majorBidi" w:hAnsiTheme="majorBidi" w:cstheme="majorBidi"/>
        </w:rPr>
        <w:t xml:space="preserve"> ID was selected because the study sought to generate clinically meaningful, practice-relevant interpretive insights rather than a phenomenological description or a formal theory. This made it more appropriate than phenomenological approaches, grounded theory, or generic qualitative description for the present nursing-focused inquiry.</w:t>
      </w:r>
      <w:r>
        <w:rPr>
          <w:rFonts w:asciiTheme="majorBidi" w:hAnsiTheme="majorBidi" w:cstheme="majorBidi"/>
        </w:rPr>
        <w:t xml:space="preserve"> Data were analysed using reflexive thematic analysis as described by Braun and Clarke [39, 40], which provided a flexible and rigorous analytic approach consistent with the interpretive logic of ID. Reporting followed the Consolidated Criteria for Reporting Qualitative Research (COREQ) [41, 42]; the completed checklist is provided in Supplementary File S3.</w:t>
      </w:r>
    </w:p>
    <w:p w14:paraId="2420043D" w14:textId="77777777" w:rsidR="00F21955" w:rsidRDefault="00F21955" w:rsidP="00150D08">
      <w:pPr>
        <w:bidi w:val="0"/>
        <w:spacing w:after="0" w:line="240" w:lineRule="auto"/>
        <w:ind w:firstLine="720"/>
        <w:jc w:val="both"/>
        <w:rPr>
          <w:rFonts w:asciiTheme="majorBidi" w:hAnsiTheme="majorBidi" w:cstheme="majorBidi"/>
        </w:rPr>
      </w:pPr>
    </w:p>
    <w:p w14:paraId="31EF7228" w14:textId="5826327B" w:rsidR="00F21955" w:rsidRPr="00F21955" w:rsidRDefault="00F21955" w:rsidP="00150D08">
      <w:pPr>
        <w:bidi w:val="0"/>
        <w:spacing w:line="240" w:lineRule="auto"/>
        <w:ind w:left="720"/>
        <w:jc w:val="both"/>
        <w:rPr>
          <w:rFonts w:asciiTheme="majorBidi" w:hAnsiTheme="majorBidi" w:cstheme="majorBidi"/>
          <w:b/>
          <w:bCs/>
        </w:rPr>
      </w:pPr>
      <w:r>
        <w:rPr>
          <w:rFonts w:asciiTheme="majorBidi" w:hAnsiTheme="majorBidi" w:cstheme="majorBidi"/>
          <w:b/>
          <w:bCs/>
        </w:rPr>
        <w:t>2.2</w:t>
      </w:r>
      <w:r>
        <w:rPr>
          <w:rFonts w:asciiTheme="majorBidi" w:hAnsiTheme="majorBidi" w:cstheme="majorBidi"/>
          <w:b/>
          <w:bCs/>
          <w:rtl/>
        </w:rPr>
        <w:t xml:space="preserve"> </w:t>
      </w:r>
      <w:r>
        <w:rPr>
          <w:rFonts w:asciiTheme="majorBidi" w:hAnsiTheme="majorBidi" w:cstheme="majorBidi"/>
          <w:b/>
          <w:bCs/>
        </w:rPr>
        <w:t>Conceptual Framework</w:t>
      </w:r>
    </w:p>
    <w:p w14:paraId="4DB62C14" w14:textId="0BC23E5F" w:rsidR="00F21955" w:rsidRDefault="00F21955" w:rsidP="00F21955">
      <w:pPr>
        <w:bidi w:val="0"/>
        <w:spacing w:after="0" w:line="360" w:lineRule="auto"/>
        <w:ind w:firstLine="720"/>
        <w:jc w:val="both"/>
        <w:rPr>
          <w:rFonts w:asciiTheme="majorBidi" w:hAnsiTheme="majorBidi" w:cstheme="majorBidi"/>
        </w:rPr>
      </w:pPr>
      <w:r>
        <w:rPr>
          <w:rFonts w:asciiTheme="majorBidi" w:hAnsiTheme="majorBidi" w:cstheme="majorBidi"/>
        </w:rPr>
        <w:t xml:space="preserve">The study was guided by an orienting conceptual framework (Figure 1) that positioned nurses’ experiences at the intersection of AI-assisted early warning systems, clinical judgment, and patient safety practices.</w:t>
      </w:r>
      <w:r>
        <w:rPr>
          <w:rFonts w:asciiTheme="majorBidi" w:hAnsiTheme="majorBidi" w:cstheme="majorBidi"/>
        </w:rPr>
        <w:t xml:space="preserve"> The framework was developed by the authors from three bodies of work: Tanner’s model of clinical judgment, which describes judgment as noticing, interpreting, responding, and reflecting, shaped by what the nurse brings to the situation and by knowing the patient [43]; sociotechnical perspectives, which view safety as emerging from interactions among technology, people, workflow, and organisational policy [44]; and research on trust in automation and AI-based decision support and on alarm fatigue [11, 45, 46]. Drawing on this literature, the framework identified trust in AI, alert fatigue, professional autonomy, and institutional support and governance as potentially relevant contextual influences.</w:t>
      </w:r>
      <w:r>
        <w:rPr>
          <w:rFonts w:asciiTheme="majorBidi" w:hAnsiTheme="majorBidi" w:cstheme="majorBidi"/>
        </w:rPr>
        <w:t xml:space="preserve"> Consistent with Interpretive Description, the framework was used as a sensitising heuristic to inform interview development and analytic attention, rather than as a prescriptive or causal model [47, 48].</w:t>
      </w:r>
      <w:r>
        <w:rPr>
          <w:rFonts w:asciiTheme="majorBidi" w:hAnsiTheme="majorBidi" w:cstheme="majorBidi"/>
        </w:rPr>
        <w:t xml:space="preserve"> It defined the broad areas of inquiry explored in the interviews but did not specify codes or themes in advance (Section 2.8).</w:t>
      </w:r>
    </w:p>
    <w:p w14:paraId="4CB8258C" w14:textId="0F0BF783" w:rsidR="004015B3" w:rsidRDefault="004015B3" w:rsidP="004015B3">
      <w:pPr>
        <w:bidi w:val="0"/>
        <w:spacing w:after="0" w:line="360" w:lineRule="auto"/>
        <w:ind w:firstLine="720"/>
        <w:jc w:val="both"/>
        <w:rPr>
          <w:rFonts w:asciiTheme="majorBidi" w:hAnsiTheme="majorBidi" w:cstheme="majorBidi"/>
        </w:rPr>
      </w:pPr>
      <w:r>
        <w:rPr>
          <w:noProof/>
        </w:rPr>
        <w:lastRenderedPageBreak/>
        <w:drawing>
          <wp:inline distT="0" distB="0" distL="0" distR="0" wp14:anchorId="63659CE4" wp14:editId="50925A85">
            <wp:extent cx="5157749" cy="2878932"/>
            <wp:effectExtent l="0" t="0" r="5080" b="0"/>
            <wp:docPr id="806885744" name="Picture 1" descr="Primary Interpla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85744" name="Picture 1" descr="Primary Interplay,  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5007" cy="2899728"/>
                    </a:xfrm>
                    <a:prstGeom prst="rect">
                      <a:avLst/>
                    </a:prstGeom>
                    <a:noFill/>
                    <a:ln>
                      <a:noFill/>
                    </a:ln>
                  </pic:spPr>
                </pic:pic>
              </a:graphicData>
            </a:graphic>
          </wp:inline>
        </w:drawing>
      </w:r>
    </w:p>
    <w:p w14:paraId="345A750C" w14:textId="77777777" w:rsidR="001470A1" w:rsidRDefault="001470A1" w:rsidP="004015B3">
      <w:pPr>
        <w:bidi w:val="0"/>
        <w:spacing w:after="0" w:line="240" w:lineRule="auto"/>
        <w:ind w:firstLine="720"/>
        <w:jc w:val="both"/>
        <w:rPr>
          <w:rFonts w:asciiTheme="majorBidi" w:hAnsiTheme="majorBidi" w:cstheme="majorBidi"/>
        </w:rPr>
      </w:pPr>
    </w:p>
    <w:p w14:paraId="3D2A4756" w14:textId="2F5C92E2" w:rsidR="001470A1" w:rsidRPr="001470A1" w:rsidRDefault="001470A1" w:rsidP="001470A1">
      <w:pPr>
        <w:bidi w:val="0"/>
        <w:spacing w:after="0" w:line="360" w:lineRule="auto"/>
        <w:ind w:firstLine="720"/>
        <w:jc w:val="center"/>
        <w:rPr>
          <w:rFonts w:asciiTheme="majorBidi" w:hAnsiTheme="majorBidi" w:cstheme="majorBidi"/>
          <w:i/>
          <w:iCs/>
          <w:sz w:val="20"/>
          <w:szCs w:val="20"/>
        </w:rPr>
      </w:pPr>
      <w:r>
        <w:rPr>
          <w:rFonts w:asciiTheme="majorBidi" w:hAnsiTheme="majorBidi" w:cstheme="majorBidi"/>
          <w:b/>
          <w:bCs/>
          <w:i/>
          <w:iCs/>
          <w:sz w:val="20"/>
          <w:szCs w:val="20"/>
        </w:rPr>
        <w:t>Figure 1.</w:t>
      </w:r>
      <w:r>
        <w:rPr>
          <w:rFonts w:asciiTheme="majorBidi" w:hAnsiTheme="majorBidi" w:cstheme="majorBidi"/>
          <w:i/>
          <w:iCs/>
          <w:sz w:val="20"/>
          <w:szCs w:val="20"/>
        </w:rPr>
        <w:t xml:space="preserve"> Orienting conceptual framework of critical care nurses’ experiences of AI-assisted early warning systems, clinical judgment, and patient safety in Saudi Arabia</w:t>
      </w:r>
      <w:r>
        <w:rPr>
          <w:rFonts w:asciiTheme="majorBidi" w:hAnsiTheme="majorBidi" w:cstheme="majorBidi"/>
          <w:i/>
          <w:iCs/>
          <w:sz w:val="20"/>
          <w:szCs w:val="20"/>
        </w:rPr>
        <w:t xml:space="preserve">. The framework is a non-causal sensitising heuristic developed by the authors (Section 2.2). No artificial intelligence tools were used to create or enhance this figure.</w:t>
      </w:r>
    </w:p>
    <w:p w14:paraId="4FD17043" w14:textId="77777777" w:rsidR="008920A1" w:rsidRPr="008920A1" w:rsidRDefault="008920A1" w:rsidP="00A55C16">
      <w:pPr>
        <w:bidi w:val="0"/>
        <w:spacing w:after="0" w:line="240" w:lineRule="auto"/>
        <w:ind w:firstLine="720"/>
        <w:jc w:val="both"/>
        <w:rPr>
          <w:rFonts w:asciiTheme="majorBidi" w:hAnsiTheme="majorBidi" w:cstheme="majorBidi"/>
        </w:rPr>
      </w:pPr>
    </w:p>
    <w:p w14:paraId="7D31DB64" w14:textId="080E1ECB" w:rsidR="008920A1" w:rsidRPr="00A55C16" w:rsidRDefault="008920A1" w:rsidP="00150D08">
      <w:pPr>
        <w:bidi w:val="0"/>
        <w:spacing w:line="240" w:lineRule="auto"/>
        <w:ind w:left="720"/>
        <w:jc w:val="both"/>
        <w:rPr>
          <w:rFonts w:asciiTheme="majorBidi" w:hAnsiTheme="majorBidi" w:cstheme="majorBidi"/>
          <w:b/>
          <w:bCs/>
        </w:rPr>
      </w:pPr>
      <w:r>
        <w:rPr>
          <w:rFonts w:asciiTheme="majorBidi" w:hAnsiTheme="majorBidi" w:cstheme="majorBidi"/>
          <w:rtl/>
        </w:rPr>
        <w:t xml:space="preserve"> </w:t>
      </w:r>
      <w:r>
        <w:rPr>
          <w:rFonts w:asciiTheme="majorBidi" w:hAnsiTheme="majorBidi" w:cstheme="majorBidi"/>
          <w:b/>
          <w:bCs/>
        </w:rPr>
        <w:t xml:space="preserve">2.3 Study setting and recruitment</w:t>
      </w:r>
    </w:p>
    <w:p w14:paraId="5BC33DBF" w14:textId="6C775E06" w:rsidR="006E3CA3" w:rsidRPr="006E3CA3" w:rsidRDefault="00CE5D3F" w:rsidP="000A4B3D">
      <w:pPr>
        <w:bidi w:val="0"/>
        <w:spacing w:line="360" w:lineRule="auto"/>
        <w:ind w:firstLine="720"/>
        <w:jc w:val="both"/>
        <w:rPr>
          <w:rFonts w:asciiTheme="majorBidi" w:hAnsiTheme="majorBidi" w:cstheme="majorBidi"/>
        </w:rPr>
      </w:pPr>
      <w:r>
        <w:rPr>
          <w:rFonts w:asciiTheme="majorBidi" w:hAnsiTheme="majorBidi" w:cstheme="majorBidi"/>
        </w:rPr>
        <w:t xml:space="preserve">The study was conducted across four tertiary-level hospitals, designated Hospital A, Hospital B, Hospital C, and Hospital D, within a regional health cluster in northern Saudi Arabia.</w:t>
      </w:r>
      <w:r>
        <w:rPr>
          <w:rFonts w:asciiTheme="majorBidi" w:hAnsiTheme="majorBidi" w:cstheme="majorBidi"/>
        </w:rPr>
        <w:t xml:space="preserve"> Each hospital provided adult critical care services and had operational AI-assisted early warning systems (as defined below) integrated into routine nursing workflows at the time of recruitment.</w:t>
      </w:r>
      <w:r>
        <w:rPr>
          <w:rFonts w:asciiTheme="majorBidi" w:hAnsiTheme="majorBidi" w:cstheme="majorBidi"/>
        </w:rPr>
        <w:t xml:space="preserve"> A multi-site design was used to capture variation in nurses’ experiences across institutional settings while maintaining contextual comparability. The target population comprised registered nurses currently employed in adult critical care units across the four participating hospitals. Purposive criterion-based sampling was used to recruit participants with direct experience of the phenomenon under study, while also seeking variation in years of experience, educational background, nationality, and hospital site.</w:t>
      </w:r>
    </w:p>
    <w:p>
      <w:pPr>
        <w:bidi w:val="0"/>
        <w:spacing w:line="360" w:lineRule="auto"/>
        <w:ind w:firstLine="720"/>
        <w:jc w:val="both"/>
        <w:rPr>
          <w:rFonts w:asciiTheme="majorBidi" w:hAnsiTheme="majorBidi" w:cstheme="majorBidi"/>
        </w:rPr>
      </w:pPr>
      <w:r>
        <w:rPr>
          <w:rFonts w:asciiTheme="majorBidi" w:hAnsiTheme="majorBidi" w:cstheme="majorBidi"/>
        </w:rPr>
        <w:t xml:space="preserve">For this study, AI-assisted early warning systems were defined as systems that apply machine-learning or other data-driven predictive algorithms to multiple, continuously updated physiological, laboratory, and clinical data to generate patient-specific deterioration risk estimates or alerts. Single-parameter monitor alarms and rule-based scores with fixed thresholds were not considered AI-assisted, although monitor alarms operated alongside the AI-assisted systems in all units. Table 1 summarises each site’s system (purpose, AI component, alert types, workflow integration, implementation period, training, and response protocol) and participants’ self-reported exposure. Vendor and product names are withheld to preserve institutional anonymity.</w:t>
      </w:r>
    </w:p>
    <w:p>
      <w:pPr>
        <w:bidi w:val="0"/>
        <w:spacing w:line="360" w:lineRule="auto"/>
        <w:jc w:val="both"/>
        <w:rPr>
          <w:rFonts w:asciiTheme="majorBidi" w:hAnsiTheme="majorBidi" w:cstheme="majorBidi"/>
        </w:rPr>
      </w:pPr>
      <w:r>
        <w:rPr>
          <w:rFonts w:asciiTheme="majorBidi" w:hAnsiTheme="majorBidi" w:cstheme="majorBidi"/>
          <w:b/>
          <w:bCs/>
        </w:rPr>
        <w:t xml:space="preserve">Table 1.</w:t>
      </w:r>
      <w:r>
        <w:rPr>
          <w:rFonts w:asciiTheme="majorBidi" w:hAnsiTheme="majorBidi" w:cstheme="majorBidi"/>
        </w:rPr>
        <w:t xml:space="preserve"> Characteristics of AI-Assisted Early Warning Systems and Participants’ Exposure, by Hospital Site (N = 23)</w:t>
      </w:r>
    </w:p>
    <w:tbl>
      <w:tblPr>
        <w:tblStyle w:val="TableGrid"/>
        <w:tblW w:w="0" w:type="auto"/>
        <w:tblLook w:val="04A0" w:firstRow="1" w:lastRow="0" w:firstColumn="1" w:lastColumn="0" w:noHBand="0" w:noVBand="1"/>
      </w:tblPr>
      <w:tblGrid>
        <w:gridCol w:w="2540"/>
        <w:gridCol w:w="1750"/>
        <w:gridCol w:w="1750"/>
        <w:gridCol w:w="1750"/>
        <w:gridCol w:w="1750"/>
      </w:tblGrid>
      <w:tr w:rsidR="003B5102" w:rsidRPr="000A5FCE" w14:paraId="4BED2EA2" w14:textId="77777777" w:rsidTr="00CB1BEA">
        <w:tc>
          <w:tcPr>
            <w:tcW w:w="2540" w:type="dxa"/>
            <w:shd w:val="clear" w:color="auto" w:fill="DAE9F7" w:themeFill="text2" w:themeFillTint="1A"/>
            <w:hideMark/>
          </w:tcPr>
          <w:p w14:paraId="6BC59F5E" w14:textId="77777777" w:rsidR="003B5102" w:rsidRPr="000A5FCE" w:rsidRDefault="003B5102" w:rsidP="00820476">
            <w:pPr>
              <w:bidi w:val="0"/>
              <w:spacing w:line="276" w:lineRule="auto"/>
              <w:jc w:val="left"/>
              <w:rPr>
                <w:rFonts w:asciiTheme="majorBidi" w:hAnsiTheme="majorBidi" w:cstheme="majorBidi"/>
                <w:b/>
                <w:bCs/>
                <w:sz w:val="22"/>
                <w:szCs w:val="22"/>
              </w:rPr>
            </w:pPr>
            <w:r>
              <w:rPr>
                <w:rFonts w:asciiTheme="majorBidi" w:hAnsiTheme="majorBidi" w:cstheme="majorBidi"/>
                <w:b/>
                <w:bCs/>
                <w:sz w:val="22"/>
                <w:szCs w:val="22"/>
              </w:rPr>
              <w:t xml:space="preserve">Characteristic</w:t>
            </w:r>
          </w:p>
        </w:tc>
        <w:tc>
          <w:tcPr>
            <w:tcW w:w="1750" w:type="dxa"/>
            <w:shd w:val="clear" w:color="auto" w:fill="DAE9F7" w:themeFill="text2" w:themeFillTint="1A"/>
            <w:hideMark/>
          </w:tcPr>
          <w:p w14:paraId="6BC59F5E"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rPr>
              <w:t xml:space="preserve">Hospital A</w:t>
            </w:r>
          </w:p>
        </w:tc>
        <w:tc>
          <w:tcPr>
            <w:tcW w:w="1750" w:type="dxa"/>
            <w:shd w:val="clear" w:color="auto" w:fill="DAE9F7" w:themeFill="text2" w:themeFillTint="1A"/>
            <w:hideMark/>
          </w:tcPr>
          <w:p w14:paraId="6BC59F5E"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rPr>
              <w:t xml:space="preserve">Hospital B</w:t>
            </w:r>
          </w:p>
        </w:tc>
        <w:tc>
          <w:tcPr>
            <w:tcW w:w="1750" w:type="dxa"/>
            <w:shd w:val="clear" w:color="auto" w:fill="DAE9F7" w:themeFill="text2" w:themeFillTint="1A"/>
            <w:hideMark/>
          </w:tcPr>
          <w:p w14:paraId="6BC59F5E"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rPr>
              <w:t xml:space="preserve">Hospital C</w:t>
            </w:r>
          </w:p>
        </w:tc>
        <w:tc>
          <w:tcPr>
            <w:tcW w:w="1750" w:type="dxa"/>
            <w:shd w:val="clear" w:color="auto" w:fill="DAE9F7" w:themeFill="text2" w:themeFillTint="1A"/>
            <w:hideMark/>
          </w:tcPr>
          <w:p w14:paraId="6BC59F5E"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rPr>
              <w:t xml:space="preserve">Hospital D</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Participants, n</w:t>
            </w:r>
          </w:p>
        </w:tc>
        <w:tc>
          <w:tcPr>
            <w:tcW w:w="1750" w:type="dxa"/>
            <w:hideMark/>
          </w:tcPr>
          <w:p w14:paraId="35EAE06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5</w:t>
            </w:r>
          </w:p>
        </w:tc>
        <w:tc>
          <w:tcPr>
            <w:tcW w:w="1750" w:type="dxa"/>
            <w:hideMark/>
          </w:tcPr>
          <w:p w14:paraId="35EAE06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6</w:t>
            </w:r>
          </w:p>
        </w:tc>
        <w:tc>
          <w:tcPr>
            <w:tcW w:w="1750" w:type="dxa"/>
            <w:hideMark/>
          </w:tcPr>
          <w:p w14:paraId="35EAE06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6</w:t>
            </w:r>
          </w:p>
        </w:tc>
        <w:tc>
          <w:tcPr>
            <w:tcW w:w="1750" w:type="dxa"/>
            <w:hideMark/>
          </w:tcPr>
          <w:p w14:paraId="35EAE06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6</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AI-assisted system: purpose and AI component</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Multivariable machine-learning models estimate sepsis and respiratory deterioration risk from vital signs, laboratory results and clinical records.</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Multivariable machine-learning model estimates general deterioration risk from vital-sign trends, laboratory results and clinical records.</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Multivariable machine-learning models estimate sepsis and respiratory deterioration risk from longitudinal physiological and laboratory data.</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Multivariable machine-learning model estimates general deterioration risk, incorporating vital signs and laboratory trends, including lactate.</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Principal alert types</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Sepsis risk; respiratory deterioration risk</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Composite deterioration risk; persistent high-risk trend</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Sepsis risk; respiratory deterioration risk</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Composite deterioration risk; worsening multivariable trend</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Integration into nursing workflow (alert display and routing)</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Electronic record risk panel and central dashboard; bedside nurse reviews and discusses with charge nurse.</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Central dashboard and electronic record notification; bedside nurse acknowledges and informs charge nurse.</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Electronic record risk panel and bedside workstation notification; nurse reviews trends and escalates concerns.</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Central dashboard and electronic record task list; bedside and charge nurses review; response is documented.</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Time since implementation at data collection (January 2026)</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January 2023; 36 months</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January 2024; 24 months</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July 2023; 30 months</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July 2022; 42 months</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Training provided at implementation</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One demonstration and quick-reference guide; peer support thereafter.</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Two introductory sessions; attendance varied; limited refresher support.</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One workshop and case examples; peer coaching thereafter.</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One orientation on alerts and documentation; support through unit educators.</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Local response protocol</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Bedside assessment and trend review; escalate according to clinical concern; record response and rationale.</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Acknowledge and assess; inform charge nurse and escalate concerns; document the assessment.</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Assess the patient and trends; discuss discordant alerts with the treating team; document the response.</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Documented justification required when an alert is not acted upon</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Participants’ duration of system use, n (&lt;6 months / 6–12 months / &gt;12–36 months / &gt;36 months)</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1 / 1 / 3 / 0</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1 / 2 / 3 / 0</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1 / 1 / 4 / 0</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0 / 1 / 3 / 2</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Participants reporting formal training on the system, n (% within site)</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3 (60.0)</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4 (66.7)</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3 (50.0)</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4 (66.7)</w:t>
            </w:r>
          </w:p>
        </w:tc>
      </w:tr>
      <w:tr w:rsidR="003B5102" w:rsidRPr="000A5FCE" w14:paraId="4BED2EA2" w14:textId="77777777" w:rsidTr="00CB1BEA">
        <w:tc>
          <w:tcPr>
            <w:tcW w:w="254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Participants with prior experience of similar systems elsewhere, n (% within site)</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2 (40.0)</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2 (33.3)</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3 (50.0)</w:t>
            </w:r>
          </w:p>
        </w:tc>
        <w:tc>
          <w:tcPr>
            <w:tcW w:w="1750" w:type="dxa"/>
            <w:hideMark/>
          </w:tcPr>
          <w:p w14:paraId="35EAE06E" w14:textId="77777777" w:rsidR="003B5102" w:rsidRPr="000A5FCE" w:rsidRDefault="003B5102" w:rsidP="00820476">
            <w:pPr>
              <w:bidi w:val="0"/>
              <w:spacing w:line="276" w:lineRule="auto"/>
              <w:jc w:val="left"/>
              <w:rPr>
                <w:rFonts w:asciiTheme="majorBidi" w:hAnsiTheme="majorBidi" w:cstheme="majorBidi"/>
                <w:sz w:val="22"/>
                <w:szCs w:val="22"/>
              </w:rPr>
            </w:pPr>
            <w:r>
              <w:rPr>
                <w:rFonts w:asciiTheme="majorBidi" w:hAnsiTheme="majorBidi" w:cstheme="majorBidi"/>
                <w:sz w:val="22"/>
                <w:szCs w:val="22"/>
              </w:rPr>
              <w:t xml:space="preserve">2 (33.3)</w:t>
            </w:r>
          </w:p>
        </w:tc>
      </w:tr>
    </w:tbl>
    <w:p>
      <w:pPr>
        <w:bidi w:val="0"/>
        <w:spacing w:line="360" w:lineRule="auto"/>
        <w:jc w:val="both"/>
        <w:rPr>
          <w:rFonts w:asciiTheme="majorBidi" w:hAnsiTheme="majorBidi" w:cstheme="majorBidi"/>
        </w:rPr>
      </w:pPr>
      <w:r>
        <w:rPr>
          <w:rFonts w:asciiTheme="majorBidi" w:hAnsiTheme="majorBidi" w:cstheme="majorBidi"/>
          <w:sz w:val="20"/>
          <w:szCs w:val="20"/>
        </w:rPr>
        <w:t xml:space="preserve">Note: Participant exposure data are from the demographic form (Supplementary File S1); percentages use the site denominator. Overall, system use was &lt;6 months for 3 (13.0%), 6–12 months for 5 (21.7%), &gt;12–36 months for 13 (56.5%) and &gt;36 months for 2 (8.7%) participants; 14/23 (60.9%) reported formal training and 9/23 (39.1%) prior experience of similar systems. Formal training denotes attendance at a scheduled session, not verified competence. The Hospital D protocol is as described by participants and was not checked against a written policy. Vendor and product names are withheld to protect institutional anonymity. AI, artificial intelligence.</w:t>
      </w:r>
    </w:p>
    <w:p w14:paraId="46745168" w14:textId="7D1FFC39" w:rsidR="008920A1" w:rsidRPr="008920A1" w:rsidRDefault="006E3CA3" w:rsidP="000A4B3D">
      <w:pPr>
        <w:bidi w:val="0"/>
        <w:spacing w:line="360" w:lineRule="auto"/>
        <w:ind w:firstLine="720"/>
        <w:jc w:val="both"/>
        <w:rPr>
          <w:rFonts w:asciiTheme="majorBidi" w:hAnsiTheme="majorBidi" w:cstheme="majorBidi"/>
          <w:rtl/>
        </w:rPr>
      </w:pPr>
      <w:r>
        <w:rPr>
          <w:rFonts w:asciiTheme="majorBidi" w:hAnsiTheme="majorBidi" w:cstheme="majorBidi"/>
        </w:rPr>
        <w:t xml:space="preserve">Recruitment was facilitated through nursing administration offices following ethical approval. Unit managers circulated the participant information sheet to eligible staff, and nurses who wished to participate contacted the research team directly. Eligibility was then confirmed, and interviews were scheduled. No incentives were offered. A total of 23 critical care nurses participated.</w:t>
      </w:r>
      <w:r>
        <w:rPr>
          <w:rFonts w:asciiTheme="majorBidi" w:hAnsiTheme="majorBidi" w:cstheme="majorBidi"/>
        </w:rPr>
        <w:t xml:space="preserve"> Data were collected from January to March 2026. Of the 26 nurses who contacted the research team, three were ineligible because they had less than one year of critical care experience; no eligible volunteer declined, and no participant withdrew.</w:t>
      </w:r>
      <w:r>
        <w:rPr>
          <w:rFonts w:asciiTheme="majorBidi" w:hAnsiTheme="majorBidi" w:cstheme="majorBidi"/>
        </w:rPr>
        <w:t xml:space="preserve"> In keeping with Interpretive Description, sample adequacy was judged by interpretive sufficiency rather than data saturation.</w:t>
      </w:r>
      <w:r>
        <w:rPr>
          <w:rFonts w:asciiTheme="majorBidi" w:hAnsiTheme="majorBidi" w:cstheme="majorBidi"/>
        </w:rPr>
        <w:t xml:space="preserve"> Interpretive sufficiency was considered achieved when the dataset provided a sufficiently rich and contextually detailed basis for robust interpretive analysis across participants, sites, and experience levels [37, 48].</w:t>
      </w:r>
    </w:p>
    <w:p w14:paraId="4CBD5550" w14:textId="3FED5476" w:rsidR="008920A1" w:rsidRPr="00A55C16" w:rsidRDefault="00A55C16" w:rsidP="00A55C16">
      <w:pPr>
        <w:bidi w:val="0"/>
        <w:spacing w:line="360" w:lineRule="auto"/>
        <w:ind w:left="720"/>
        <w:jc w:val="both"/>
        <w:rPr>
          <w:rFonts w:asciiTheme="majorBidi" w:hAnsiTheme="majorBidi" w:cstheme="majorBidi"/>
          <w:b/>
          <w:bCs/>
        </w:rPr>
      </w:pPr>
      <w:r>
        <w:rPr>
          <w:rFonts w:asciiTheme="majorBidi" w:hAnsiTheme="majorBidi" w:cstheme="majorBidi"/>
          <w:b/>
          <w:bCs/>
        </w:rPr>
        <w:lastRenderedPageBreak/>
        <w:t xml:space="preserve">2.4 Eligibility criteria</w:t>
      </w:r>
    </w:p>
    <w:p w14:paraId="1AD09C8E" w14:textId="0A5CB4B9" w:rsidR="00634940" w:rsidRPr="00634940" w:rsidRDefault="00634940" w:rsidP="00634940">
      <w:pPr>
        <w:pStyle w:val="ListParagraph"/>
        <w:bidi w:val="0"/>
        <w:spacing w:after="0" w:line="360" w:lineRule="auto"/>
        <w:ind w:left="1440"/>
        <w:rPr>
          <w:rFonts w:asciiTheme="majorBidi" w:hAnsiTheme="majorBidi" w:cstheme="majorBidi"/>
          <w:b/>
          <w:bCs/>
        </w:rPr>
      </w:pPr>
      <w:r>
        <w:rPr>
          <w:rFonts w:asciiTheme="majorBidi" w:hAnsiTheme="majorBidi" w:cstheme="majorBidi"/>
          <w:b/>
          <w:bCs/>
        </w:rPr>
        <w:t>2.4.1 Inclusion Criteria</w:t>
      </w:r>
    </w:p>
    <w:p w14:paraId="794643F6" w14:textId="5FB1D6EC" w:rsidR="00634940" w:rsidRDefault="00634940" w:rsidP="00634940">
      <w:pPr>
        <w:bidi w:val="0"/>
        <w:spacing w:after="0" w:line="360" w:lineRule="auto"/>
        <w:ind w:firstLine="720"/>
        <w:jc w:val="both"/>
        <w:rPr>
          <w:rFonts w:asciiTheme="majorBidi" w:hAnsiTheme="majorBidi" w:cstheme="majorBidi"/>
        </w:rPr>
      </w:pPr>
      <w:r>
        <w:rPr>
          <w:rFonts w:asciiTheme="majorBidi" w:hAnsiTheme="majorBidi" w:cstheme="majorBidi"/>
        </w:rPr>
        <w:t xml:space="preserve">Participants were eligible if they were registered nurses currently employed in an adult critical care unit at one of the four participating hospitals, had at least one year of critical care nursing experience,</w:t>
      </w:r>
      <w:r>
        <w:rPr>
          <w:rFonts w:asciiTheme="majorBidi" w:hAnsiTheme="majorBidi" w:cstheme="majorBidi"/>
        </w:rPr>
        <w:t xml:space="preserve"> had direct experience using the AI-assisted early warning system in use in their unit (Section 2.3) in their clinical role,</w:t>
      </w:r>
      <w:r>
        <w:rPr>
          <w:rFonts w:asciiTheme="majorBidi" w:hAnsiTheme="majorBidi" w:cstheme="majorBidi"/>
        </w:rPr>
        <w:t xml:space="preserve"> were able to communicate in Arabic or English, and provided written informed consent.</w:t>
      </w:r>
    </w:p>
    <w:p w14:paraId="0DA4637B" w14:textId="77777777" w:rsidR="00397298" w:rsidRPr="00634940" w:rsidRDefault="00397298" w:rsidP="00B21028">
      <w:pPr>
        <w:bidi w:val="0"/>
        <w:spacing w:after="0" w:line="240" w:lineRule="auto"/>
        <w:ind w:firstLine="720"/>
        <w:jc w:val="both"/>
        <w:rPr>
          <w:rFonts w:asciiTheme="majorBidi" w:hAnsiTheme="majorBidi" w:cstheme="majorBidi"/>
        </w:rPr>
      </w:pPr>
    </w:p>
    <w:p w14:paraId="17AA26A3" w14:textId="77777777" w:rsidR="00634940" w:rsidRPr="00634940" w:rsidRDefault="00634940" w:rsidP="00634940">
      <w:pPr>
        <w:pStyle w:val="ListParagraph"/>
        <w:bidi w:val="0"/>
        <w:spacing w:after="0" w:line="360" w:lineRule="auto"/>
        <w:ind w:left="1440"/>
        <w:rPr>
          <w:rFonts w:asciiTheme="majorBidi" w:hAnsiTheme="majorBidi" w:cstheme="majorBidi"/>
          <w:b/>
          <w:bCs/>
        </w:rPr>
      </w:pPr>
      <w:r>
        <w:rPr>
          <w:rFonts w:asciiTheme="majorBidi" w:hAnsiTheme="majorBidi" w:cstheme="majorBidi"/>
          <w:b/>
          <w:bCs/>
        </w:rPr>
        <w:t>2.4.2</w:t>
      </w:r>
      <w:r>
        <w:rPr>
          <w:rFonts w:asciiTheme="majorBidi" w:hAnsiTheme="majorBidi" w:cstheme="majorBidi"/>
          <w:b/>
          <w:bCs/>
          <w:rtl/>
        </w:rPr>
        <w:t xml:space="preserve"> </w:t>
      </w:r>
      <w:r>
        <w:rPr>
          <w:rFonts w:asciiTheme="majorBidi" w:hAnsiTheme="majorBidi" w:cstheme="majorBidi"/>
          <w:b/>
          <w:bCs/>
        </w:rPr>
        <w:t>Exclusion Criteria</w:t>
      </w:r>
    </w:p>
    <w:p w14:paraId="28505316" w14:textId="12D0ECEC" w:rsidR="0085163C" w:rsidRPr="008920A1" w:rsidRDefault="00634940" w:rsidP="00634940">
      <w:pPr>
        <w:bidi w:val="0"/>
        <w:spacing w:line="360" w:lineRule="auto"/>
        <w:ind w:firstLine="720"/>
        <w:jc w:val="both"/>
        <w:rPr>
          <w:rFonts w:asciiTheme="majorBidi" w:hAnsiTheme="majorBidi" w:cstheme="majorBidi"/>
        </w:rPr>
      </w:pPr>
      <w:r>
        <w:rPr>
          <w:rFonts w:asciiTheme="majorBidi" w:hAnsiTheme="majorBidi" w:cstheme="majorBidi"/>
        </w:rPr>
        <w:t xml:space="preserve">Nurses were excluded if they were employed solely in administrative or non-clinical roles, had fewer than one year of critical care nursing experience, were on extended leave during the recruitment period, or declined to provide written informed consent</w:t>
      </w:r>
      <w:r>
        <w:rPr>
          <w:rFonts w:asciiTheme="majorBidi" w:hAnsiTheme="majorBidi" w:cstheme="majorBidi"/>
          <w:rtl/>
        </w:rPr>
        <w:t>.</w:t>
      </w:r>
    </w:p>
    <w:p w14:paraId="2F01A6E9" w14:textId="1D4E0EE2" w:rsidR="00213EFC" w:rsidRDefault="00A55C16" w:rsidP="00150D08">
      <w:pPr>
        <w:bidi w:val="0"/>
        <w:spacing w:after="0" w:line="360" w:lineRule="auto"/>
        <w:ind w:left="720"/>
        <w:jc w:val="both"/>
        <w:rPr>
          <w:rFonts w:asciiTheme="majorBidi" w:hAnsiTheme="majorBidi" w:cstheme="majorBidi"/>
          <w:b/>
          <w:bCs/>
        </w:rPr>
      </w:pPr>
      <w:r>
        <w:rPr>
          <w:rFonts w:asciiTheme="majorBidi" w:hAnsiTheme="majorBidi" w:cstheme="majorBidi"/>
          <w:b/>
          <w:bCs/>
        </w:rPr>
        <w:t xml:space="preserve">2.5 Data collection</w:t>
      </w:r>
    </w:p>
    <w:p w14:paraId="395CF5B4" w14:textId="6D7599E0" w:rsidR="008920A1" w:rsidRDefault="00EE4290" w:rsidP="00EE4290">
      <w:pPr>
        <w:bidi w:val="0"/>
        <w:spacing w:line="360" w:lineRule="auto"/>
        <w:ind w:firstLine="720"/>
        <w:jc w:val="both"/>
        <w:rPr>
          <w:rFonts w:asciiTheme="majorBidi" w:hAnsiTheme="majorBidi" w:cstheme="majorBidi"/>
        </w:rPr>
      </w:pPr>
      <w:r>
        <w:rPr>
          <w:rFonts w:asciiTheme="majorBidi" w:hAnsiTheme="majorBidi" w:cstheme="majorBidi"/>
        </w:rPr>
        <w:t xml:space="preserve">Data were generated through individual, semi-structured, in-depth interviews, which were appropriate for exploring nurses’ experiences with AI-generated alerts, their interpretation of these alerts, and the influence of these alerts on clinical judgment and patient safety practices. Interviews were conducted face-to-face in private rooms within the participating hospitals. When in-person interviews were not feasible due to shift-scheduling constraints, secure video interviews were conducted with participants' consent.</w:t>
      </w:r>
      <w:r>
        <w:rPr>
          <w:rFonts w:asciiTheme="majorBidi" w:hAnsiTheme="majorBidi" w:cstheme="majorBidi"/>
        </w:rPr>
        <w:t xml:space="preserve"> Overall, 15 interviews were conducted face-to-face and eight by video; 14 were conducted in Arabic and nine in English. Only the participant and the interviewer were present at each interview, and each participant was interviewed once. Before each interview, participants completed a brief demographic form capturing age, sex, nationality, years of critical care experience, highest educational qualification, the AI-assisted system used in their unit, duration of use of that system, training received, and prior experience with similar systems elsewhere (Supplementary File S1).</w:t>
      </w:r>
      <w:r>
        <w:rPr>
          <w:rFonts w:asciiTheme="majorBidi" w:hAnsiTheme="majorBidi" w:cstheme="majorBidi"/>
        </w:rPr>
        <w:t xml:space="preserve"> Written informed consent was obtained immediately before interview commencement. All interviews were conducted by the principal investigator, a nurse academic with postgraduate training in qualitative research and professional expertise in critical care and paediatric nursing. His institutional affiliation and professional background were disclosed to participants at the outset of each interview as part of reflexive transparency. Participants were encouraged to share views that differed from the researcher’s assumptions, and post-interview reflexive field notes were recorded as part of the reflexive journal to examine possible influences on data generation.</w:t>
      </w:r>
    </w:p>
    <w:p w14:paraId="58AB425F" w14:textId="7A53B733" w:rsidR="008920A1" w:rsidRPr="00A55C16" w:rsidRDefault="00A55C16" w:rsidP="007B6532">
      <w:pPr>
        <w:bidi w:val="0"/>
        <w:spacing w:line="240" w:lineRule="auto"/>
        <w:ind w:left="720"/>
        <w:jc w:val="both"/>
        <w:rPr>
          <w:rFonts w:asciiTheme="majorBidi" w:hAnsiTheme="majorBidi" w:cstheme="majorBidi"/>
          <w:b/>
          <w:bCs/>
        </w:rPr>
      </w:pPr>
      <w:r>
        <w:rPr>
          <w:rFonts w:asciiTheme="majorBidi" w:hAnsiTheme="majorBidi" w:cstheme="majorBidi"/>
          <w:b/>
          <w:bCs/>
        </w:rPr>
        <w:t xml:space="preserve">2.6 Interview guide</w:t>
      </w:r>
    </w:p>
    <w:p w14:paraId="50CAAC6C" w14:textId="43D647DF" w:rsidR="003E4461" w:rsidRPr="003E4461" w:rsidRDefault="008920A1" w:rsidP="004015B3">
      <w:pPr>
        <w:bidi w:val="0"/>
        <w:spacing w:line="360" w:lineRule="auto"/>
        <w:ind w:firstLine="720"/>
        <w:jc w:val="both"/>
        <w:rPr>
          <w:rFonts w:asciiTheme="majorBidi" w:hAnsiTheme="majorBidi" w:cstheme="majorBidi"/>
        </w:rPr>
      </w:pPr>
      <w:r>
        <w:rPr>
          <w:rFonts w:asciiTheme="majorBidi" w:hAnsiTheme="majorBidi" w:cstheme="majorBidi"/>
        </w:rPr>
        <w:t xml:space="preserve">The semi-structured interview guide was developed through a three-stage process. First, it was informed by the study’s conceptual framework (Figure 1) and relevant literature on AI-assisted early warning systems, clinical judgment, alert fatigue, trust in clinical AI, and patient safety in critical care. Second, the draft guide was reviewed by three independent experts in qualitative </w:t>
        <w:lastRenderedPageBreak/>
        <w:t>nursing research, critical care nursing, and clinical informatics, whose feedback informed revisions to wording, sequencing, and probing strategies. Third, the guide was piloted with two registered critical care nurses who were not included in the main study sample. Piloting confirmed the clarity, relevance, and conversational flow of the guide, and no substantive revisions were required</w:t>
      </w:r>
      <w:r>
        <w:rPr>
          <w:rFonts w:asciiTheme="majorBidi" w:hAnsiTheme="majorBidi" w:cs="Times New Roman"/>
          <w:rtl/>
        </w:rPr>
        <w:t>.</w:t>
      </w:r>
    </w:p>
    <w:p w14:paraId="30BF74DD" w14:textId="3C22BF07" w:rsidR="008920A1" w:rsidRPr="008920A1" w:rsidRDefault="003E4461" w:rsidP="003E4461">
      <w:pPr>
        <w:bidi w:val="0"/>
        <w:spacing w:line="360" w:lineRule="auto"/>
        <w:ind w:firstLine="720"/>
        <w:jc w:val="both"/>
        <w:rPr>
          <w:rFonts w:asciiTheme="majorBidi" w:hAnsiTheme="majorBidi" w:cstheme="majorBidi"/>
        </w:rPr>
      </w:pPr>
      <w:r>
        <w:rPr>
          <w:rFonts w:asciiTheme="majorBidi" w:hAnsiTheme="majorBidi" w:cstheme="majorBidi"/>
        </w:rPr>
        <w:t xml:space="preserve">The final guide covered participants’ experiences working with AI-assisted early warning systems; how they interpreted and responded to alerts; instances of concordance or discordance between AI alerts and bedside assessments; the influence of alerts on decision-making under uncertainty; perceived implications for patient safety; and contextual factors shaping trust and responsiveness.</w:t>
      </w:r>
      <w:r>
        <w:rPr>
          <w:rFonts w:asciiTheme="majorBidi" w:hAnsiTheme="majorBidi" w:cstheme="majorBidi"/>
        </w:rPr>
        <w:t xml:space="preserve"> These topics were organised into four areas of inquiry derived from the study objectives and the orienting framework, followed by closing questions. During data collection, guide sections were labelled by area of inquiry only; themes were developed during analysis (Section 2.8).</w:t>
      </w:r>
      <w:r>
        <w:rPr>
          <w:rFonts w:asciiTheme="majorBidi" w:hAnsiTheme="majorBidi" w:cstheme="majorBidi"/>
        </w:rPr>
        <w:t xml:space="preserve"> Example questions included: “Can you describe your experience of using AI-assisted early warning systems in your unit?”, “How do you decide whether to act on or further assess an AI-generated alert?”, and “Can you recall a situation in which an AI alert either matched or conflicted with your own clinical judgment?” Interviews were conducted in Arabic or English according to participant preference, lasted 45 to 75 minutes, and had a mean duration of approximately 58 minutes.</w:t>
      </w:r>
      <w:r>
        <w:rPr>
          <w:rFonts w:asciiTheme="majorBidi" w:hAnsiTheme="majorBidi" w:cstheme="majorBidi"/>
        </w:rPr>
        <w:t xml:space="preserve"> The full interview guide and demographic form are provided in Supplementary File S1.</w:t>
      </w:r>
    </w:p>
    <w:p w14:paraId="3BF2FED4" w14:textId="0BBA839F" w:rsidR="008920A1" w:rsidRPr="00A55C16" w:rsidRDefault="00A55C16" w:rsidP="007B6532">
      <w:pPr>
        <w:bidi w:val="0"/>
        <w:spacing w:line="240" w:lineRule="auto"/>
        <w:ind w:left="720"/>
        <w:jc w:val="both"/>
        <w:rPr>
          <w:rFonts w:asciiTheme="majorBidi" w:hAnsiTheme="majorBidi" w:cstheme="majorBidi"/>
          <w:b/>
          <w:bCs/>
        </w:rPr>
      </w:pPr>
      <w:r>
        <w:rPr>
          <w:rFonts w:asciiTheme="majorBidi" w:hAnsiTheme="majorBidi" w:cstheme="majorBidi"/>
          <w:b/>
          <w:bCs/>
        </w:rPr>
        <w:t xml:space="preserve">2.7 Recording, transcription, and translation</w:t>
      </w:r>
    </w:p>
    <w:p w14:paraId="2089837F" w14:textId="680C276F" w:rsidR="00501999" w:rsidRPr="00501999" w:rsidRDefault="008920A1" w:rsidP="00501999">
      <w:pPr>
        <w:bidi w:val="0"/>
        <w:spacing w:line="360" w:lineRule="auto"/>
        <w:ind w:firstLine="720"/>
        <w:jc w:val="both"/>
        <w:rPr>
          <w:rFonts w:asciiTheme="majorBidi" w:hAnsiTheme="majorBidi" w:cstheme="majorBidi"/>
        </w:rPr>
      </w:pPr>
      <w:r>
        <w:rPr>
          <w:rFonts w:asciiTheme="majorBidi" w:hAnsiTheme="majorBidi" w:cstheme="majorBidi"/>
        </w:rPr>
        <w:t xml:space="preserve">All interviews were audio-recorded with written participant consent and transferred immediately to a password-protected, encrypted institutional research drive accessible only to the research team. No recordings were stored on personal devices or transmitted through unsecured channels. Verbatim transcription was completed by a professional transcription service operating under a confidentiality agreement with XXX University. Each transcript was reviewed against the corresponding audio recording by a member of the research team to verify accuracy and document analytically relevant pauses, emphasis, and notable non-verbal cues</w:t>
      </w:r>
      <w:r>
        <w:rPr>
          <w:rFonts w:asciiTheme="majorBidi" w:hAnsiTheme="majorBidi" w:cs="Times New Roman"/>
          <w:rtl/>
        </w:rPr>
        <w:t>.</w:t>
      </w:r>
    </w:p>
    <w:p w14:paraId="6C3121FE" w14:textId="5BC4B7A8" w:rsidR="008920A1" w:rsidRDefault="00501999" w:rsidP="00501999">
      <w:pPr>
        <w:bidi w:val="0"/>
        <w:spacing w:line="360" w:lineRule="auto"/>
        <w:ind w:firstLine="720"/>
        <w:jc w:val="both"/>
        <w:rPr>
          <w:rFonts w:asciiTheme="majorBidi" w:hAnsiTheme="majorBidi" w:cstheme="majorBidi"/>
        </w:rPr>
      </w:pPr>
      <w:r>
        <w:rPr>
          <w:rFonts w:asciiTheme="majorBidi" w:hAnsiTheme="majorBidi" w:cstheme="majorBidi"/>
        </w:rPr>
        <w:t xml:space="preserve">Interviews conducted in Arabic were transcribed in Arabic and then translated into English by a bilingual member of the research team with nursing expertise. A second bilingual team member reviewed a random sample of 20% of translated transcripts to enhance translation fidelity. Before analysis, transcripts were de-identified by removing personal and institutional identifiers and replacing them with pseudonyms and alphanumeric site labels. Demographic data were stored separately from transcripts in an anonymised linked format</w:t>
      </w:r>
      <w:r>
        <w:rPr>
          <w:rFonts w:asciiTheme="majorBidi" w:hAnsiTheme="majorBidi" w:cstheme="majorBidi"/>
          <w:rtl/>
        </w:rPr>
        <w:t>.</w:t>
      </w:r>
    </w:p>
    <w:p w14:paraId="49B95525" w14:textId="77777777" w:rsidR="007B6532" w:rsidRDefault="007B6532" w:rsidP="007B6532">
      <w:pPr>
        <w:bidi w:val="0"/>
        <w:spacing w:line="360" w:lineRule="auto"/>
        <w:ind w:firstLine="720"/>
        <w:jc w:val="both"/>
        <w:rPr>
          <w:rFonts w:asciiTheme="majorBidi" w:hAnsiTheme="majorBidi" w:cstheme="majorBidi"/>
        </w:rPr>
      </w:pPr>
    </w:p>
    <w:p w14:paraId="07B07D78" w14:textId="77777777" w:rsidR="007B6532" w:rsidRPr="008920A1" w:rsidRDefault="007B6532" w:rsidP="007B6532">
      <w:pPr>
        <w:bidi w:val="0"/>
        <w:spacing w:line="360" w:lineRule="auto"/>
        <w:ind w:firstLine="720"/>
        <w:jc w:val="both"/>
        <w:rPr>
          <w:rFonts w:asciiTheme="majorBidi" w:hAnsiTheme="majorBidi" w:cstheme="majorBidi"/>
          <w:rtl/>
        </w:rPr>
      </w:pPr>
    </w:p>
    <w:p w14:paraId="62DFEDD5" w14:textId="2F93BB5C" w:rsidR="008920A1" w:rsidRPr="00693758" w:rsidRDefault="00693758" w:rsidP="007B6532">
      <w:pPr>
        <w:bidi w:val="0"/>
        <w:spacing w:line="240" w:lineRule="auto"/>
        <w:ind w:left="720"/>
        <w:jc w:val="both"/>
        <w:rPr>
          <w:rFonts w:asciiTheme="majorBidi" w:hAnsiTheme="majorBidi" w:cstheme="majorBidi"/>
          <w:b/>
          <w:bCs/>
        </w:rPr>
      </w:pPr>
      <w:r>
        <w:rPr>
          <w:rFonts w:asciiTheme="majorBidi" w:hAnsiTheme="majorBidi" w:cstheme="majorBidi"/>
          <w:b/>
          <w:bCs/>
        </w:rPr>
        <w:lastRenderedPageBreak/>
        <w:t xml:space="preserve">2.8 Data analysis</w:t>
      </w:r>
    </w:p>
    <w:p w14:paraId="4EED38A8" w14:textId="1AF41BB6" w:rsidR="00353872" w:rsidRPr="00353872" w:rsidRDefault="00353872" w:rsidP="004015B3">
      <w:pPr>
        <w:bidi w:val="0"/>
        <w:spacing w:line="360" w:lineRule="auto"/>
        <w:ind w:firstLine="720"/>
        <w:jc w:val="both"/>
        <w:rPr>
          <w:rFonts w:asciiTheme="majorBidi" w:hAnsiTheme="majorBidi" w:cstheme="majorBidi"/>
          <w:rtl/>
        </w:rPr>
      </w:pPr>
      <w:r>
        <w:rPr>
          <w:rFonts w:asciiTheme="majorBidi" w:hAnsiTheme="majorBidi" w:cstheme="majorBidi"/>
        </w:rPr>
        <w:t xml:space="preserve">Data were analysed using reflexive thematic analysis within the interpretive logic of Interpretive Description [39, 40].</w:t>
      </w:r>
      <w:r>
        <w:rPr>
          <w:rFonts w:asciiTheme="majorBidi" w:hAnsiTheme="majorBidi" w:cstheme="majorBidi"/>
        </w:rPr>
        <w:t xml:space="preserve"> Analysis followed six phases: familiarisation with the data, generation of initial codes, development of candidate themes, review of themes against the full dataset, refinement and naming of themes, and production of the final analytic narrative.</w:t>
      </w:r>
    </w:p>
    <w:p w14:paraId="2B831C85" w14:textId="3E90AD24" w:rsidR="008920A1" w:rsidRDefault="00353872" w:rsidP="00353872">
      <w:pPr>
        <w:bidi w:val="0"/>
        <w:spacing w:after="0" w:line="360" w:lineRule="auto"/>
        <w:ind w:firstLine="720"/>
        <w:jc w:val="both"/>
        <w:rPr>
          <w:rFonts w:asciiTheme="majorBidi" w:hAnsiTheme="majorBidi" w:cstheme="majorBidi"/>
        </w:rPr>
      </w:pPr>
      <w:r>
        <w:rPr>
          <w:rFonts w:asciiTheme="majorBidi" w:hAnsiTheme="majorBidi" w:cstheme="majorBidi"/>
        </w:rPr>
        <w:t xml:space="preserve">The principal investigator conducted primary coding across all 23 transcripts. NVivo 14 (Lumivero, Denver, CO, USA) was used to support data organisation, coding, retrieval, and comparison across participants and sites </w:t>
      </w:r>
      <w:r>
        <w:rPr>
          <w:rFonts w:asciiTheme="majorBidi" w:hAnsiTheme="majorBidi" w:cstheme="majorBidi"/>
          <w:noProof/>
        </w:rPr>
        <w:t>[49]</w:t>
      </w:r>
      <w:r>
        <w:rPr>
          <w:rFonts w:asciiTheme="majorBidi" w:hAnsiTheme="majorBidi" w:cstheme="majorBidi"/>
        </w:rPr>
        <w:t xml:space="preserve">. To broaden interpretive perspective, a second member of the research team independently coded three transcripts, representing approximately 13% of the dataset, selected to reflect variation in site, experience level, and interview language. Codes and developing interpretations were then discussed within the research team to refine analysis and challenge assumptions. This process was intended to enhance reflexive interpretation rather than establish inter-rater reliability. An audit trail documenting coding decisions, analytic memos, theme development, and research team discussions was maintained throughout the study </w:t>
      </w:r>
      <w:r>
        <w:rPr>
          <w:rFonts w:asciiTheme="majorBidi" w:hAnsiTheme="majorBidi" w:cstheme="majorBidi"/>
          <w:noProof/>
        </w:rPr>
        <w:t>[50]</w:t>
      </w:r>
      <w:r>
        <w:rPr>
          <w:rFonts w:asciiTheme="majorBidi" w:hAnsiTheme="majorBidi" w:cstheme="majorBidi"/>
        </w:rPr>
        <w:t>.</w:t>
      </w:r>
    </w:p>
    <w:p>
      <w:pPr>
        <w:bidi w:val="0"/>
        <w:spacing w:after="0" w:line="360" w:lineRule="auto"/>
        <w:ind w:firstLine="720"/>
        <w:jc w:val="both"/>
        <w:rPr>
          <w:rFonts w:asciiTheme="majorBidi" w:hAnsiTheme="majorBidi" w:cstheme="majorBidi"/>
        </w:rPr>
      </w:pPr>
      <w:r>
        <w:rPr>
          <w:rFonts w:asciiTheme="majorBidi" w:hAnsiTheme="majorBidi" w:cstheme="majorBidi"/>
        </w:rPr>
        <w:t xml:space="preserve">The analysis combined deductive and inductive elements. The orienting framework shaped the four areas of inquiry, and therefore what participants were asked, but no codebook or predefined themes were applied. Initial codes were generated inductively at semantic and latent levels, and candidate themes were built around central organising concepts rather than as summaries of responses to particular questions. The final themes broadly correspond to the areas of inquiry, as expected given that these structured the interviews, but their interpretive content was generated through analysis. Interpretations not anticipated by the framework or guide include peer-mediated calibration, scepticism as an early interpretive strategy among senior nurses, negotiation as a third response mode, the dependence of the perceived safety value of AI on attentional capacity, and defensive documentation where non-action required justification. Supplementary File S2 traces the relationships among framework concepts, areas of inquiry, illustrative initial codes, and final themes.</w:t>
      </w:r>
    </w:p>
    <w:p>
      <w:pPr>
        <w:bidi w:val="0"/>
        <w:spacing w:after="0" w:line="360" w:lineRule="auto"/>
        <w:ind w:firstLine="720"/>
        <w:jc w:val="both"/>
        <w:rPr>
          <w:rFonts w:asciiTheme="majorBidi" w:hAnsiTheme="majorBidi" w:cstheme="majorBidi"/>
        </w:rPr>
      </w:pPr>
      <w:r>
        <w:rPr>
          <w:rFonts w:asciiTheme="majorBidi" w:hAnsiTheme="majorBidi" w:cstheme="majorBidi"/>
        </w:rPr>
        <w:t xml:space="preserve">Site-level differences (Table 1) were treated as interpretive context rather than as variables for comparison: extracts were tagged by site, and analytic memos examined how accounts of alert interpretation, trust, and escalation related to local protocols, training, and exposure. This informed, for example, the interpretation of defensive alert management at Hospital D, where non-action required documented justification, and of the more collaborative stance described at Hospital A.</w:t>
      </w:r>
    </w:p>
    <w:p w14:paraId="62A4E99F" w14:textId="77777777" w:rsidR="002F17CA" w:rsidRPr="008920A1" w:rsidRDefault="002F17CA" w:rsidP="002F17CA">
      <w:pPr>
        <w:bidi w:val="0"/>
        <w:spacing w:after="0" w:line="240" w:lineRule="auto"/>
        <w:ind w:firstLine="720"/>
        <w:jc w:val="both"/>
        <w:rPr>
          <w:rFonts w:asciiTheme="majorBidi" w:hAnsiTheme="majorBidi" w:cstheme="majorBidi"/>
        </w:rPr>
      </w:pPr>
    </w:p>
    <w:p w14:paraId="5FE9F2E2" w14:textId="036D5F6E" w:rsidR="008920A1" w:rsidRPr="00693758" w:rsidRDefault="00693758" w:rsidP="007B6532">
      <w:pPr>
        <w:bidi w:val="0"/>
        <w:spacing w:line="240" w:lineRule="auto"/>
        <w:ind w:left="720"/>
        <w:jc w:val="both"/>
        <w:rPr>
          <w:rFonts w:asciiTheme="majorBidi" w:hAnsiTheme="majorBidi" w:cstheme="majorBidi"/>
          <w:b/>
          <w:bCs/>
        </w:rPr>
      </w:pPr>
      <w:r>
        <w:rPr>
          <w:rFonts w:asciiTheme="majorBidi" w:hAnsiTheme="majorBidi" w:cstheme="majorBidi"/>
          <w:b/>
          <w:bCs/>
        </w:rPr>
        <w:t xml:space="preserve">2.9 Ethical considerations</w:t>
      </w:r>
    </w:p>
    <w:p w14:paraId="6A2C15B2" w14:textId="754BFF2A" w:rsidR="00131175" w:rsidRDefault="008920A1" w:rsidP="00131175">
      <w:pPr>
        <w:bidi w:val="0"/>
        <w:spacing w:line="360" w:lineRule="auto"/>
        <w:ind w:firstLine="720"/>
        <w:jc w:val="both"/>
        <w:rPr>
          <w:rFonts w:asciiTheme="majorBidi" w:hAnsiTheme="majorBidi" w:cstheme="majorBidi"/>
        </w:rPr>
      </w:pPr>
      <w:r>
        <w:rPr>
          <w:rFonts w:asciiTheme="majorBidi" w:hAnsiTheme="majorBidi" w:cstheme="majorBidi"/>
        </w:rPr>
        <w:t xml:space="preserve">Ethical approval was obtained from the Institutional Review Board of XXX University (reference number withheld for blinded review) and from the ethics committees of the four participating hospitals before recruitment or data collection began.</w:t>
      </w:r>
      <w:r>
        <w:rPr>
          <w:rFonts w:asciiTheme="majorBidi" w:hAnsiTheme="majorBidi" w:cstheme="majorBidi"/>
        </w:rPr>
        <w:t xml:space="preserve"> The study was conducted in accordance with the Declaration of Helsinki [51] and applicable Saudi Arabian regulations governing research involving human participants. Participation was entirely voluntary. All eligible nurses received a written participant information sheet in Arabic or English before any contact with the research team. Written informed consent was obtained before each interview. Participants were informed of their right to withdraw at any time, without giving a reason and without consequences for their employment or professional standing. </w:t>
      </w:r>
    </w:p>
    <w:p w14:paraId="7FC017BD" w14:textId="76D6F668" w:rsidR="008920A1" w:rsidRDefault="00353872" w:rsidP="00131175">
      <w:pPr>
        <w:bidi w:val="0"/>
        <w:spacing w:line="360" w:lineRule="auto"/>
        <w:ind w:firstLine="720"/>
        <w:jc w:val="both"/>
        <w:rPr>
          <w:rFonts w:asciiTheme="majorBidi" w:hAnsiTheme="majorBidi" w:cstheme="majorBidi"/>
        </w:rPr>
      </w:pPr>
      <w:r>
        <w:rPr>
          <w:rFonts w:asciiTheme="majorBidi" w:hAnsiTheme="majorBidi" w:cstheme="majorBidi"/>
        </w:rPr>
        <w:t>All data were de-identified before analysis. Hospital sites were anonymised, and electronic files were stored on encrypted, password-protected institutional servers accessible only to the research team. Data will be retained for 10 years in accordance with XXX University’s research data governance policy and then securely destroyed</w:t>
      </w:r>
      <w:r>
        <w:rPr>
          <w:rFonts w:asciiTheme="majorBidi" w:hAnsiTheme="majorBidi" w:cs="Times New Roman"/>
          <w:rtl/>
        </w:rPr>
        <w:t>.</w:t>
      </w:r>
      <w:r>
        <w:rPr>
          <w:rFonts w:asciiTheme="majorBidi" w:hAnsiTheme="majorBidi" w:cstheme="majorBidi"/>
        </w:rPr>
        <w:t xml:space="preserve"> Because recruitment occurred within participants’ workplaces, particular attention was paid to minimising perceived coercion. Study information was circulated through the nursing administration offices rather than directly by the principal investigator. Unit managers were not informed which nurses elected to participate, and all subsequent communication occurred directly between interested nurses and the research team</w:t>
      </w:r>
      <w:r>
        <w:rPr>
          <w:rFonts w:asciiTheme="majorBidi" w:hAnsiTheme="majorBidi" w:cstheme="majorBidi"/>
          <w:rtl/>
        </w:rPr>
        <w:t>.</w:t>
      </w:r>
    </w:p>
    <w:p w14:paraId="361C2B78" w14:textId="77777777" w:rsidR="007B6532" w:rsidRPr="008920A1" w:rsidRDefault="007B6532" w:rsidP="007B6532">
      <w:pPr>
        <w:bidi w:val="0"/>
        <w:spacing w:line="360" w:lineRule="auto"/>
        <w:ind w:firstLine="720"/>
        <w:jc w:val="both"/>
        <w:rPr>
          <w:rFonts w:asciiTheme="majorBidi" w:hAnsiTheme="majorBidi" w:cstheme="majorBidi"/>
          <w:rtl/>
        </w:rPr>
      </w:pPr>
    </w:p>
    <w:p w14:paraId="075B9CB5" w14:textId="7FDFFE23" w:rsidR="008920A1" w:rsidRPr="00693758" w:rsidRDefault="00693758" w:rsidP="007B6532">
      <w:pPr>
        <w:bidi w:val="0"/>
        <w:spacing w:line="240" w:lineRule="auto"/>
        <w:ind w:left="720"/>
        <w:jc w:val="both"/>
        <w:rPr>
          <w:rFonts w:asciiTheme="majorBidi" w:hAnsiTheme="majorBidi" w:cstheme="majorBidi"/>
          <w:b/>
          <w:bCs/>
        </w:rPr>
      </w:pPr>
      <w:r>
        <w:rPr>
          <w:rFonts w:asciiTheme="majorBidi" w:hAnsiTheme="majorBidi" w:cstheme="majorBidi"/>
          <w:b/>
          <w:bCs/>
        </w:rPr>
        <w:lastRenderedPageBreak/>
        <w:t xml:space="preserve">2.10 Rigour and reflexivity</w:t>
      </w:r>
    </w:p>
    <w:p w14:paraId="29D3648D" w14:textId="35EAF1E8" w:rsidR="001F5FCD" w:rsidRDefault="006E47CC" w:rsidP="001F5FCD">
      <w:pPr>
        <w:bidi w:val="0"/>
        <w:spacing w:line="360" w:lineRule="auto"/>
        <w:ind w:firstLine="720"/>
        <w:jc w:val="both"/>
        <w:rPr>
          <w:rFonts w:asciiTheme="majorBidi" w:hAnsiTheme="majorBidi" w:cstheme="majorBidi"/>
        </w:rPr>
      </w:pPr>
      <w:r>
        <w:rPr>
          <w:rFonts w:asciiTheme="majorBidi" w:hAnsiTheme="majorBidi" w:cstheme="majorBidi"/>
        </w:rPr>
        <w:t xml:space="preserve">Methodological rigour was established using trustworthiness criteria consistent with Interpretive Description and reflexive thematic analysis [52]. Interpretive sufficiency, rather than data saturation, was used as the primary criterion for analytic adequacy. Credibility was supported through sustained engagement with the dataset, regular research team meetings, and peer debriefing with an experienced qualitative nursing researcher external to the study, conducted at two structured points during analysis [53, 54]. Member checking was undertaken with a purposively selected subset of six participants, who reviewed summary accounts of the emerging themes [55, 56]. Their feedback was documented and used to refine the specificity and contextual accuracy of theme descriptions.</w:t>
      </w:r>
      <w:r>
        <w:rPr>
          <w:rFonts w:asciiTheme="majorBidi" w:hAnsiTheme="majorBidi" w:cstheme="majorBidi"/>
        </w:rPr>
        <w:t xml:space="preserve"> Full transcripts were not returned to participants.</w:t>
      </w:r>
      <w:r>
        <w:rPr>
          <w:rFonts w:asciiTheme="majorBidi" w:hAnsiTheme="majorBidi" w:cstheme="majorBidi"/>
        </w:rPr>
        <w:t xml:space="preserve"> Dependability was supported through a detailed audit trail documenting recruitment decisions, coding development, analytic memos, theme refinement, and team discussions [57]. </w:t>
      </w:r>
    </w:p>
    <w:p w14:paraId="4E3AEBE8" w14:textId="6AE23C09" w:rsidR="008C7C7E" w:rsidRDefault="006E47CC" w:rsidP="00805047">
      <w:pPr>
        <w:bidi w:val="0"/>
        <w:spacing w:line="360" w:lineRule="auto"/>
        <w:ind w:firstLine="720"/>
        <w:jc w:val="both"/>
        <w:rPr>
          <w:rFonts w:asciiTheme="majorBidi" w:hAnsiTheme="majorBidi" w:cstheme="majorBidi"/>
        </w:rPr>
      </w:pPr>
      <w:r>
        <w:rPr>
          <w:rFonts w:asciiTheme="majorBidi" w:hAnsiTheme="majorBidi" w:cstheme="majorBidi"/>
        </w:rPr>
        <w:t xml:space="preserve">Confirmability was strengthened through reflexive journaling, collaborative scrutiny of interpretations, and the use of verbatim quotations to anchor analytic claims in the data, ensuring that interpretive claims were transparently grounded in participant accounts rather than researcher assumptions </w:t>
      </w:r>
      <w:r>
        <w:rPr>
          <w:rFonts w:asciiTheme="majorBidi" w:hAnsiTheme="majorBidi" w:cstheme="majorBidi"/>
          <w:noProof/>
        </w:rPr>
        <w:t>[58]</w:t>
      </w:r>
      <w:r>
        <w:rPr>
          <w:rFonts w:asciiTheme="majorBidi" w:hAnsiTheme="majorBidi" w:cstheme="majorBidi"/>
        </w:rPr>
        <w:t xml:space="preserve">. Transferability was addressed through a rich description of the study setting, participant characteristics, recruitment procedures, and analytic process</w:t>
      </w:r>
      <w:r>
        <w:rPr>
          <w:rFonts w:asciiTheme="majorBidi" w:hAnsiTheme="majorBidi" w:cstheme="majorBidi" w:hint="cs"/>
          <w:rtl/>
        </w:rPr>
        <w:t xml:space="preserve"> </w:t>
      </w:r>
      <w:r>
        <w:rPr>
          <w:rFonts w:asciiTheme="majorBidi" w:hAnsiTheme="majorBidi" w:cstheme="majorBidi"/>
          <w:noProof/>
        </w:rPr>
        <w:t>[59]</w:t>
      </w:r>
      <w:r>
        <w:rPr>
          <w:rFonts w:asciiTheme="majorBidi" w:hAnsiTheme="majorBidi" w:cstheme="majorBidi"/>
        </w:rPr>
        <w:t xml:space="preserve">. Reflexivity was practised throughout the study. The principal investigator maintained a reflexive journal from the start of data collection, including post-interview field notes, to document assumptions, responses to participant accounts, and moments of interpretive uncertainty. These reflections were reviewed in research team meetings to identify and critically examine potential influences on data generation and analysis </w:t>
      </w:r>
      <w:r>
        <w:rPr>
          <w:rFonts w:asciiTheme="majorBidi" w:hAnsiTheme="majorBidi" w:cstheme="majorBidi"/>
          <w:noProof/>
        </w:rPr>
        <w:t>[60, 61]</w:t>
      </w:r>
      <w:r>
        <w:rPr>
          <w:rFonts w:asciiTheme="majorBidi" w:hAnsiTheme="majorBidi" w:cstheme="majorBidi"/>
        </w:rPr>
        <w:t xml:space="preserve">. </w:t>
      </w:r>
    </w:p>
    <w:p>
      <w:pPr>
        <w:bidi w:val="0"/>
        <w:spacing w:line="360" w:lineRule="auto"/>
        <w:ind w:firstLine="720"/>
        <w:jc w:val="both"/>
        <w:rPr>
          <w:rFonts w:asciiTheme="majorBidi" w:hAnsiTheme="majorBidi" w:cstheme="majorBidi"/>
        </w:rPr>
      </w:pPr>
      <w:r>
        <w:rPr>
          <w:rFonts w:asciiTheme="majorBidi" w:hAnsiTheme="majorBidi" w:cstheme="majorBidi"/>
        </w:rPr>
        <w:t xml:space="preserve">The principal investigator is a male nurse academic with six years of adult intensive care nursing experience and three years of paediatric nursing experience. He had no employment, managerial, supervisory, or teaching relationship with the participating units or participants and had not worked at any of the four hospitals. To limit the assumption of shared clinical meanings, he asked participants to explain situations in their own words and recorded in the reflexive journal where his assumptions shaped follow-up questions; these entries were reviewed in team meetings.</w:t>
      </w:r>
    </w:p>
    <w:p w14:paraId="1BCECAF4" w14:textId="17E6FFC1" w:rsidR="008C7C7E" w:rsidRPr="008C7C7E" w:rsidRDefault="008C7C7E" w:rsidP="008C7C7E">
      <w:pPr>
        <w:pStyle w:val="ListParagraph"/>
        <w:numPr>
          <w:ilvl w:val="0"/>
          <w:numId w:val="3"/>
        </w:numPr>
        <w:bidi w:val="0"/>
        <w:spacing w:line="360" w:lineRule="auto"/>
        <w:jc w:val="both"/>
        <w:rPr>
          <w:rFonts w:asciiTheme="majorBidi" w:hAnsiTheme="majorBidi" w:cstheme="majorBidi"/>
          <w:b/>
          <w:bCs/>
        </w:rPr>
      </w:pPr>
      <w:r>
        <w:rPr>
          <w:rFonts w:asciiTheme="majorBidi" w:hAnsiTheme="majorBidi" w:cstheme="majorBidi"/>
          <w:b/>
          <w:bCs/>
        </w:rPr>
        <w:t>Findings</w:t>
      </w:r>
    </w:p>
    <w:p w14:paraId="7079F740"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3.1 Participant Characteristics</w:t>
      </w:r>
    </w:p>
    <w:p w14:paraId="42CBDDDA" w14:textId="164C9389" w:rsidR="00CB1BEA" w:rsidRDefault="003B5102" w:rsidP="00CB1BEA">
      <w:pPr>
        <w:bidi w:val="0"/>
        <w:spacing w:line="360" w:lineRule="auto"/>
        <w:ind w:firstLine="720"/>
        <w:jc w:val="both"/>
        <w:rPr>
          <w:rFonts w:asciiTheme="majorBidi" w:hAnsiTheme="majorBidi" w:cstheme="majorBidi"/>
        </w:rPr>
      </w:pPr>
      <w:r>
        <w:rPr>
          <w:rFonts w:asciiTheme="majorBidi" w:hAnsiTheme="majorBidi" w:cstheme="majorBidi"/>
        </w:rPr>
        <w:t xml:space="preserve">The study participants ranged in age from 26 to 51 years and had between 2 and 23 years of critical care experience.</w:t>
      </w:r>
      <w:r>
        <w:rPr>
          <w:rFonts w:asciiTheme="majorBidi" w:hAnsiTheme="majorBidi" w:cstheme="majorBidi"/>
        </w:rPr>
        <w:t xml:space="preserve"> All 23 participants were registered nurses employed in adult critical care units across the four participating hospitals and had direct, active experience of working with the AI-assisted early warning systems in use at their hospitals as part of their everyday nursing roles.</w:t>
      </w:r>
      <w:r>
        <w:rPr>
          <w:rFonts w:asciiTheme="majorBidi" w:hAnsiTheme="majorBidi" w:cstheme="majorBidi"/>
        </w:rPr>
        <w:t xml:space="preserve"> The sample reflected the multinational composition characteristic of the Saudi critical care nursing workforce and provided variation in hospital site, professional experience, nationality, and educational preparation.</w:t>
      </w:r>
      <w:r>
        <w:rPr>
          <w:rFonts w:asciiTheme="majorBidi" w:hAnsiTheme="majorBidi" w:cstheme="majorBidi"/>
        </w:rPr>
        <w:t xml:space="preserve"> Participant characteristics are presented in Table 2, and participants’ exposure to the AI-assisted systems is summarised by site in Table 1.</w:t>
      </w:r>
    </w:p>
    <w:p w14:paraId="523F54BB" w14:textId="77777777" w:rsidR="007B6532" w:rsidRDefault="007B6532" w:rsidP="007B6532">
      <w:pPr>
        <w:bidi w:val="0"/>
        <w:spacing w:line="360" w:lineRule="auto"/>
        <w:ind w:firstLine="720"/>
        <w:jc w:val="both"/>
        <w:rPr>
          <w:rFonts w:asciiTheme="majorBidi" w:hAnsiTheme="majorBidi" w:cstheme="majorBidi"/>
        </w:rPr>
      </w:pPr>
    </w:p>
    <w:p w14:paraId="2F2D18A0" w14:textId="77777777" w:rsidR="007B6532" w:rsidRDefault="007B6532" w:rsidP="007B6532">
      <w:pPr>
        <w:bidi w:val="0"/>
        <w:spacing w:line="360" w:lineRule="auto"/>
        <w:ind w:firstLine="720"/>
        <w:jc w:val="both"/>
        <w:rPr>
          <w:rFonts w:asciiTheme="majorBidi" w:hAnsiTheme="majorBidi" w:cstheme="majorBidi"/>
        </w:rPr>
      </w:pPr>
    </w:p>
    <w:p w14:paraId="6C96AF07" w14:textId="473B2373" w:rsidR="003B5102" w:rsidRPr="003B5102" w:rsidRDefault="003B5102" w:rsidP="00CB1BEA">
      <w:pPr>
        <w:bidi w:val="0"/>
        <w:spacing w:line="360" w:lineRule="auto"/>
        <w:jc w:val="both"/>
        <w:rPr>
          <w:rFonts w:asciiTheme="majorBidi" w:hAnsiTheme="majorBidi" w:cstheme="majorBidi"/>
        </w:rPr>
      </w:pPr>
      <w:r>
        <w:rPr>
          <w:rFonts w:asciiTheme="majorBidi" w:hAnsiTheme="majorBidi" w:cstheme="majorBidi"/>
          <w:b/>
          <w:bCs/>
        </w:rPr>
        <w:t xml:space="preserve">Table 2. </w:t>
      </w:r>
      <w:r>
        <w:rPr>
          <w:rFonts w:asciiTheme="majorBidi" w:hAnsiTheme="majorBidi" w:cstheme="majorBidi"/>
        </w:rPr>
        <w:t>Demographic and Professional Characteristics of Study Participants (N = 23)</w:t>
      </w:r>
    </w:p>
    <w:tbl>
      <w:tblPr>
        <w:tblStyle w:val="TableGrid"/>
        <w:tblW w:w="0" w:type="auto"/>
        <w:tblLook w:val="04A0" w:firstRow="1" w:lastRow="0" w:firstColumn="1" w:lastColumn="0" w:noHBand="0" w:noVBand="1"/>
      </w:tblPr>
      <w:tblGrid>
        <w:gridCol w:w="813"/>
        <w:gridCol w:w="997"/>
        <w:gridCol w:w="1280"/>
        <w:gridCol w:w="2374"/>
        <w:gridCol w:w="2536"/>
        <w:gridCol w:w="1530"/>
      </w:tblGrid>
      <w:tr w:rsidR="003B5102" w:rsidRPr="000A5FCE" w14:paraId="6B339BBF" w14:textId="77777777" w:rsidTr="000A5FCE">
        <w:tc>
          <w:tcPr>
            <w:tcW w:w="0" w:type="auto"/>
            <w:shd w:val="clear" w:color="auto" w:fill="DAE9F7" w:themeFill="text2" w:themeFillTint="1A"/>
            <w:hideMark/>
          </w:tcPr>
          <w:p w14:paraId="6BC59F5E"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rPr>
              <w:t>Code</w:t>
            </w:r>
          </w:p>
        </w:tc>
        <w:tc>
          <w:tcPr>
            <w:tcW w:w="0" w:type="auto"/>
            <w:shd w:val="clear" w:color="auto" w:fill="DAE9F7" w:themeFill="text2" w:themeFillTint="1A"/>
            <w:hideMark/>
          </w:tcPr>
          <w:p w14:paraId="177FD4DC"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rPr>
              <w:t>Sex</w:t>
            </w:r>
          </w:p>
        </w:tc>
        <w:tc>
          <w:tcPr>
            <w:tcW w:w="0" w:type="auto"/>
            <w:shd w:val="clear" w:color="auto" w:fill="DAE9F7" w:themeFill="text2" w:themeFillTint="1A"/>
            <w:hideMark/>
          </w:tcPr>
          <w:p w14:paraId="1E15AB34"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rPr>
              <w:t>Age range</w:t>
            </w:r>
          </w:p>
        </w:tc>
        <w:tc>
          <w:tcPr>
            <w:tcW w:w="0" w:type="auto"/>
            <w:shd w:val="clear" w:color="auto" w:fill="DAE9F7" w:themeFill="text2" w:themeFillTint="1A"/>
            <w:hideMark/>
          </w:tcPr>
          <w:p w14:paraId="330C6815"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rPr>
              <w:t>Highest qualification</w:t>
            </w:r>
          </w:p>
        </w:tc>
        <w:tc>
          <w:tcPr>
            <w:tcW w:w="0" w:type="auto"/>
            <w:shd w:val="clear" w:color="auto" w:fill="DAE9F7" w:themeFill="text2" w:themeFillTint="1A"/>
            <w:hideMark/>
          </w:tcPr>
          <w:p w14:paraId="7E01CD3C"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rPr>
              <w:t xml:space="preserve">ICU experience (years, banded)</w:t>
            </w:r>
          </w:p>
        </w:tc>
        <w:tc>
          <w:tcPr>
            <w:tcW w:w="0" w:type="auto"/>
            <w:shd w:val="clear" w:color="auto" w:fill="DAE9F7" w:themeFill="text2" w:themeFillTint="1A"/>
            <w:hideMark/>
          </w:tcPr>
          <w:p w14:paraId="262B6E4F" w14:textId="77777777" w:rsidR="003B5102" w:rsidRPr="000A5FCE" w:rsidRDefault="003B5102" w:rsidP="00820476">
            <w:pPr>
              <w:bidi w:val="0"/>
              <w:spacing w:line="276" w:lineRule="auto"/>
              <w:jc w:val="center"/>
              <w:rPr>
                <w:rFonts w:asciiTheme="majorBidi" w:hAnsiTheme="majorBidi" w:cstheme="majorBidi"/>
                <w:b/>
                <w:bCs/>
                <w:sz w:val="22"/>
                <w:szCs w:val="22"/>
              </w:rPr>
            </w:pPr>
            <w:r>
              <w:rPr>
                <w:rFonts w:asciiTheme="majorBidi" w:hAnsiTheme="majorBidi" w:cstheme="majorBidi"/>
                <w:b/>
                <w:bCs/>
                <w:sz w:val="22"/>
                <w:szCs w:val="22"/>
              </w:rPr>
              <w:t>Hospital site</w:t>
            </w:r>
          </w:p>
        </w:tc>
      </w:tr>
      <w:tr w:rsidR="003B5102" w:rsidRPr="000A5FCE" w14:paraId="4BED2EA2" w14:textId="77777777" w:rsidTr="00CB1BEA">
        <w:tc>
          <w:tcPr>
            <w:tcW w:w="0" w:type="auto"/>
            <w:hideMark/>
          </w:tcPr>
          <w:p w14:paraId="35EAE06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P01</w:t>
            </w:r>
          </w:p>
        </w:tc>
        <w:tc>
          <w:tcPr>
            <w:tcW w:w="0" w:type="auto"/>
            <w:hideMark/>
          </w:tcPr>
          <w:p w14:paraId="0EB0A120"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2921EED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36–40</w:t>
            </w:r>
          </w:p>
        </w:tc>
        <w:tc>
          <w:tcPr>
            <w:tcW w:w="0" w:type="auto"/>
            <w:hideMark/>
          </w:tcPr>
          <w:p w14:paraId="135978A5"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6A76043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6–10</w:t>
            </w:r>
          </w:p>
        </w:tc>
        <w:tc>
          <w:tcPr>
            <w:tcW w:w="0" w:type="auto"/>
            <w:hideMark/>
          </w:tcPr>
          <w:p w14:paraId="4C8CAD9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A</w:t>
            </w:r>
          </w:p>
        </w:tc>
      </w:tr>
      <w:tr w:rsidR="003B5102" w:rsidRPr="000A5FCE" w14:paraId="52CED4D4" w14:textId="77777777" w:rsidTr="00CB1BEA">
        <w:tc>
          <w:tcPr>
            <w:tcW w:w="0" w:type="auto"/>
            <w:hideMark/>
          </w:tcPr>
          <w:p w14:paraId="6522EB72"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P02</w:t>
            </w:r>
          </w:p>
        </w:tc>
        <w:tc>
          <w:tcPr>
            <w:tcW w:w="0" w:type="auto"/>
            <w:hideMark/>
          </w:tcPr>
          <w:p w14:paraId="07AF522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6BEF5E8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31–35</w:t>
            </w:r>
          </w:p>
        </w:tc>
        <w:tc>
          <w:tcPr>
            <w:tcW w:w="0" w:type="auto"/>
            <w:hideMark/>
          </w:tcPr>
          <w:p w14:paraId="28CFD57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483DF7D3"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6–10</w:t>
            </w:r>
          </w:p>
        </w:tc>
        <w:tc>
          <w:tcPr>
            <w:tcW w:w="0" w:type="auto"/>
            <w:hideMark/>
          </w:tcPr>
          <w:p w14:paraId="0C59243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A</w:t>
            </w:r>
          </w:p>
        </w:tc>
      </w:tr>
      <w:tr w:rsidR="003B5102" w:rsidRPr="000A5FCE" w14:paraId="02A60F89" w14:textId="77777777" w:rsidTr="00CB1BEA">
        <w:tc>
          <w:tcPr>
            <w:tcW w:w="0" w:type="auto"/>
            <w:hideMark/>
          </w:tcPr>
          <w:p w14:paraId="63C79F1B"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P03</w:t>
            </w:r>
          </w:p>
        </w:tc>
        <w:tc>
          <w:tcPr>
            <w:tcW w:w="0" w:type="auto"/>
            <w:hideMark/>
          </w:tcPr>
          <w:p w14:paraId="7C2FC3B2"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4F736B4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26–30</w:t>
            </w:r>
          </w:p>
        </w:tc>
        <w:tc>
          <w:tcPr>
            <w:tcW w:w="0" w:type="auto"/>
            <w:hideMark/>
          </w:tcPr>
          <w:p w14:paraId="6E4F2FE9"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Postgraduate</w:t>
            </w:r>
          </w:p>
        </w:tc>
        <w:tc>
          <w:tcPr>
            <w:tcW w:w="0" w:type="auto"/>
            <w:hideMark/>
          </w:tcPr>
          <w:p w14:paraId="6EEDE651"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≤5</w:t>
            </w:r>
          </w:p>
        </w:tc>
        <w:tc>
          <w:tcPr>
            <w:tcW w:w="0" w:type="auto"/>
            <w:hideMark/>
          </w:tcPr>
          <w:p w14:paraId="37A9A830"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A</w:t>
            </w:r>
          </w:p>
        </w:tc>
      </w:tr>
      <w:tr w:rsidR="003B5102" w:rsidRPr="000A5FCE" w14:paraId="15ED3D78" w14:textId="77777777" w:rsidTr="00CB1BEA">
        <w:tc>
          <w:tcPr>
            <w:tcW w:w="0" w:type="auto"/>
            <w:hideMark/>
          </w:tcPr>
          <w:p w14:paraId="37AEA2E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P04</w:t>
            </w:r>
          </w:p>
        </w:tc>
        <w:tc>
          <w:tcPr>
            <w:tcW w:w="0" w:type="auto"/>
            <w:hideMark/>
          </w:tcPr>
          <w:p w14:paraId="41AD6C1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351880D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41–45</w:t>
            </w:r>
          </w:p>
        </w:tc>
        <w:tc>
          <w:tcPr>
            <w:tcW w:w="0" w:type="auto"/>
            <w:hideMark/>
          </w:tcPr>
          <w:p w14:paraId="02FDDCDA" w14:textId="77777777" w:rsidR="003B5102" w:rsidRPr="000A5FCE" w:rsidRDefault="003B5102" w:rsidP="00820476">
            <w:pPr>
              <w:bidi w:val="0"/>
              <w:spacing w:line="276" w:lineRule="auto"/>
              <w:jc w:val="center"/>
              <w:rPr>
                <w:rFonts w:asciiTheme="majorBidi" w:hAnsiTheme="majorBidi" w:cstheme="majorBidi"/>
                <w:sz w:val="22"/>
                <w:szCs w:val="22"/>
                <w:rtl/>
              </w:rPr>
            </w:pPr>
            <w:r>
              <w:rPr>
                <w:rFonts w:asciiTheme="majorBidi" w:hAnsiTheme="majorBidi" w:cstheme="majorBidi"/>
                <w:sz w:val="22"/>
                <w:szCs w:val="22"/>
              </w:rPr>
              <w:t>BSN</w:t>
            </w:r>
          </w:p>
        </w:tc>
        <w:tc>
          <w:tcPr>
            <w:tcW w:w="0" w:type="auto"/>
            <w:hideMark/>
          </w:tcPr>
          <w:p w14:paraId="600E40B4"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11–15</w:t>
            </w:r>
          </w:p>
        </w:tc>
        <w:tc>
          <w:tcPr>
            <w:tcW w:w="0" w:type="auto"/>
            <w:hideMark/>
          </w:tcPr>
          <w:p w14:paraId="1DD52B5C"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A</w:t>
            </w:r>
          </w:p>
        </w:tc>
      </w:tr>
      <w:tr w:rsidR="003B5102" w:rsidRPr="000A5FCE" w14:paraId="773B857F" w14:textId="77777777" w:rsidTr="00CB1BEA">
        <w:tc>
          <w:tcPr>
            <w:tcW w:w="0" w:type="auto"/>
            <w:hideMark/>
          </w:tcPr>
          <w:p w14:paraId="495BDE4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P05</w:t>
            </w:r>
          </w:p>
        </w:tc>
        <w:tc>
          <w:tcPr>
            <w:tcW w:w="0" w:type="auto"/>
            <w:hideMark/>
          </w:tcPr>
          <w:p w14:paraId="646B917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0DB8D1E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31–35</w:t>
            </w:r>
          </w:p>
        </w:tc>
        <w:tc>
          <w:tcPr>
            <w:tcW w:w="0" w:type="auto"/>
            <w:hideMark/>
          </w:tcPr>
          <w:p w14:paraId="59A4C705"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2173E6E8"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6–10</w:t>
            </w:r>
          </w:p>
        </w:tc>
        <w:tc>
          <w:tcPr>
            <w:tcW w:w="0" w:type="auto"/>
            <w:hideMark/>
          </w:tcPr>
          <w:p w14:paraId="766E0ED2"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A</w:t>
            </w:r>
          </w:p>
        </w:tc>
      </w:tr>
      <w:tr w:rsidR="003B5102" w:rsidRPr="000A5FCE" w14:paraId="505AB62D" w14:textId="77777777" w:rsidTr="00CB1BEA">
        <w:tc>
          <w:tcPr>
            <w:tcW w:w="0" w:type="auto"/>
            <w:hideMark/>
          </w:tcPr>
          <w:p w14:paraId="417D590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P06</w:t>
            </w:r>
          </w:p>
        </w:tc>
        <w:tc>
          <w:tcPr>
            <w:tcW w:w="0" w:type="auto"/>
            <w:hideMark/>
          </w:tcPr>
          <w:p w14:paraId="00CDB0E0"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6E07257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36–40</w:t>
            </w:r>
          </w:p>
        </w:tc>
        <w:tc>
          <w:tcPr>
            <w:tcW w:w="0" w:type="auto"/>
            <w:hideMark/>
          </w:tcPr>
          <w:p w14:paraId="6DC53E10" w14:textId="77777777" w:rsidR="003B5102" w:rsidRPr="000A5FCE" w:rsidRDefault="003B5102" w:rsidP="00820476">
            <w:pPr>
              <w:bidi w:val="0"/>
              <w:spacing w:line="276" w:lineRule="auto"/>
              <w:jc w:val="center"/>
              <w:rPr>
                <w:rFonts w:asciiTheme="majorBidi" w:hAnsiTheme="majorBidi" w:cstheme="majorBidi"/>
                <w:sz w:val="22"/>
                <w:szCs w:val="22"/>
                <w:rtl/>
              </w:rPr>
            </w:pPr>
            <w:r>
              <w:rPr>
                <w:rFonts w:asciiTheme="majorBidi" w:hAnsiTheme="majorBidi" w:cstheme="majorBidi"/>
                <w:sz w:val="22"/>
                <w:szCs w:val="22"/>
              </w:rPr>
              <w:t>BSN</w:t>
            </w:r>
          </w:p>
        </w:tc>
        <w:tc>
          <w:tcPr>
            <w:tcW w:w="0" w:type="auto"/>
            <w:hideMark/>
          </w:tcPr>
          <w:p w14:paraId="42EAE63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11–15</w:t>
            </w:r>
          </w:p>
        </w:tc>
        <w:tc>
          <w:tcPr>
            <w:tcW w:w="0" w:type="auto"/>
            <w:hideMark/>
          </w:tcPr>
          <w:p w14:paraId="488FD13C"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w:t>
            </w:r>
          </w:p>
        </w:tc>
      </w:tr>
      <w:tr w:rsidR="003B5102" w:rsidRPr="000A5FCE" w14:paraId="36F221D9" w14:textId="77777777" w:rsidTr="00CB1BEA">
        <w:tc>
          <w:tcPr>
            <w:tcW w:w="0" w:type="auto"/>
            <w:hideMark/>
          </w:tcPr>
          <w:p w14:paraId="430BABD9"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P07</w:t>
            </w:r>
          </w:p>
        </w:tc>
        <w:tc>
          <w:tcPr>
            <w:tcW w:w="0" w:type="auto"/>
            <w:hideMark/>
          </w:tcPr>
          <w:p w14:paraId="31CC72F5"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0B62F3A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26–30</w:t>
            </w:r>
          </w:p>
        </w:tc>
        <w:tc>
          <w:tcPr>
            <w:tcW w:w="0" w:type="auto"/>
            <w:hideMark/>
          </w:tcPr>
          <w:p w14:paraId="5E7D42F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067ECE6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≤5</w:t>
            </w:r>
          </w:p>
        </w:tc>
        <w:tc>
          <w:tcPr>
            <w:tcW w:w="0" w:type="auto"/>
            <w:hideMark/>
          </w:tcPr>
          <w:p w14:paraId="49C21D7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w:t>
            </w:r>
          </w:p>
        </w:tc>
      </w:tr>
      <w:tr w:rsidR="003B5102" w:rsidRPr="000A5FCE" w14:paraId="0E632741" w14:textId="77777777" w:rsidTr="00CB1BEA">
        <w:tc>
          <w:tcPr>
            <w:tcW w:w="0" w:type="auto"/>
            <w:hideMark/>
          </w:tcPr>
          <w:p w14:paraId="020948B8"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P08</w:t>
            </w:r>
          </w:p>
        </w:tc>
        <w:tc>
          <w:tcPr>
            <w:tcW w:w="0" w:type="auto"/>
            <w:hideMark/>
          </w:tcPr>
          <w:p w14:paraId="393767E0"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1D98DC9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41–45</w:t>
            </w:r>
          </w:p>
        </w:tc>
        <w:tc>
          <w:tcPr>
            <w:tcW w:w="0" w:type="auto"/>
            <w:hideMark/>
          </w:tcPr>
          <w:p w14:paraId="6FD7FA0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Postgraduate</w:t>
            </w:r>
          </w:p>
        </w:tc>
        <w:tc>
          <w:tcPr>
            <w:tcW w:w="0" w:type="auto"/>
            <w:hideMark/>
          </w:tcPr>
          <w:p w14:paraId="4BA10058"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&gt;15</w:t>
            </w:r>
          </w:p>
        </w:tc>
        <w:tc>
          <w:tcPr>
            <w:tcW w:w="0" w:type="auto"/>
            <w:hideMark/>
          </w:tcPr>
          <w:p w14:paraId="7A97033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w:t>
            </w:r>
          </w:p>
        </w:tc>
      </w:tr>
      <w:tr w:rsidR="003B5102" w:rsidRPr="000A5FCE" w14:paraId="586716C2" w14:textId="77777777" w:rsidTr="00CB1BEA">
        <w:tc>
          <w:tcPr>
            <w:tcW w:w="0" w:type="auto"/>
            <w:hideMark/>
          </w:tcPr>
          <w:p w14:paraId="0CE5AD2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P09</w:t>
            </w:r>
          </w:p>
        </w:tc>
        <w:tc>
          <w:tcPr>
            <w:tcW w:w="0" w:type="auto"/>
            <w:hideMark/>
          </w:tcPr>
          <w:p w14:paraId="6231528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19386502"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31–35</w:t>
            </w:r>
          </w:p>
        </w:tc>
        <w:tc>
          <w:tcPr>
            <w:tcW w:w="0" w:type="auto"/>
            <w:hideMark/>
          </w:tcPr>
          <w:p w14:paraId="2735CE9C"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5643F0F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≤5</w:t>
            </w:r>
          </w:p>
        </w:tc>
        <w:tc>
          <w:tcPr>
            <w:tcW w:w="0" w:type="auto"/>
            <w:hideMark/>
          </w:tcPr>
          <w:p w14:paraId="078019B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w:t>
            </w:r>
          </w:p>
        </w:tc>
      </w:tr>
      <w:tr w:rsidR="003B5102" w:rsidRPr="000A5FCE" w14:paraId="43D773DF" w14:textId="77777777" w:rsidTr="00CB1BEA">
        <w:tc>
          <w:tcPr>
            <w:tcW w:w="0" w:type="auto"/>
            <w:hideMark/>
          </w:tcPr>
          <w:p w14:paraId="05E100CC"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P10</w:t>
            </w:r>
          </w:p>
        </w:tc>
        <w:tc>
          <w:tcPr>
            <w:tcW w:w="0" w:type="auto"/>
            <w:hideMark/>
          </w:tcPr>
          <w:p w14:paraId="23E8504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225D6AAC"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36–40</w:t>
            </w:r>
          </w:p>
        </w:tc>
        <w:tc>
          <w:tcPr>
            <w:tcW w:w="0" w:type="auto"/>
            <w:hideMark/>
          </w:tcPr>
          <w:p w14:paraId="3A56948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268CC600"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6–10</w:t>
            </w:r>
          </w:p>
        </w:tc>
        <w:tc>
          <w:tcPr>
            <w:tcW w:w="0" w:type="auto"/>
            <w:hideMark/>
          </w:tcPr>
          <w:p w14:paraId="0194C85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w:t>
            </w:r>
          </w:p>
        </w:tc>
      </w:tr>
      <w:tr w:rsidR="003B5102" w:rsidRPr="000A5FCE" w14:paraId="31F2D6FC" w14:textId="77777777" w:rsidTr="00CB1BEA">
        <w:tc>
          <w:tcPr>
            <w:tcW w:w="0" w:type="auto"/>
            <w:hideMark/>
          </w:tcPr>
          <w:p w14:paraId="3B8514EB"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P11</w:t>
            </w:r>
          </w:p>
        </w:tc>
        <w:tc>
          <w:tcPr>
            <w:tcW w:w="0" w:type="auto"/>
            <w:hideMark/>
          </w:tcPr>
          <w:p w14:paraId="7B8057A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05B0A60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46–51</w:t>
            </w:r>
          </w:p>
        </w:tc>
        <w:tc>
          <w:tcPr>
            <w:tcW w:w="0" w:type="auto"/>
            <w:hideMark/>
          </w:tcPr>
          <w:p w14:paraId="329C4C38"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Postgraduate</w:t>
            </w:r>
          </w:p>
        </w:tc>
        <w:tc>
          <w:tcPr>
            <w:tcW w:w="0" w:type="auto"/>
            <w:hideMark/>
          </w:tcPr>
          <w:p w14:paraId="3124C6D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&gt;15</w:t>
            </w:r>
          </w:p>
        </w:tc>
        <w:tc>
          <w:tcPr>
            <w:tcW w:w="0" w:type="auto"/>
            <w:hideMark/>
          </w:tcPr>
          <w:p w14:paraId="6AED701C"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w:t>
            </w:r>
          </w:p>
        </w:tc>
      </w:tr>
      <w:tr w:rsidR="003B5102" w:rsidRPr="000A5FCE" w14:paraId="6E135E73" w14:textId="77777777" w:rsidTr="00CB1BEA">
        <w:tc>
          <w:tcPr>
            <w:tcW w:w="0" w:type="auto"/>
            <w:hideMark/>
          </w:tcPr>
          <w:p w14:paraId="4C2E624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P12</w:t>
            </w:r>
          </w:p>
        </w:tc>
        <w:tc>
          <w:tcPr>
            <w:tcW w:w="0" w:type="auto"/>
            <w:hideMark/>
          </w:tcPr>
          <w:p w14:paraId="2A7D2AB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1EDD728C"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31–35</w:t>
            </w:r>
          </w:p>
        </w:tc>
        <w:tc>
          <w:tcPr>
            <w:tcW w:w="0" w:type="auto"/>
            <w:hideMark/>
          </w:tcPr>
          <w:p w14:paraId="409F2578"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346D4F0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6–10</w:t>
            </w:r>
          </w:p>
        </w:tc>
        <w:tc>
          <w:tcPr>
            <w:tcW w:w="0" w:type="auto"/>
            <w:hideMark/>
          </w:tcPr>
          <w:p w14:paraId="607E731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C</w:t>
            </w:r>
          </w:p>
        </w:tc>
      </w:tr>
      <w:tr w:rsidR="003B5102" w:rsidRPr="000A5FCE" w14:paraId="21C48A22" w14:textId="77777777" w:rsidTr="00CB1BEA">
        <w:tc>
          <w:tcPr>
            <w:tcW w:w="0" w:type="auto"/>
            <w:hideMark/>
          </w:tcPr>
          <w:p w14:paraId="781B5B15"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P13</w:t>
            </w:r>
          </w:p>
        </w:tc>
        <w:tc>
          <w:tcPr>
            <w:tcW w:w="0" w:type="auto"/>
            <w:hideMark/>
          </w:tcPr>
          <w:p w14:paraId="4C8237D4"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3AA49BF4"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36–40</w:t>
            </w:r>
          </w:p>
        </w:tc>
        <w:tc>
          <w:tcPr>
            <w:tcW w:w="0" w:type="auto"/>
            <w:hideMark/>
          </w:tcPr>
          <w:p w14:paraId="07C09DC4"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03711A8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6–10</w:t>
            </w:r>
          </w:p>
        </w:tc>
        <w:tc>
          <w:tcPr>
            <w:tcW w:w="0" w:type="auto"/>
            <w:hideMark/>
          </w:tcPr>
          <w:p w14:paraId="251495D3"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C</w:t>
            </w:r>
          </w:p>
        </w:tc>
      </w:tr>
      <w:tr w:rsidR="003B5102" w:rsidRPr="000A5FCE" w14:paraId="289B981D" w14:textId="77777777" w:rsidTr="00CB1BEA">
        <w:tc>
          <w:tcPr>
            <w:tcW w:w="0" w:type="auto"/>
            <w:hideMark/>
          </w:tcPr>
          <w:p w14:paraId="0BF402F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P14</w:t>
            </w:r>
          </w:p>
        </w:tc>
        <w:tc>
          <w:tcPr>
            <w:tcW w:w="0" w:type="auto"/>
            <w:hideMark/>
          </w:tcPr>
          <w:p w14:paraId="2B224B38"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5DAC717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26–30</w:t>
            </w:r>
          </w:p>
        </w:tc>
        <w:tc>
          <w:tcPr>
            <w:tcW w:w="0" w:type="auto"/>
            <w:hideMark/>
          </w:tcPr>
          <w:p w14:paraId="58D702D5"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4B9485E3"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≤5</w:t>
            </w:r>
          </w:p>
        </w:tc>
        <w:tc>
          <w:tcPr>
            <w:tcW w:w="0" w:type="auto"/>
            <w:hideMark/>
          </w:tcPr>
          <w:p w14:paraId="1BE12D82"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C</w:t>
            </w:r>
          </w:p>
        </w:tc>
      </w:tr>
      <w:tr w:rsidR="003B5102" w:rsidRPr="000A5FCE" w14:paraId="0367925B" w14:textId="77777777" w:rsidTr="00CB1BEA">
        <w:tc>
          <w:tcPr>
            <w:tcW w:w="0" w:type="auto"/>
            <w:hideMark/>
          </w:tcPr>
          <w:p w14:paraId="742759B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P15</w:t>
            </w:r>
          </w:p>
        </w:tc>
        <w:tc>
          <w:tcPr>
            <w:tcW w:w="0" w:type="auto"/>
            <w:hideMark/>
          </w:tcPr>
          <w:p w14:paraId="24AA9342"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3EE01E8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41–45</w:t>
            </w:r>
          </w:p>
        </w:tc>
        <w:tc>
          <w:tcPr>
            <w:tcW w:w="0" w:type="auto"/>
            <w:hideMark/>
          </w:tcPr>
          <w:p w14:paraId="0CD40329"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Postgraduate</w:t>
            </w:r>
          </w:p>
        </w:tc>
        <w:tc>
          <w:tcPr>
            <w:tcW w:w="0" w:type="auto"/>
            <w:hideMark/>
          </w:tcPr>
          <w:p w14:paraId="3C89EAA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11–15</w:t>
            </w:r>
          </w:p>
        </w:tc>
        <w:tc>
          <w:tcPr>
            <w:tcW w:w="0" w:type="auto"/>
            <w:hideMark/>
          </w:tcPr>
          <w:p w14:paraId="11FBC95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C</w:t>
            </w:r>
          </w:p>
        </w:tc>
      </w:tr>
      <w:tr w:rsidR="003B5102" w:rsidRPr="000A5FCE" w14:paraId="66606990" w14:textId="77777777" w:rsidTr="00CB1BEA">
        <w:tc>
          <w:tcPr>
            <w:tcW w:w="0" w:type="auto"/>
            <w:hideMark/>
          </w:tcPr>
          <w:p w14:paraId="376663A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P16</w:t>
            </w:r>
          </w:p>
        </w:tc>
        <w:tc>
          <w:tcPr>
            <w:tcW w:w="0" w:type="auto"/>
            <w:hideMark/>
          </w:tcPr>
          <w:p w14:paraId="6E0AF402"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353FDCD9"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31–35</w:t>
            </w:r>
          </w:p>
        </w:tc>
        <w:tc>
          <w:tcPr>
            <w:tcW w:w="0" w:type="auto"/>
            <w:hideMark/>
          </w:tcPr>
          <w:p w14:paraId="4FC672E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0B3353F4"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6–10</w:t>
            </w:r>
          </w:p>
        </w:tc>
        <w:tc>
          <w:tcPr>
            <w:tcW w:w="0" w:type="auto"/>
            <w:hideMark/>
          </w:tcPr>
          <w:p w14:paraId="4B285C0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C</w:t>
            </w:r>
          </w:p>
        </w:tc>
      </w:tr>
      <w:tr w:rsidR="003B5102" w:rsidRPr="000A5FCE" w14:paraId="64EC9581" w14:textId="77777777" w:rsidTr="00CB1BEA">
        <w:tc>
          <w:tcPr>
            <w:tcW w:w="0" w:type="auto"/>
            <w:hideMark/>
          </w:tcPr>
          <w:p w14:paraId="1BBEA968"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P17</w:t>
            </w:r>
          </w:p>
        </w:tc>
        <w:tc>
          <w:tcPr>
            <w:tcW w:w="0" w:type="auto"/>
            <w:hideMark/>
          </w:tcPr>
          <w:p w14:paraId="7C75CA6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4DE3BB05"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36–40</w:t>
            </w:r>
          </w:p>
        </w:tc>
        <w:tc>
          <w:tcPr>
            <w:tcW w:w="0" w:type="auto"/>
            <w:hideMark/>
          </w:tcPr>
          <w:p w14:paraId="451EBED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478D471B"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6–10</w:t>
            </w:r>
          </w:p>
        </w:tc>
        <w:tc>
          <w:tcPr>
            <w:tcW w:w="0" w:type="auto"/>
            <w:hideMark/>
          </w:tcPr>
          <w:p w14:paraId="11EDA55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C</w:t>
            </w:r>
          </w:p>
        </w:tc>
      </w:tr>
      <w:tr w:rsidR="003B5102" w:rsidRPr="000A5FCE" w14:paraId="7658E59B" w14:textId="77777777" w:rsidTr="00CB1BEA">
        <w:tc>
          <w:tcPr>
            <w:tcW w:w="0" w:type="auto"/>
            <w:hideMark/>
          </w:tcPr>
          <w:p w14:paraId="633057B8"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P18</w:t>
            </w:r>
          </w:p>
        </w:tc>
        <w:tc>
          <w:tcPr>
            <w:tcW w:w="0" w:type="auto"/>
            <w:hideMark/>
          </w:tcPr>
          <w:p w14:paraId="50A21039"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74554780"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46–51</w:t>
            </w:r>
          </w:p>
        </w:tc>
        <w:tc>
          <w:tcPr>
            <w:tcW w:w="0" w:type="auto"/>
            <w:hideMark/>
          </w:tcPr>
          <w:p w14:paraId="0090D13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Postgraduate</w:t>
            </w:r>
          </w:p>
        </w:tc>
        <w:tc>
          <w:tcPr>
            <w:tcW w:w="0" w:type="auto"/>
            <w:hideMark/>
          </w:tcPr>
          <w:p w14:paraId="4EB6C581"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&gt;15</w:t>
            </w:r>
          </w:p>
        </w:tc>
        <w:tc>
          <w:tcPr>
            <w:tcW w:w="0" w:type="auto"/>
            <w:hideMark/>
          </w:tcPr>
          <w:p w14:paraId="54C3CB3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D</w:t>
            </w:r>
          </w:p>
        </w:tc>
      </w:tr>
      <w:tr w:rsidR="003B5102" w:rsidRPr="000A5FCE" w14:paraId="050027DA" w14:textId="77777777" w:rsidTr="00CB1BEA">
        <w:tc>
          <w:tcPr>
            <w:tcW w:w="0" w:type="auto"/>
            <w:hideMark/>
          </w:tcPr>
          <w:p w14:paraId="4B6D7494"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P19</w:t>
            </w:r>
          </w:p>
        </w:tc>
        <w:tc>
          <w:tcPr>
            <w:tcW w:w="0" w:type="auto"/>
            <w:hideMark/>
          </w:tcPr>
          <w:p w14:paraId="411E229D"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3C22BA80"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31–35</w:t>
            </w:r>
          </w:p>
        </w:tc>
        <w:tc>
          <w:tcPr>
            <w:tcW w:w="0" w:type="auto"/>
            <w:hideMark/>
          </w:tcPr>
          <w:p w14:paraId="56D0954B"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1AFC50F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≤5</w:t>
            </w:r>
          </w:p>
        </w:tc>
        <w:tc>
          <w:tcPr>
            <w:tcW w:w="0" w:type="auto"/>
            <w:hideMark/>
          </w:tcPr>
          <w:p w14:paraId="5CBACAB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D</w:t>
            </w:r>
          </w:p>
        </w:tc>
      </w:tr>
      <w:tr w:rsidR="003B5102" w:rsidRPr="000A5FCE" w14:paraId="7D60DEE0" w14:textId="77777777" w:rsidTr="00CB1BEA">
        <w:tc>
          <w:tcPr>
            <w:tcW w:w="0" w:type="auto"/>
            <w:hideMark/>
          </w:tcPr>
          <w:p w14:paraId="72058758"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P20</w:t>
            </w:r>
          </w:p>
        </w:tc>
        <w:tc>
          <w:tcPr>
            <w:tcW w:w="0" w:type="auto"/>
            <w:hideMark/>
          </w:tcPr>
          <w:p w14:paraId="5926412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2B9ECE63"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36–40</w:t>
            </w:r>
          </w:p>
        </w:tc>
        <w:tc>
          <w:tcPr>
            <w:tcW w:w="0" w:type="auto"/>
            <w:hideMark/>
          </w:tcPr>
          <w:p w14:paraId="3D8A3D92"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7B68EF5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11–15</w:t>
            </w:r>
          </w:p>
        </w:tc>
        <w:tc>
          <w:tcPr>
            <w:tcW w:w="0" w:type="auto"/>
            <w:hideMark/>
          </w:tcPr>
          <w:p w14:paraId="03B2CCA1"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D</w:t>
            </w:r>
          </w:p>
        </w:tc>
      </w:tr>
      <w:tr w:rsidR="003B5102" w:rsidRPr="000A5FCE" w14:paraId="3C59ABED" w14:textId="77777777" w:rsidTr="00CB1BEA">
        <w:tc>
          <w:tcPr>
            <w:tcW w:w="0" w:type="auto"/>
            <w:hideMark/>
          </w:tcPr>
          <w:p w14:paraId="085345E4"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P21</w:t>
            </w:r>
          </w:p>
        </w:tc>
        <w:tc>
          <w:tcPr>
            <w:tcW w:w="0" w:type="auto"/>
            <w:hideMark/>
          </w:tcPr>
          <w:p w14:paraId="7DAD01E2"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712E34E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26–30</w:t>
            </w:r>
          </w:p>
        </w:tc>
        <w:tc>
          <w:tcPr>
            <w:tcW w:w="0" w:type="auto"/>
            <w:hideMark/>
          </w:tcPr>
          <w:p w14:paraId="7CC04A39"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77EC668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≤5</w:t>
            </w:r>
          </w:p>
        </w:tc>
        <w:tc>
          <w:tcPr>
            <w:tcW w:w="0" w:type="auto"/>
            <w:hideMark/>
          </w:tcPr>
          <w:p w14:paraId="4326A376"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D</w:t>
            </w:r>
          </w:p>
        </w:tc>
      </w:tr>
      <w:tr w:rsidR="003B5102" w:rsidRPr="000A5FCE" w14:paraId="69E9E669" w14:textId="77777777" w:rsidTr="00CB1BEA">
        <w:tc>
          <w:tcPr>
            <w:tcW w:w="0" w:type="auto"/>
            <w:hideMark/>
          </w:tcPr>
          <w:p w14:paraId="57257691"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P22</w:t>
            </w:r>
          </w:p>
        </w:tc>
        <w:tc>
          <w:tcPr>
            <w:tcW w:w="0" w:type="auto"/>
            <w:hideMark/>
          </w:tcPr>
          <w:p w14:paraId="53427FDA"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Female</w:t>
            </w:r>
          </w:p>
        </w:tc>
        <w:tc>
          <w:tcPr>
            <w:tcW w:w="0" w:type="auto"/>
            <w:hideMark/>
          </w:tcPr>
          <w:p w14:paraId="392FAC9B"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41–45</w:t>
            </w:r>
          </w:p>
        </w:tc>
        <w:tc>
          <w:tcPr>
            <w:tcW w:w="0" w:type="auto"/>
            <w:hideMark/>
          </w:tcPr>
          <w:p w14:paraId="3DCC5C45"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Postgraduate</w:t>
            </w:r>
          </w:p>
        </w:tc>
        <w:tc>
          <w:tcPr>
            <w:tcW w:w="0" w:type="auto"/>
            <w:hideMark/>
          </w:tcPr>
          <w:p w14:paraId="63FCA84B"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11–15</w:t>
            </w:r>
          </w:p>
        </w:tc>
        <w:tc>
          <w:tcPr>
            <w:tcW w:w="0" w:type="auto"/>
            <w:hideMark/>
          </w:tcPr>
          <w:p w14:paraId="6ED12E4B"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D</w:t>
            </w:r>
          </w:p>
        </w:tc>
      </w:tr>
      <w:tr w:rsidR="003B5102" w:rsidRPr="000A5FCE" w14:paraId="3B7C63DA" w14:textId="77777777" w:rsidTr="00CB1BEA">
        <w:tc>
          <w:tcPr>
            <w:tcW w:w="0" w:type="auto"/>
            <w:hideMark/>
          </w:tcPr>
          <w:p w14:paraId="4D392B07"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P23</w:t>
            </w:r>
          </w:p>
        </w:tc>
        <w:tc>
          <w:tcPr>
            <w:tcW w:w="0" w:type="auto"/>
            <w:hideMark/>
          </w:tcPr>
          <w:p w14:paraId="25348010"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Male</w:t>
            </w:r>
          </w:p>
        </w:tc>
        <w:tc>
          <w:tcPr>
            <w:tcW w:w="0" w:type="auto"/>
            <w:hideMark/>
          </w:tcPr>
          <w:p w14:paraId="6A21BB74"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36–40</w:t>
            </w:r>
          </w:p>
        </w:tc>
        <w:tc>
          <w:tcPr>
            <w:tcW w:w="0" w:type="auto"/>
            <w:hideMark/>
          </w:tcPr>
          <w:p w14:paraId="3604281E"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BSN</w:t>
            </w:r>
          </w:p>
        </w:tc>
        <w:tc>
          <w:tcPr>
            <w:tcW w:w="0" w:type="auto"/>
            <w:hideMark/>
          </w:tcPr>
          <w:p w14:paraId="5883E681"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 xml:space="preserve">6–10</w:t>
            </w:r>
          </w:p>
        </w:tc>
        <w:tc>
          <w:tcPr>
            <w:tcW w:w="0" w:type="auto"/>
            <w:hideMark/>
          </w:tcPr>
          <w:p w14:paraId="572EDA5F" w14:textId="77777777" w:rsidR="003B5102" w:rsidRPr="000A5FCE" w:rsidRDefault="003B5102" w:rsidP="00820476">
            <w:pPr>
              <w:bidi w:val="0"/>
              <w:spacing w:line="276" w:lineRule="auto"/>
              <w:jc w:val="center"/>
              <w:rPr>
                <w:rFonts w:asciiTheme="majorBidi" w:hAnsiTheme="majorBidi" w:cstheme="majorBidi"/>
                <w:sz w:val="22"/>
                <w:szCs w:val="22"/>
              </w:rPr>
            </w:pPr>
            <w:r>
              <w:rPr>
                <w:rFonts w:asciiTheme="majorBidi" w:hAnsiTheme="majorBidi" w:cstheme="majorBidi"/>
                <w:sz w:val="22"/>
                <w:szCs w:val="22"/>
              </w:rPr>
              <w:t>D</w:t>
            </w:r>
          </w:p>
        </w:tc>
      </w:tr>
    </w:tbl>
    <w:p>
      <w:pPr>
        <w:bidi w:val="0"/>
        <w:spacing w:line="360" w:lineRule="auto"/>
        <w:jc w:val="both"/>
        <w:rPr>
          <w:rFonts w:asciiTheme="majorBidi" w:hAnsiTheme="majorBidi" w:cstheme="majorBidi"/>
        </w:rPr>
      </w:pPr>
      <w:r>
        <w:rPr>
          <w:rFonts w:asciiTheme="majorBidi" w:hAnsiTheme="majorBidi" w:cstheme="majorBidi"/>
          <w:sz w:val="20"/>
          <w:szCs w:val="20"/>
        </w:rPr>
        <w:t xml:space="preserve">Note: To protect participant confidentiality, nationality is reported only in aggregate in the text, critical care experience is presented in bands, and postgraduate qualifications are combined. BSN, Bachelor of Science in Nursing; ICU, intensive care unit; Postgraduate, Master of Science in Nursing (n = 5) or doctoral degree (n = 1).</w:t>
      </w:r>
    </w:p>
    <w:p w14:paraId="7B4831A6" w14:textId="77777777" w:rsidR="00C67390" w:rsidRDefault="00C67390" w:rsidP="00AD619E">
      <w:pPr>
        <w:bidi w:val="0"/>
        <w:spacing w:after="0" w:line="240" w:lineRule="auto"/>
        <w:ind w:firstLine="720"/>
        <w:jc w:val="both"/>
        <w:rPr>
          <w:rFonts w:asciiTheme="majorBidi" w:hAnsiTheme="majorBidi" w:cstheme="majorBidi"/>
        </w:rPr>
      </w:pPr>
    </w:p>
    <w:p w14:paraId="2E0F66E8" w14:textId="60997C73" w:rsidR="003B5102" w:rsidRPr="003B5102" w:rsidRDefault="003B5102" w:rsidP="00C67390">
      <w:pPr>
        <w:bidi w:val="0"/>
        <w:spacing w:line="360" w:lineRule="auto"/>
        <w:ind w:firstLine="720"/>
        <w:jc w:val="both"/>
        <w:rPr>
          <w:rFonts w:asciiTheme="majorBidi" w:hAnsiTheme="majorBidi" w:cstheme="majorBidi"/>
        </w:rPr>
      </w:pPr>
      <w:r>
        <w:rPr>
          <w:rFonts w:asciiTheme="majorBidi" w:hAnsiTheme="majorBidi" w:cstheme="majorBidi"/>
        </w:rPr>
        <w:t xml:space="preserve">Slightly more than half of the participants were female (n = 12, 52%), and the sample included participants from six nationalities:</w:t>
      </w:r>
      <w:r>
        <w:rPr>
          <w:rFonts w:asciiTheme="majorBidi" w:hAnsiTheme="majorBidi" w:cstheme="majorBidi"/>
        </w:rPr>
        <w:t xml:space="preserve"> Saudi Arabia (n = 7), the Philippines (n = 5), Jordan (n = 3), Egypt (n = 3), India (n = 3), and Sudan (n = 2).</w:t>
      </w:r>
      <w:r>
        <w:rPr>
          <w:rFonts w:asciiTheme="majorBidi" w:hAnsiTheme="majorBidi" w:cstheme="majorBidi"/>
        </w:rPr>
        <w:t xml:space="preserve"> Most participants held a Bachelor of Science in Nursing (BSN; n = 17), five held a Master of Science in Nursing (MSN), and one held a doctoral qualification.</w:t>
      </w:r>
      <w:r>
        <w:rPr>
          <w:rFonts w:asciiTheme="majorBidi" w:hAnsiTheme="majorBidi" w:cstheme="majorBidi"/>
        </w:rPr>
        <w:t xml:space="preserve"> All four hospital sites were represented, with five or six participants per site.</w:t>
      </w:r>
    </w:p>
    <w:p w14:paraId="1FEB9B6A"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3.2 Overview of Interpretive Themes</w:t>
      </w:r>
    </w:p>
    <w:p w14:paraId="7A159BDD" w14:textId="44C3039E" w:rsidR="00820476" w:rsidRPr="00820476" w:rsidRDefault="003B5102" w:rsidP="00162C60">
      <w:pPr>
        <w:bidi w:val="0"/>
        <w:spacing w:line="360" w:lineRule="auto"/>
        <w:ind w:firstLine="720"/>
        <w:jc w:val="both"/>
        <w:rPr>
          <w:rFonts w:asciiTheme="majorBidi" w:hAnsiTheme="majorBidi" w:cstheme="majorBidi"/>
        </w:rPr>
      </w:pPr>
      <w:r>
        <w:rPr>
          <w:rFonts w:asciiTheme="majorBidi" w:hAnsiTheme="majorBidi" w:cstheme="majorBidi"/>
        </w:rPr>
        <w:t xml:space="preserve">Analysis of the 23 interview transcripts generated four interpretive themes, each comprising two or three subthemes, that together illuminate how critical care nurses experienced AI-assisted early warning systems in relation to clinical judgment and patient safety. The themes move from nurses’ early and evolving encounters with AI-assisted systems, through the interpretive work of alert-informed decision-making, to nurses’ perceptions of patient safety implications and the contextual conditions shaping these experiences. Interpretive sufficiency was achieved across the dataset, with accumulated accounts providing a contextually rich and analytically generative basis for interpretation across participants, sites, experience levels, and nationalities.</w:t>
      </w:r>
      <w:r>
        <w:rPr>
          <w:rFonts w:asciiTheme="majorBidi" w:hAnsiTheme="majorBidi" w:cstheme="majorBidi"/>
        </w:rPr>
        <w:t xml:space="preserve"> The thematic structure is presented in Table 3.</w:t>
      </w:r>
    </w:p>
    <w:p w14:paraId="5ABC5698" w14:textId="55DC98DC" w:rsidR="003B5102" w:rsidRPr="003B5102" w:rsidRDefault="003B5102" w:rsidP="00AD619E">
      <w:pPr>
        <w:bidi w:val="0"/>
        <w:spacing w:line="360" w:lineRule="auto"/>
        <w:jc w:val="both"/>
        <w:rPr>
          <w:rFonts w:asciiTheme="majorBidi" w:hAnsiTheme="majorBidi" w:cstheme="majorBidi"/>
        </w:rPr>
      </w:pPr>
      <w:r>
        <w:rPr>
          <w:rFonts w:asciiTheme="majorBidi" w:hAnsiTheme="majorBidi" w:cstheme="majorBidi"/>
          <w:b/>
          <w:bCs/>
        </w:rPr>
        <w:t xml:space="preserve">Table 3. </w:t>
      </w:r>
      <w:r>
        <w:rPr>
          <w:rFonts w:asciiTheme="majorBidi" w:hAnsiTheme="majorBidi" w:cstheme="majorBidi"/>
        </w:rPr>
        <w:t>Interpretive Themes and Subthemes Reflecting Critical Care Nurses’ Experiences of AI-Assisted Early Warning Systems, Clinical Judgment, and Patient Safety in Saudi Arabia (N = 23)</w:t>
      </w:r>
    </w:p>
    <w:tbl>
      <w:tblPr>
        <w:tblStyle w:val="TableGrid"/>
        <w:tblW w:w="0" w:type="auto"/>
        <w:tblLayout w:type="fixed"/>
        <w:tblLook w:val="04A0" w:firstRow="1" w:lastRow="0" w:firstColumn="1" w:lastColumn="0" w:noHBand="0" w:noVBand="1"/>
      </w:tblPr>
      <w:tblGrid>
        <w:gridCol w:w="3145"/>
        <w:gridCol w:w="2700"/>
        <w:gridCol w:w="3685"/>
      </w:tblGrid>
      <w:tr w:rsidR="003B5102" w:rsidRPr="000A5FCE" w14:paraId="2EB7A4D5" w14:textId="77777777" w:rsidTr="000A5FCE">
        <w:tc>
          <w:tcPr>
            <w:tcW w:w="3145" w:type="dxa"/>
            <w:shd w:val="clear" w:color="auto" w:fill="DAE9F7" w:themeFill="text2" w:themeFillTint="1A"/>
            <w:hideMark/>
          </w:tcPr>
          <w:p w14:paraId="0652F2FE" w14:textId="77777777" w:rsidR="003B5102" w:rsidRPr="000A5FCE" w:rsidRDefault="003B5102" w:rsidP="00C67390">
            <w:pPr>
              <w:bidi w:val="0"/>
              <w:spacing w:line="360" w:lineRule="auto"/>
              <w:jc w:val="center"/>
              <w:rPr>
                <w:rFonts w:asciiTheme="majorBidi" w:hAnsiTheme="majorBidi" w:cstheme="majorBidi"/>
                <w:b/>
                <w:bCs/>
                <w:sz w:val="22"/>
                <w:szCs w:val="22"/>
              </w:rPr>
            </w:pPr>
            <w:r>
              <w:rPr>
                <w:rFonts w:asciiTheme="majorBidi" w:hAnsiTheme="majorBidi" w:cstheme="majorBidi"/>
                <w:b/>
                <w:bCs/>
                <w:sz w:val="22"/>
                <w:szCs w:val="22"/>
              </w:rPr>
              <w:t>Theme</w:t>
            </w:r>
          </w:p>
        </w:tc>
        <w:tc>
          <w:tcPr>
            <w:tcW w:w="2700" w:type="dxa"/>
            <w:shd w:val="clear" w:color="auto" w:fill="DAE9F7" w:themeFill="text2" w:themeFillTint="1A"/>
            <w:hideMark/>
          </w:tcPr>
          <w:p w14:paraId="3740B1B9" w14:textId="77777777" w:rsidR="003B5102" w:rsidRPr="000A5FCE" w:rsidRDefault="003B5102" w:rsidP="00C67390">
            <w:pPr>
              <w:bidi w:val="0"/>
              <w:spacing w:line="360" w:lineRule="auto"/>
              <w:jc w:val="center"/>
              <w:rPr>
                <w:rFonts w:asciiTheme="majorBidi" w:hAnsiTheme="majorBidi" w:cstheme="majorBidi"/>
                <w:b/>
                <w:bCs/>
                <w:sz w:val="22"/>
                <w:szCs w:val="22"/>
              </w:rPr>
            </w:pPr>
            <w:r>
              <w:rPr>
                <w:rFonts w:asciiTheme="majorBidi" w:hAnsiTheme="majorBidi" w:cstheme="majorBidi"/>
                <w:b/>
                <w:bCs/>
                <w:sz w:val="22"/>
                <w:szCs w:val="22"/>
              </w:rPr>
              <w:t>Subtheme</w:t>
            </w:r>
          </w:p>
        </w:tc>
        <w:tc>
          <w:tcPr>
            <w:tcW w:w="3685" w:type="dxa"/>
            <w:shd w:val="clear" w:color="auto" w:fill="DAE9F7" w:themeFill="text2" w:themeFillTint="1A"/>
            <w:hideMark/>
          </w:tcPr>
          <w:p w14:paraId="47EEC991" w14:textId="77777777" w:rsidR="003B5102" w:rsidRPr="000A5FCE" w:rsidRDefault="003B5102" w:rsidP="00C67390">
            <w:pPr>
              <w:bidi w:val="0"/>
              <w:spacing w:line="360" w:lineRule="auto"/>
              <w:jc w:val="center"/>
              <w:rPr>
                <w:rFonts w:asciiTheme="majorBidi" w:hAnsiTheme="majorBidi" w:cstheme="majorBidi"/>
                <w:b/>
                <w:bCs/>
                <w:sz w:val="22"/>
                <w:szCs w:val="22"/>
              </w:rPr>
            </w:pPr>
            <w:r>
              <w:rPr>
                <w:rFonts w:asciiTheme="majorBidi" w:hAnsiTheme="majorBidi" w:cstheme="majorBidi"/>
                <w:b/>
                <w:bCs/>
                <w:sz w:val="22"/>
                <w:szCs w:val="22"/>
              </w:rPr>
              <w:t>Descriptor</w:t>
            </w:r>
          </w:p>
        </w:tc>
      </w:tr>
      <w:tr w:rsidR="003B5102" w:rsidRPr="000A5FCE" w14:paraId="5E5BC82E" w14:textId="77777777" w:rsidTr="00B367FB">
        <w:tc>
          <w:tcPr>
            <w:tcW w:w="3145" w:type="dxa"/>
            <w:hideMark/>
          </w:tcPr>
          <w:p w14:paraId="563B3B19"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b/>
                <w:bCs/>
                <w:sz w:val="22"/>
                <w:szCs w:val="22"/>
              </w:rPr>
              <w:t>Theme 1.</w:t>
            </w:r>
            <w:r>
              <w:rPr>
                <w:rFonts w:asciiTheme="majorBidi" w:hAnsiTheme="majorBidi" w:cstheme="majorBidi"/>
                <w:sz w:val="22"/>
                <w:szCs w:val="22"/>
              </w:rPr>
              <w:t xml:space="preserve"> Learning to Read the Machine: Nurses’ Initial and Evolving Encounters With AI-Assisted Early Warning Systems</w:t>
            </w:r>
          </w:p>
        </w:tc>
        <w:tc>
          <w:tcPr>
            <w:tcW w:w="2700" w:type="dxa"/>
            <w:hideMark/>
          </w:tcPr>
          <w:p w14:paraId="3956FF01"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1.1 First encounters and orientation</w:t>
            </w:r>
          </w:p>
        </w:tc>
        <w:tc>
          <w:tcPr>
            <w:tcW w:w="3685" w:type="dxa"/>
            <w:hideMark/>
          </w:tcPr>
          <w:p w14:paraId="5981A9CB"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How nurses were introduced to AI systems and formed early impressions of their clinical utility</w:t>
            </w:r>
          </w:p>
        </w:tc>
      </w:tr>
      <w:tr w:rsidR="003B5102" w:rsidRPr="000A5FCE" w14:paraId="72B952EA" w14:textId="77777777" w:rsidTr="00B367FB">
        <w:tc>
          <w:tcPr>
            <w:tcW w:w="3145" w:type="dxa"/>
            <w:hideMark/>
          </w:tcPr>
          <w:p w14:paraId="021B7B16" w14:textId="77777777" w:rsidR="003B5102" w:rsidRPr="000A5FCE" w:rsidRDefault="003B5102" w:rsidP="00C67390">
            <w:pPr>
              <w:bidi w:val="0"/>
              <w:jc w:val="both"/>
              <w:rPr>
                <w:rFonts w:asciiTheme="majorBidi" w:hAnsiTheme="majorBidi" w:cstheme="majorBidi"/>
                <w:sz w:val="22"/>
                <w:szCs w:val="22"/>
              </w:rPr>
            </w:pPr>
          </w:p>
        </w:tc>
        <w:tc>
          <w:tcPr>
            <w:tcW w:w="2700" w:type="dxa"/>
            <w:hideMark/>
          </w:tcPr>
          <w:p w14:paraId="734D9D75"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1.2 Developing a working relationship with the algorithm</w:t>
            </w:r>
          </w:p>
        </w:tc>
        <w:tc>
          <w:tcPr>
            <w:tcW w:w="3685" w:type="dxa"/>
            <w:hideMark/>
          </w:tcPr>
          <w:p w14:paraId="039E80A1"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The experience-based process through which nurses calibrated expectations of AI alerts</w:t>
            </w:r>
          </w:p>
        </w:tc>
      </w:tr>
      <w:tr w:rsidR="003B5102" w:rsidRPr="000A5FCE" w14:paraId="1FFE7530" w14:textId="77777777" w:rsidTr="00B367FB">
        <w:tc>
          <w:tcPr>
            <w:tcW w:w="3145" w:type="dxa"/>
            <w:hideMark/>
          </w:tcPr>
          <w:p w14:paraId="4AAEBE36" w14:textId="77777777" w:rsidR="003B5102" w:rsidRPr="000A5FCE" w:rsidRDefault="003B5102" w:rsidP="00C67390">
            <w:pPr>
              <w:bidi w:val="0"/>
              <w:jc w:val="both"/>
              <w:rPr>
                <w:rFonts w:asciiTheme="majorBidi" w:hAnsiTheme="majorBidi" w:cstheme="majorBidi"/>
                <w:sz w:val="22"/>
                <w:szCs w:val="22"/>
              </w:rPr>
            </w:pPr>
          </w:p>
        </w:tc>
        <w:tc>
          <w:tcPr>
            <w:tcW w:w="2700" w:type="dxa"/>
            <w:hideMark/>
          </w:tcPr>
          <w:p w14:paraId="2CC40A57"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1.3 Navigating alert volume and frequency</w:t>
            </w:r>
          </w:p>
        </w:tc>
        <w:tc>
          <w:tcPr>
            <w:tcW w:w="3685" w:type="dxa"/>
            <w:hideMark/>
          </w:tcPr>
          <w:p w14:paraId="77CD7495"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 xml:space="preserve">How alert burden shaped attention, prioritisation, and responsiveness</w:t>
            </w:r>
          </w:p>
        </w:tc>
      </w:tr>
      <w:tr w:rsidR="003B5102" w:rsidRPr="000A5FCE" w14:paraId="3B87B9CC" w14:textId="77777777" w:rsidTr="00B367FB">
        <w:tc>
          <w:tcPr>
            <w:tcW w:w="3145" w:type="dxa"/>
            <w:hideMark/>
          </w:tcPr>
          <w:p w14:paraId="7FE26C0E"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b/>
                <w:bCs/>
                <w:sz w:val="22"/>
                <w:szCs w:val="22"/>
              </w:rPr>
              <w:t>Theme 2.</w:t>
            </w:r>
            <w:r>
              <w:rPr>
                <w:rFonts w:asciiTheme="majorBidi" w:hAnsiTheme="majorBidi" w:cstheme="majorBidi"/>
                <w:sz w:val="22"/>
                <w:szCs w:val="22"/>
              </w:rPr>
              <w:t xml:space="preserve"> Between the Alert and the Bedside: The Interpretive Work of AI-Informed Clinical Judgment</w:t>
            </w:r>
          </w:p>
        </w:tc>
        <w:tc>
          <w:tcPr>
            <w:tcW w:w="2700" w:type="dxa"/>
            <w:hideMark/>
          </w:tcPr>
          <w:p w14:paraId="2C584914"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2.1 Weighing the algorithm against the patient</w:t>
            </w:r>
          </w:p>
        </w:tc>
        <w:tc>
          <w:tcPr>
            <w:tcW w:w="3685" w:type="dxa"/>
            <w:hideMark/>
          </w:tcPr>
          <w:p w14:paraId="51F83EA2"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How nurses integrated alert data with direct patient assessment</w:t>
            </w:r>
          </w:p>
        </w:tc>
      </w:tr>
      <w:tr w:rsidR="003B5102" w:rsidRPr="000A5FCE" w14:paraId="2EFB234C" w14:textId="77777777" w:rsidTr="00B367FB">
        <w:tc>
          <w:tcPr>
            <w:tcW w:w="3145" w:type="dxa"/>
            <w:hideMark/>
          </w:tcPr>
          <w:p w14:paraId="60EFA4FE" w14:textId="77777777" w:rsidR="003B5102" w:rsidRPr="000A5FCE" w:rsidRDefault="003B5102" w:rsidP="00C67390">
            <w:pPr>
              <w:bidi w:val="0"/>
              <w:jc w:val="both"/>
              <w:rPr>
                <w:rFonts w:asciiTheme="majorBidi" w:hAnsiTheme="majorBidi" w:cstheme="majorBidi"/>
                <w:sz w:val="22"/>
                <w:szCs w:val="22"/>
              </w:rPr>
            </w:pPr>
          </w:p>
        </w:tc>
        <w:tc>
          <w:tcPr>
            <w:tcW w:w="2700" w:type="dxa"/>
            <w:hideMark/>
          </w:tcPr>
          <w:p w14:paraId="649994F7"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2.2 Overriding, deferring, and negotiating</w:t>
            </w:r>
          </w:p>
        </w:tc>
        <w:tc>
          <w:tcPr>
            <w:tcW w:w="3685" w:type="dxa"/>
            <w:hideMark/>
          </w:tcPr>
          <w:p w14:paraId="72F4A8C3"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How nurses exercised, withheld, or negotiated professional judgment in response to alerts</w:t>
            </w:r>
          </w:p>
        </w:tc>
      </w:tr>
      <w:tr w:rsidR="003B5102" w:rsidRPr="000A5FCE" w14:paraId="00B0386A" w14:textId="77777777" w:rsidTr="00B367FB">
        <w:tc>
          <w:tcPr>
            <w:tcW w:w="3145" w:type="dxa"/>
            <w:hideMark/>
          </w:tcPr>
          <w:p w14:paraId="7385E828" w14:textId="77777777" w:rsidR="003B5102" w:rsidRPr="000A5FCE" w:rsidRDefault="003B5102" w:rsidP="00C67390">
            <w:pPr>
              <w:bidi w:val="0"/>
              <w:jc w:val="both"/>
              <w:rPr>
                <w:rFonts w:asciiTheme="majorBidi" w:hAnsiTheme="majorBidi" w:cstheme="majorBidi"/>
                <w:sz w:val="22"/>
                <w:szCs w:val="22"/>
              </w:rPr>
            </w:pPr>
          </w:p>
        </w:tc>
        <w:tc>
          <w:tcPr>
            <w:tcW w:w="2700" w:type="dxa"/>
            <w:hideMark/>
          </w:tcPr>
          <w:p w14:paraId="732846A8"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2.3 Decision-making under uncertainty and time pressure</w:t>
            </w:r>
          </w:p>
        </w:tc>
        <w:tc>
          <w:tcPr>
            <w:tcW w:w="3685" w:type="dxa"/>
            <w:hideMark/>
          </w:tcPr>
          <w:p w14:paraId="6B2B8C3F"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The experience of responding to alerts under clinical ambiguity and workload intensity</w:t>
            </w:r>
          </w:p>
        </w:tc>
      </w:tr>
      <w:tr w:rsidR="003B5102" w:rsidRPr="000A5FCE" w14:paraId="5544ABFA" w14:textId="77777777" w:rsidTr="00B367FB">
        <w:tc>
          <w:tcPr>
            <w:tcW w:w="3145" w:type="dxa"/>
            <w:hideMark/>
          </w:tcPr>
          <w:p w14:paraId="0370E0CD"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b/>
                <w:bCs/>
                <w:sz w:val="22"/>
                <w:szCs w:val="22"/>
              </w:rPr>
              <w:t>Theme 3.</w:t>
            </w:r>
            <w:r>
              <w:rPr>
                <w:rFonts w:asciiTheme="majorBidi" w:hAnsiTheme="majorBidi" w:cstheme="majorBidi"/>
                <w:sz w:val="22"/>
                <w:szCs w:val="22"/>
              </w:rPr>
              <w:t xml:space="preserve"> Alert, Action, and the Safety of the Patient: Nurses’ Perceptions of AI Implications for Patient Safety</w:t>
            </w:r>
          </w:p>
        </w:tc>
        <w:tc>
          <w:tcPr>
            <w:tcW w:w="2700" w:type="dxa"/>
            <w:hideMark/>
          </w:tcPr>
          <w:p w14:paraId="1C6CC4FC"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3.1 AI as a safety net: enhanced surveillance and earlier recognition</w:t>
            </w:r>
          </w:p>
        </w:tc>
        <w:tc>
          <w:tcPr>
            <w:tcW w:w="3685" w:type="dxa"/>
            <w:hideMark/>
          </w:tcPr>
          <w:p w14:paraId="13CDB27A"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How nurses experienced AI as augmenting surveillance and supporting earlier intervention</w:t>
            </w:r>
          </w:p>
        </w:tc>
      </w:tr>
      <w:tr w:rsidR="003B5102" w:rsidRPr="000A5FCE" w14:paraId="758D5B21" w14:textId="77777777" w:rsidTr="00B367FB">
        <w:tc>
          <w:tcPr>
            <w:tcW w:w="3145" w:type="dxa"/>
            <w:hideMark/>
          </w:tcPr>
          <w:p w14:paraId="46867A1D" w14:textId="77777777" w:rsidR="003B5102" w:rsidRPr="000A5FCE" w:rsidRDefault="003B5102" w:rsidP="00C67390">
            <w:pPr>
              <w:bidi w:val="0"/>
              <w:jc w:val="both"/>
              <w:rPr>
                <w:rFonts w:asciiTheme="majorBidi" w:hAnsiTheme="majorBidi" w:cstheme="majorBidi"/>
                <w:sz w:val="22"/>
                <w:szCs w:val="22"/>
              </w:rPr>
            </w:pPr>
          </w:p>
        </w:tc>
        <w:tc>
          <w:tcPr>
            <w:tcW w:w="2700" w:type="dxa"/>
            <w:hideMark/>
          </w:tcPr>
          <w:p w14:paraId="30077610"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3.2 When the system misleads: false alerts and safety risk</w:t>
            </w:r>
          </w:p>
        </w:tc>
        <w:tc>
          <w:tcPr>
            <w:tcW w:w="3685" w:type="dxa"/>
            <w:hideMark/>
          </w:tcPr>
          <w:p w14:paraId="29492140"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 xml:space="preserve">How false positives contributed to scepticism, vigilance burden, and safety concerns</w:t>
            </w:r>
          </w:p>
        </w:tc>
      </w:tr>
      <w:tr w:rsidR="003B5102" w:rsidRPr="000A5FCE" w14:paraId="57C80202" w14:textId="77777777" w:rsidTr="00B367FB">
        <w:tc>
          <w:tcPr>
            <w:tcW w:w="3145" w:type="dxa"/>
            <w:hideMark/>
          </w:tcPr>
          <w:p w14:paraId="4AEDFABF" w14:textId="77777777" w:rsidR="003B5102" w:rsidRPr="000A5FCE" w:rsidRDefault="003B5102" w:rsidP="00C67390">
            <w:pPr>
              <w:bidi w:val="0"/>
              <w:jc w:val="both"/>
              <w:rPr>
                <w:rFonts w:asciiTheme="majorBidi" w:hAnsiTheme="majorBidi" w:cstheme="majorBidi"/>
                <w:sz w:val="22"/>
                <w:szCs w:val="22"/>
              </w:rPr>
            </w:pPr>
          </w:p>
        </w:tc>
        <w:tc>
          <w:tcPr>
            <w:tcW w:w="2700" w:type="dxa"/>
            <w:hideMark/>
          </w:tcPr>
          <w:p w14:paraId="26B951AC"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3.3 The human layer of safety</w:t>
            </w:r>
          </w:p>
        </w:tc>
        <w:tc>
          <w:tcPr>
            <w:tcW w:w="3685" w:type="dxa"/>
            <w:hideMark/>
          </w:tcPr>
          <w:p w14:paraId="2E7EF69F"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The irreducible role of nursing presence, judgment, and relational awareness in safe care</w:t>
            </w:r>
          </w:p>
        </w:tc>
      </w:tr>
      <w:tr w:rsidR="003B5102" w:rsidRPr="000A5FCE" w14:paraId="27250E32" w14:textId="77777777" w:rsidTr="00B367FB">
        <w:tc>
          <w:tcPr>
            <w:tcW w:w="3145" w:type="dxa"/>
            <w:hideMark/>
          </w:tcPr>
          <w:p w14:paraId="2F01F52C"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b/>
                <w:bCs/>
                <w:sz w:val="22"/>
                <w:szCs w:val="22"/>
              </w:rPr>
              <w:t>Theme 4.</w:t>
            </w:r>
            <w:r>
              <w:rPr>
                <w:rFonts w:asciiTheme="majorBidi" w:hAnsiTheme="majorBidi" w:cstheme="majorBidi"/>
                <w:sz w:val="22"/>
                <w:szCs w:val="22"/>
              </w:rPr>
              <w:t xml:space="preserve"> The Conditions That Shape the Space Between Alert and Action: Contextual and Professional Factors Mediating Nurses’ AI Experiences</w:t>
            </w:r>
          </w:p>
        </w:tc>
        <w:tc>
          <w:tcPr>
            <w:tcW w:w="2700" w:type="dxa"/>
            <w:hideMark/>
          </w:tcPr>
          <w:p w14:paraId="792768C8"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4.1 Trust as a constructed and contingent achievement</w:t>
            </w:r>
          </w:p>
        </w:tc>
        <w:tc>
          <w:tcPr>
            <w:tcW w:w="3685" w:type="dxa"/>
            <w:hideMark/>
          </w:tcPr>
          <w:p w14:paraId="77EBABA7"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How trust in AI was built, tested, and revised through practice</w:t>
            </w:r>
          </w:p>
        </w:tc>
      </w:tr>
      <w:tr w:rsidR="003B5102" w:rsidRPr="000A5FCE" w14:paraId="70076A6E" w14:textId="77777777" w:rsidTr="00B367FB">
        <w:tc>
          <w:tcPr>
            <w:tcW w:w="3145" w:type="dxa"/>
            <w:hideMark/>
          </w:tcPr>
          <w:p w14:paraId="539E56A0" w14:textId="77777777" w:rsidR="003B5102" w:rsidRPr="000A5FCE" w:rsidRDefault="003B5102" w:rsidP="00C67390">
            <w:pPr>
              <w:bidi w:val="0"/>
              <w:jc w:val="both"/>
              <w:rPr>
                <w:rFonts w:asciiTheme="majorBidi" w:hAnsiTheme="majorBidi" w:cstheme="majorBidi"/>
                <w:sz w:val="22"/>
                <w:szCs w:val="22"/>
              </w:rPr>
            </w:pPr>
          </w:p>
        </w:tc>
        <w:tc>
          <w:tcPr>
            <w:tcW w:w="2700" w:type="dxa"/>
            <w:hideMark/>
          </w:tcPr>
          <w:p w14:paraId="7C6E1662"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4.2 Professional autonomy and institutional authority</w:t>
            </w:r>
          </w:p>
        </w:tc>
        <w:tc>
          <w:tcPr>
            <w:tcW w:w="3685" w:type="dxa"/>
            <w:hideMark/>
          </w:tcPr>
          <w:p w14:paraId="265D9AC6"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 xml:space="preserve">The relationship between nurses’ agency and organisational expectations regarding AI alerts</w:t>
            </w:r>
          </w:p>
        </w:tc>
      </w:tr>
      <w:tr w:rsidR="003B5102" w:rsidRPr="000A5FCE" w14:paraId="4EE799D9" w14:textId="77777777" w:rsidTr="00B367FB">
        <w:tc>
          <w:tcPr>
            <w:tcW w:w="3145" w:type="dxa"/>
            <w:hideMark/>
          </w:tcPr>
          <w:p w14:paraId="678AE942" w14:textId="77777777" w:rsidR="003B5102" w:rsidRPr="000A5FCE" w:rsidRDefault="003B5102" w:rsidP="00C67390">
            <w:pPr>
              <w:bidi w:val="0"/>
              <w:jc w:val="both"/>
              <w:rPr>
                <w:rFonts w:asciiTheme="majorBidi" w:hAnsiTheme="majorBidi" w:cstheme="majorBidi"/>
                <w:sz w:val="22"/>
                <w:szCs w:val="22"/>
              </w:rPr>
            </w:pPr>
          </w:p>
        </w:tc>
        <w:tc>
          <w:tcPr>
            <w:tcW w:w="2700" w:type="dxa"/>
            <w:hideMark/>
          </w:tcPr>
          <w:p w14:paraId="57236703"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4.3 Education, support, and readiness</w:t>
            </w:r>
          </w:p>
        </w:tc>
        <w:tc>
          <w:tcPr>
            <w:tcW w:w="3685" w:type="dxa"/>
            <w:hideMark/>
          </w:tcPr>
          <w:p w14:paraId="0433B65C" w14:textId="77777777" w:rsidR="003B5102" w:rsidRPr="000A5FCE" w:rsidRDefault="003B5102" w:rsidP="00C67390">
            <w:pPr>
              <w:bidi w:val="0"/>
              <w:jc w:val="both"/>
              <w:rPr>
                <w:rFonts w:asciiTheme="majorBidi" w:hAnsiTheme="majorBidi" w:cstheme="majorBidi"/>
                <w:sz w:val="22"/>
                <w:szCs w:val="22"/>
              </w:rPr>
            </w:pPr>
            <w:r>
              <w:rPr>
                <w:rFonts w:asciiTheme="majorBidi" w:hAnsiTheme="majorBidi" w:cstheme="majorBidi"/>
                <w:sz w:val="22"/>
                <w:szCs w:val="22"/>
              </w:rPr>
              <w:t>The role of training, peer support, and institutional preparation in shaping engagement with AI</w:t>
            </w:r>
          </w:p>
        </w:tc>
      </w:tr>
    </w:tbl>
    <w:p w14:paraId="3CCC6071" w14:textId="77777777" w:rsidR="000A5FCE" w:rsidRDefault="000A5FCE" w:rsidP="00927092">
      <w:pPr>
        <w:bidi w:val="0"/>
        <w:spacing w:line="360" w:lineRule="auto"/>
        <w:jc w:val="both"/>
        <w:rPr>
          <w:rFonts w:asciiTheme="majorBidi" w:hAnsiTheme="majorBidi" w:cstheme="majorBidi"/>
          <w:b/>
          <w:bCs/>
        </w:rPr>
      </w:pPr>
    </w:p>
    <w:p w14:paraId="2605FD0A" w14:textId="75439587" w:rsidR="003B5102" w:rsidRPr="003B5102" w:rsidRDefault="003B5102" w:rsidP="000A5FCE">
      <w:pPr>
        <w:bidi w:val="0"/>
        <w:spacing w:line="360" w:lineRule="auto"/>
        <w:jc w:val="both"/>
        <w:rPr>
          <w:rFonts w:asciiTheme="majorBidi" w:hAnsiTheme="majorBidi" w:cstheme="majorBidi"/>
          <w:b/>
          <w:bCs/>
        </w:rPr>
      </w:pPr>
      <w:r>
        <w:rPr>
          <w:rFonts w:asciiTheme="majorBidi" w:hAnsiTheme="majorBidi" w:cstheme="majorBidi"/>
          <w:b/>
          <w:bCs/>
        </w:rPr>
        <w:lastRenderedPageBreak/>
        <w:t>Theme 1. Learning to Read the Machine: Nurses’ Initial and Evolving Encounters With AI-Assisted Early Warning Systems</w:t>
      </w:r>
    </w:p>
    <w:p w14:paraId="4EC92EFD"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This theme captures how nurses encountered AI-assisted early warning systems, made sense of them in practice, and gradually developed ways of working with them. Across accounts, engagement with AI was described as an evolving relationship shaped by exposure, observation, and informal learning rather than by implementation alone. </w:t>
      </w:r>
    </w:p>
    <w:p w14:paraId="171C8F42"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1.1 First encounters and orientation</w:t>
      </w:r>
    </w:p>
    <w:p w14:paraId="3DB0874E"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For most participants (n = 19), initial exposure to AI-assisted early warning systems was marked by curiosity, uncertainty, and uneven preparation. Participants described variable introduction to the systems and uncertainty about what alerts meant, how the systems worked, and what was expected of them in response.</w:t>
      </w:r>
    </w:p>
    <w:p w14:paraId="38439B3F" w14:textId="73F7098B" w:rsidR="003B5102" w:rsidRPr="00B947E9" w:rsidRDefault="003B5102" w:rsidP="00B947E9">
      <w:pPr>
        <w:pStyle w:val="ListParagraph"/>
        <w:bidi w:val="0"/>
        <w:spacing w:line="360" w:lineRule="auto"/>
        <w:ind w:left="1440"/>
        <w:jc w:val="both"/>
        <w:rPr>
          <w:rFonts w:asciiTheme="majorBidi" w:hAnsiTheme="majorBidi" w:cstheme="majorBidi"/>
        </w:rPr>
      </w:pPr>
      <w:r>
        <w:rPr>
          <w:rFonts w:asciiTheme="majorBidi" w:hAnsiTheme="majorBidi" w:cstheme="majorBidi"/>
          <w:i/>
          <w:iCs/>
        </w:rPr>
        <w:t xml:space="preserve">When the system first came in, nobody really explained how it worked, just that it would alert us to deteriorating patients. I remember thinking, is this replacing my assessment? It took weeks before I understood it was meant to support me, not replace me.</w:t>
      </w:r>
      <w:r>
        <w:rPr>
          <w:rFonts w:asciiTheme="majorBidi" w:hAnsiTheme="majorBidi" w:cstheme="majorBidi"/>
        </w:rPr>
        <w:t xml:space="preserve"> </w:t>
      </w:r>
      <w:r>
        <w:rPr>
          <w:rFonts w:asciiTheme="majorBidi" w:hAnsiTheme="majorBidi" w:cstheme="majorBidi"/>
        </w:rPr>
        <w:t xml:space="preserve">(P08, female, &gt;15 years’ experience, Hospital B)</w:t>
      </w:r>
    </w:p>
    <w:p w14:paraId="0ABB72C1" w14:textId="77777777" w:rsidR="00B947E9" w:rsidRDefault="00B947E9" w:rsidP="00B947E9">
      <w:pPr>
        <w:pStyle w:val="ListParagraph"/>
        <w:bidi w:val="0"/>
        <w:spacing w:line="240" w:lineRule="auto"/>
        <w:ind w:left="1440"/>
        <w:jc w:val="both"/>
        <w:rPr>
          <w:rFonts w:asciiTheme="majorBidi" w:hAnsiTheme="majorBidi" w:cstheme="majorBidi"/>
          <w:i/>
          <w:iCs/>
        </w:rPr>
      </w:pPr>
    </w:p>
    <w:p w14:paraId="14A7868C" w14:textId="51F464EE" w:rsidR="003B5102" w:rsidRPr="00B947E9" w:rsidRDefault="003B5102" w:rsidP="00B947E9">
      <w:pPr>
        <w:pStyle w:val="ListParagraph"/>
        <w:bidi w:val="0"/>
        <w:spacing w:line="360" w:lineRule="auto"/>
        <w:ind w:left="1440"/>
        <w:jc w:val="both"/>
        <w:rPr>
          <w:rFonts w:asciiTheme="majorBidi" w:hAnsiTheme="majorBidi" w:cstheme="majorBidi"/>
        </w:rPr>
      </w:pPr>
      <w:r>
        <w:rPr>
          <w:rFonts w:asciiTheme="majorBidi" w:hAnsiTheme="majorBidi" w:cstheme="majorBidi"/>
          <w:i/>
          <w:iCs/>
        </w:rPr>
        <w:t xml:space="preserve">I was excited at first. I thought, finally, technology that will catch things we might miss at three in the morning. But then the first week, it alarmed maybe fifteen times on one patient, and nothing happened. I started questioning what it was actually telling me</w:t>
      </w:r>
      <w:r>
        <w:rPr>
          <w:rFonts w:asciiTheme="majorBidi" w:hAnsiTheme="majorBidi" w:cstheme="majorBidi"/>
        </w:rPr>
        <w:t xml:space="preserve">. </w:t>
      </w:r>
      <w:r>
        <w:rPr>
          <w:rFonts w:asciiTheme="majorBidi" w:hAnsiTheme="majorBidi" w:cstheme="majorBidi"/>
        </w:rPr>
        <w:t xml:space="preserve">(P02, male, 6–10 years’ experience, Hospital A)</w:t>
      </w:r>
    </w:p>
    <w:p w14:paraId="79E16759"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Three participants, all with fewer than three years of critical care experience, described early alerts as increasing rather than reducing anxiety because they lacked sufficient experiential reference points to interpret alert meaning confidently. </w:t>
      </w:r>
    </w:p>
    <w:p w14:paraId="5746ADE7"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1.2 Developing a working relationship with the algorithm</w:t>
      </w:r>
    </w:p>
    <w:p w14:paraId="4D8A5866"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Participants described a gradual, largely self-directed process of learning how the system behaved, when its alerts were useful, and when bedside assessment needed to take precedence. This process was often shaped by peer support, accumulated observation, and familiarity with the local unit context.</w:t>
      </w:r>
    </w:p>
    <w:p w14:paraId="4F6E26F5" w14:textId="51218292" w:rsidR="003B5102" w:rsidRDefault="003B5102" w:rsidP="0090476B">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After maybe six months, I started to understand the system’s personality, if you can say that. I knew when it alarmed for sepsis markers, it was usually worth investigating quickly. But when it alarmed for respiratory changes in patients post-extubation, I </w:t>
        <w:lastRenderedPageBreak/>
        <w:t xml:space="preserve">learned to always go to the bedside first and make my own decision. </w:t>
      </w:r>
      <w:r>
        <w:rPr>
          <w:rFonts w:asciiTheme="majorBidi" w:hAnsiTheme="majorBidi" w:cstheme="majorBidi"/>
        </w:rPr>
        <w:t xml:space="preserve">(P15, male, 11–15 years’ experience, Hospital C)</w:t>
      </w:r>
    </w:p>
    <w:p w14:paraId="0BAAF632" w14:textId="77777777" w:rsidR="0090476B" w:rsidRPr="003B5102" w:rsidRDefault="0090476B" w:rsidP="00162C60">
      <w:pPr>
        <w:pStyle w:val="ListParagraph"/>
        <w:bidi w:val="0"/>
        <w:spacing w:after="0" w:line="240" w:lineRule="auto"/>
        <w:ind w:left="1440"/>
        <w:jc w:val="both"/>
        <w:rPr>
          <w:rFonts w:asciiTheme="majorBidi" w:hAnsiTheme="majorBidi" w:cstheme="majorBidi"/>
          <w:i/>
          <w:iCs/>
        </w:rPr>
      </w:pPr>
    </w:p>
    <w:p w14:paraId="4FD9600B" w14:textId="7629B0B8" w:rsidR="003B5102" w:rsidRPr="003B5102" w:rsidRDefault="003B5102" w:rsidP="0090476B">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The nurses who had been there longer were the ones who really helped me. They would say, this alarm means this, and this one you can usually wait a moment before you act. That informal knowledge was more useful than any training session. </w:t>
      </w:r>
      <w:r>
        <w:rPr>
          <w:rFonts w:asciiTheme="majorBidi" w:hAnsiTheme="majorBidi" w:cstheme="majorBidi"/>
        </w:rPr>
        <w:t xml:space="preserve">(P07, female, ≤5 years’ experience, Hospital B)</w:t>
      </w:r>
    </w:p>
    <w:p w14:paraId="61465412"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This pattern of peer-mediated calibration was reported across all four hospital sites and was especially salient among internationally recruited nurses who were simultaneously learning the AI system and adapting to the organisational culture of Saudi critical care practice. A disconfirming pattern was evident in two highly experienced participants (P11 and P18), who described approaching AI alerts with deliberate scepticism from the outset and treating them as supplementary rather than authoritative. These accounts suggest that engagement with AI was not uniformly developmental; for some senior nurses, scepticism itself functioned as an early interpretive strategy. </w:t>
      </w:r>
    </w:p>
    <w:p w14:paraId="62141AB7"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1.3 Navigating alert volume and frequency</w:t>
      </w:r>
    </w:p>
    <w:p w14:paraId="3851D910"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Alert burden emerged as a pervasive feature of participants’ experiences. Most participants (n = 20) described high alert volume as shaping attention, workflow, and responsiveness, often requiring them to prioritise which alerts demanded immediate action.</w:t>
      </w:r>
    </w:p>
    <w:p w14:paraId="37011AF2" w14:textId="5BD96685" w:rsidR="003B5102" w:rsidRDefault="003B5102" w:rsidP="0037298C">
      <w:pPr>
        <w:pStyle w:val="ListParagraph"/>
        <w:bidi w:val="0"/>
        <w:spacing w:after="0" w:line="360" w:lineRule="auto"/>
        <w:ind w:left="1440"/>
        <w:jc w:val="both"/>
        <w:rPr>
          <w:rFonts w:asciiTheme="majorBidi" w:hAnsiTheme="majorBidi" w:cstheme="majorBidi"/>
          <w:i/>
          <w:iCs/>
        </w:rPr>
      </w:pPr>
      <w:r>
        <w:rPr>
          <w:rFonts w:asciiTheme="majorBidi" w:hAnsiTheme="majorBidi" w:cstheme="majorBidi"/>
          <w:i/>
          <w:iCs/>
        </w:rPr>
        <w:t xml:space="preserve">There are shifts where the alerts are constant every few minutes, different patients, different parameters. After a while, your brain starts to filter automatically. That is not a good thing. That is a safety problem. But nobody talks about it openly. </w:t>
      </w:r>
      <w:r>
        <w:rPr>
          <w:rFonts w:asciiTheme="majorBidi" w:hAnsiTheme="majorBidi" w:cstheme="majorBidi"/>
        </w:rPr>
        <w:t xml:space="preserve">(P13, male, 6–10 years’ experience, Hospital C)</w:t>
      </w:r>
    </w:p>
    <w:p w14:paraId="74707F65" w14:textId="77777777" w:rsidR="0037298C" w:rsidRPr="003B5102" w:rsidRDefault="0037298C" w:rsidP="0037298C">
      <w:pPr>
        <w:pStyle w:val="ListParagraph"/>
        <w:bidi w:val="0"/>
        <w:spacing w:after="0" w:line="240" w:lineRule="auto"/>
        <w:ind w:left="1440"/>
        <w:jc w:val="both"/>
        <w:rPr>
          <w:rFonts w:asciiTheme="majorBidi" w:hAnsiTheme="majorBidi" w:cstheme="majorBidi"/>
          <w:i/>
          <w:iCs/>
        </w:rPr>
      </w:pPr>
    </w:p>
    <w:p w14:paraId="4073917A" w14:textId="2C6BC4C2" w:rsidR="003B5102" w:rsidRPr="003B5102" w:rsidRDefault="003B5102" w:rsidP="0037298C">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I have learned to triage the alerts in my head before I even move. I look at the patient, I look at the trend, and I decide whether this one deserves my full attention or whether I need to finish what I am doing first. The system does not know what else is happening in the unit. I have to make that judgment. </w:t>
      </w:r>
      <w:r>
        <w:rPr>
          <w:rFonts w:asciiTheme="majorBidi" w:hAnsiTheme="majorBidi" w:cstheme="majorBidi"/>
        </w:rPr>
        <w:t xml:space="preserve">(P20, female, 11–15 years’ experience, Hospital D)</w:t>
      </w:r>
    </w:p>
    <w:p w14:paraId="42AB7205" w14:textId="4E727511" w:rsidR="00413A32" w:rsidRDefault="003B5102" w:rsidP="00162C60">
      <w:pPr>
        <w:bidi w:val="0"/>
        <w:spacing w:line="360" w:lineRule="auto"/>
        <w:ind w:firstLine="720"/>
        <w:jc w:val="both"/>
        <w:rPr>
          <w:rFonts w:asciiTheme="majorBidi" w:hAnsiTheme="majorBidi" w:cstheme="majorBidi"/>
        </w:rPr>
      </w:pPr>
      <w:r>
        <w:rPr>
          <w:rFonts w:asciiTheme="majorBidi" w:hAnsiTheme="majorBidi" w:cstheme="majorBidi"/>
        </w:rPr>
        <w:t xml:space="preserve">Three participants reported episodes in which they had dismissed alerts that later proved clinically significant, framing these incidents not as personal carelessness but as consequences of persistent alert burden. Taken together, these subthemes show that nurses’ relationship with AI was learned in practice, heavily mediated by peers, and shaped by the realities of working within high-alert environments. </w:t>
      </w:r>
    </w:p>
    <w:p w14:paraId="30046BE5" w14:textId="77777777" w:rsidR="003B5102" w:rsidRPr="003B5102" w:rsidRDefault="003B5102" w:rsidP="00413A32">
      <w:pPr>
        <w:bidi w:val="0"/>
        <w:spacing w:line="360" w:lineRule="auto"/>
        <w:jc w:val="both"/>
        <w:rPr>
          <w:rFonts w:asciiTheme="majorBidi" w:hAnsiTheme="majorBidi" w:cstheme="majorBidi"/>
          <w:b/>
          <w:bCs/>
        </w:rPr>
      </w:pPr>
      <w:r>
        <w:rPr>
          <w:rFonts w:asciiTheme="majorBidi" w:hAnsiTheme="majorBidi" w:cstheme="majorBidi"/>
          <w:b/>
          <w:bCs/>
        </w:rPr>
        <w:lastRenderedPageBreak/>
        <w:t>Theme 2. Between the Alert and the Bedside: The Interpretive Work of AI-Informed Clinical Judgment</w:t>
      </w:r>
    </w:p>
    <w:p w14:paraId="34AC0709"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This theme describes how nurses incorporated AI-generated alerts into clinical judgment. Participants portrayed this process as dynamic, pressured, and dependent on bedside knowledge rather than on algorithmic outputs alone. </w:t>
      </w:r>
    </w:p>
    <w:p w14:paraId="4696ABC0"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2.1 Weighing the algorithm against the patient</w:t>
      </w:r>
    </w:p>
    <w:p w14:paraId="1D47C988"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Participants described the central interpretive task as balancing AI output against direct assessment of the patient. Alerts were rarely treated as self-sufficient; instead, nurses evaluated them against their own knowledge of the patient’s baseline condition, trajectory, and clinical context.</w:t>
      </w:r>
    </w:p>
    <w:p w14:paraId="660B25A5" w14:textId="19015B53" w:rsidR="003B5102" w:rsidRDefault="003B5102" w:rsidP="00F1725C">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The system flagged deterioration in a patient I had been looking after for four days. I knew that patient. I knew his baseline was different; I knew he ran higher inflammatory markers. The algorithm did not know that. I still went to assess, but I was already forming my own picture before I looked at the screen. </w:t>
      </w:r>
      <w:r>
        <w:rPr>
          <w:rFonts w:asciiTheme="majorBidi" w:hAnsiTheme="majorBidi" w:cstheme="majorBidi"/>
        </w:rPr>
        <w:t xml:space="preserve">(P10, female, 6–10 years’ experience, Hospital B)</w:t>
      </w:r>
    </w:p>
    <w:p w14:paraId="546798B3" w14:textId="77777777" w:rsidR="00F1725C" w:rsidRPr="003B5102" w:rsidRDefault="00F1725C" w:rsidP="00F1725C">
      <w:pPr>
        <w:pStyle w:val="ListParagraph"/>
        <w:bidi w:val="0"/>
        <w:spacing w:after="0" w:line="240" w:lineRule="auto"/>
        <w:ind w:left="1440"/>
        <w:jc w:val="both"/>
        <w:rPr>
          <w:rFonts w:asciiTheme="majorBidi" w:hAnsiTheme="majorBidi" w:cstheme="majorBidi"/>
          <w:i/>
          <w:iCs/>
        </w:rPr>
      </w:pPr>
    </w:p>
    <w:p w14:paraId="54B01078" w14:textId="5AAAD109" w:rsidR="003B5102" w:rsidRPr="003B5102" w:rsidRDefault="003B5102" w:rsidP="00F1725C">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Sometimes the alert confirms what I already felt, there is something not right about this patient, I cannot name it yet, and then the screen lights up, and I think, yes, that is what I was sensing. In those moments, the AI feels like a colleague who noticed the same thing. </w:t>
      </w:r>
      <w:r>
        <w:rPr>
          <w:rFonts w:asciiTheme="majorBidi" w:hAnsiTheme="majorBidi" w:cstheme="majorBidi"/>
        </w:rPr>
        <w:t xml:space="preserve">(P16, female, 6–10 years’ experience, Hospital C)</w:t>
      </w:r>
    </w:p>
    <w:p w14:paraId="0174AA28"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Nurses with five or fewer years of critical care experience (n = 6) described placing greater initial weight on alert outputs in situations of uncertainty, whereas more experienced nurses described a more sceptical and bidirectional interpretive stance.</w:t>
      </w:r>
    </w:p>
    <w:p w14:paraId="73B07CD8"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2.2 Overriding, deferring, and negotiating</w:t>
      </w:r>
    </w:p>
    <w:p w14:paraId="54B27323"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Participants described different responses to alerts, including overriding them, deferring to them, or negotiating a partial response. These actions were shaped by professional judgment, uncertainty, and awareness of accountability.</w:t>
      </w:r>
    </w:p>
    <w:p w14:paraId="5CF7F714" w14:textId="09BCE667" w:rsidR="003B5102" w:rsidRPr="003B5102" w:rsidRDefault="003B5102" w:rsidP="00F1725C">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I overrode an alert last month. The patient was anxious; he had been moving around, of course, the parameters were elevated. I documented my reasoning clearly, and I was right. But I was aware the whole time that if I was wrong, it would look like I ignored the system. That is a weight you carry. </w:t>
      </w:r>
      <w:r>
        <w:rPr>
          <w:rFonts w:asciiTheme="majorBidi" w:hAnsiTheme="majorBidi" w:cstheme="majorBidi"/>
        </w:rPr>
        <w:t xml:space="preserve">(P04, male, 11–15 years’ experience, Hospital A)</w:t>
      </w:r>
    </w:p>
    <w:p w14:paraId="2FCEB3A7" w14:textId="17F18A33" w:rsidR="003B5102" w:rsidRPr="003B5102" w:rsidRDefault="003B5102" w:rsidP="00F1725C">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lastRenderedPageBreak/>
        <w:t xml:space="preserve">There are times when I am not sure, the alert says one thing, the patient looks okay, but I am not certain. In those moments, I escalate to the physician even if I think it is probably nothing. The alert gives me a reason to make that call without feeling like I am being alarmist. </w:t>
      </w:r>
      <w:r>
        <w:rPr>
          <w:rFonts w:asciiTheme="majorBidi" w:hAnsiTheme="majorBidi" w:cstheme="majorBidi"/>
        </w:rPr>
        <w:t xml:space="preserve">(P12, female, 6–10 years’ experience, Hospital C)</w:t>
      </w:r>
    </w:p>
    <w:p w14:paraId="27CECB09" w14:textId="23E071B3"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A distinct pattern emerged at Hospital D, where non-action required documented justification. Nurses at this site described greater defensiveness in alert management and a stronger sense of institutional scrutiny, suggesting that organisational protocol shaped not only which actions were taken but also how comfortable nurses felt exercising professional discretion. </w:t>
      </w:r>
    </w:p>
    <w:p w14:paraId="434FE90B"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2.3 Decision-making under uncertainty and time pressure</w:t>
      </w:r>
    </w:p>
    <w:p w14:paraId="6BAC1D7D"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Most participants (n = 18) described responding to alerts within conditions of competing priorities, staffing pressure, and limited time. In these situations, decision-making was experienced as faster, more intuitive, and more dependent on pattern recognition.</w:t>
      </w:r>
    </w:p>
    <w:p w14:paraId="44F44417" w14:textId="4DCE0BB0" w:rsidR="003B5102" w:rsidRDefault="003B5102" w:rsidP="009A2C18">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At two in the morning, short-staffed, three of my patients are unstable, and the alert fires again. On the fourth, at that moment, I am not doing a careful analysis. I am using everything I know about those patients and making a judgment in seconds. The algorithm does not know I have three other fires to put out. </w:t>
      </w:r>
      <w:r>
        <w:rPr>
          <w:rFonts w:asciiTheme="majorBidi" w:hAnsiTheme="majorBidi" w:cstheme="majorBidi"/>
        </w:rPr>
        <w:t xml:space="preserve">(P06, male, 11–15 years’ experience, Hospital B)</w:t>
      </w:r>
    </w:p>
    <w:p w14:paraId="3A8C9339" w14:textId="77777777" w:rsidR="009A2C18" w:rsidRPr="003B5102" w:rsidRDefault="009A2C18" w:rsidP="009A2C18">
      <w:pPr>
        <w:pStyle w:val="ListParagraph"/>
        <w:bidi w:val="0"/>
        <w:spacing w:after="0" w:line="240" w:lineRule="auto"/>
        <w:ind w:left="1440"/>
        <w:jc w:val="both"/>
        <w:rPr>
          <w:rFonts w:asciiTheme="majorBidi" w:hAnsiTheme="majorBidi" w:cstheme="majorBidi"/>
          <w:i/>
          <w:iCs/>
        </w:rPr>
      </w:pPr>
    </w:p>
    <w:p w14:paraId="69E4ED9C" w14:textId="15E59ED1" w:rsidR="003B5102" w:rsidRPr="003B5102" w:rsidRDefault="003B5102" w:rsidP="009A2C18">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I think the hardest moments are when you genuinely do not know. The alert is there, the patient looks borderline, you have four other things demanding your attention. You make a call. You act. And then you wonder for the rest of the shift whether it was the right one.  </w:t>
      </w:r>
      <w:r>
        <w:rPr>
          <w:rFonts w:asciiTheme="majorBidi" w:hAnsiTheme="majorBidi" w:cstheme="majorBidi"/>
        </w:rPr>
        <w:t xml:space="preserve">(P22, female, 11–15 years’ experience, Hospital D)</w:t>
      </w:r>
    </w:p>
    <w:p w14:paraId="5ED6C020" w14:textId="7FCC0DE2" w:rsidR="00162C60" w:rsidRPr="003B5102" w:rsidRDefault="003B5102" w:rsidP="00E208DD">
      <w:pPr>
        <w:bidi w:val="0"/>
        <w:spacing w:line="360" w:lineRule="auto"/>
        <w:ind w:firstLine="720"/>
        <w:jc w:val="both"/>
        <w:rPr>
          <w:rFonts w:asciiTheme="majorBidi" w:hAnsiTheme="majorBidi" w:cstheme="majorBidi"/>
        </w:rPr>
      </w:pPr>
      <w:r>
        <w:rPr>
          <w:rFonts w:asciiTheme="majorBidi" w:hAnsiTheme="majorBidi" w:cstheme="majorBidi"/>
        </w:rPr>
        <w:t xml:space="preserve">Together, these subthemes show that clinical judgment in AI-augmented critical care remained irreducibly interpretive, shaped by experiential knowledge, accountability, and the temporal pressures of practice. </w:t>
      </w:r>
    </w:p>
    <w:p w14:paraId="56DE093F" w14:textId="77777777" w:rsidR="003B5102" w:rsidRPr="003B5102" w:rsidRDefault="003B5102" w:rsidP="009A2C18">
      <w:pPr>
        <w:bidi w:val="0"/>
        <w:spacing w:line="360" w:lineRule="auto"/>
        <w:jc w:val="both"/>
        <w:rPr>
          <w:rFonts w:asciiTheme="majorBidi" w:hAnsiTheme="majorBidi" w:cstheme="majorBidi"/>
          <w:b/>
          <w:bCs/>
        </w:rPr>
      </w:pPr>
      <w:r>
        <w:rPr>
          <w:rFonts w:asciiTheme="majorBidi" w:hAnsiTheme="majorBidi" w:cstheme="majorBidi"/>
          <w:b/>
          <w:bCs/>
        </w:rPr>
        <w:t>Theme 3. Alert, Action, and the Safety of the Patient: Nurses’ Perceptions of AI Implications for Patient Safety</w:t>
      </w:r>
    </w:p>
    <w:p w14:paraId="1F159A4B"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This theme captures how participants understood the implications of AI-assisted early warning systems for patient safety. Their accounts described AI as both a support for surveillance and a source of new safety risks, with safe practice depending on how algorithmic alerts and nursing judgment were brought together in care. </w:t>
      </w:r>
    </w:p>
    <w:p w14:paraId="1ACCF203" w14:textId="77777777" w:rsidR="003B5102" w:rsidRPr="003B5102" w:rsidRDefault="003B5102" w:rsidP="00E208DD">
      <w:pPr>
        <w:bidi w:val="0"/>
        <w:spacing w:after="0" w:line="360" w:lineRule="auto"/>
        <w:ind w:firstLine="720"/>
        <w:jc w:val="both"/>
        <w:rPr>
          <w:rFonts w:asciiTheme="majorBidi" w:hAnsiTheme="majorBidi" w:cstheme="majorBidi"/>
          <w:b/>
          <w:bCs/>
        </w:rPr>
      </w:pPr>
      <w:r>
        <w:rPr>
          <w:rFonts w:asciiTheme="majorBidi" w:hAnsiTheme="majorBidi" w:cstheme="majorBidi"/>
          <w:b/>
          <w:bCs/>
        </w:rPr>
        <w:lastRenderedPageBreak/>
        <w:t>3.1 AI as a safety net: enhanced surveillance and earlier recognition</w:t>
      </w:r>
    </w:p>
    <w:p w14:paraId="436D0A7F"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Most participants (n = 17) described situations in which AI alerts appeared to support earlier recognition of deterioration, particularly during night shifts or under high workload.</w:t>
      </w:r>
    </w:p>
    <w:p w14:paraId="493886D3" w14:textId="3A59F768" w:rsidR="003B5102" w:rsidRDefault="003B5102" w:rsidP="00F05334">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There was a patient post-cardiac surgery, stable on paper, but the system flagged a subtle change in the lactate trend hours before anything was visible clinically. We escalated, the team reviewed, and we caught an early anastomotic issue. I genuinely believe the AI bought that patient time. </w:t>
      </w:r>
      <w:r>
        <w:rPr>
          <w:rFonts w:asciiTheme="majorBidi" w:hAnsiTheme="majorBidi" w:cstheme="majorBidi"/>
        </w:rPr>
        <w:t xml:space="preserve">(P18, female, &gt;15 years’ experience, Hospital D)</w:t>
      </w:r>
    </w:p>
    <w:p w14:paraId="747663E5" w14:textId="77777777" w:rsidR="00F05334" w:rsidRPr="003B5102" w:rsidRDefault="00F05334" w:rsidP="00F05334">
      <w:pPr>
        <w:pStyle w:val="ListParagraph"/>
        <w:bidi w:val="0"/>
        <w:spacing w:after="0" w:line="240" w:lineRule="auto"/>
        <w:ind w:left="1440"/>
        <w:jc w:val="both"/>
        <w:rPr>
          <w:rFonts w:asciiTheme="majorBidi" w:hAnsiTheme="majorBidi" w:cstheme="majorBidi"/>
          <w:i/>
          <w:iCs/>
        </w:rPr>
      </w:pPr>
    </w:p>
    <w:p w14:paraId="18991A95" w14:textId="046C712C" w:rsidR="003B5102" w:rsidRPr="003B5102" w:rsidRDefault="003B5102" w:rsidP="00F05334">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On nights when it is quiet and you are managing more patients than you should, the system is watching continuously. It does not get tired. It does not miss the three o’clock measurement because you were dealing with something else. In that sense, it is a safety partner. </w:t>
      </w:r>
      <w:r>
        <w:rPr>
          <w:rFonts w:asciiTheme="majorBidi" w:hAnsiTheme="majorBidi" w:cstheme="majorBidi"/>
        </w:rPr>
        <w:t xml:space="preserve">(P05, female, 6–10 years’ experience, Hospital A)</w:t>
      </w:r>
    </w:p>
    <w:p w14:paraId="449D7602"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Nurses working in better-staffed contexts described AI more often as confirming rather than revealing deterioration.</w:t>
      </w:r>
      <w:r>
        <w:rPr>
          <w:rFonts w:asciiTheme="majorBidi" w:hAnsiTheme="majorBidi" w:cstheme="majorBidi"/>
        </w:rPr>
        <w:t xml:space="preserve"> These accounts suggest that the perceived safety value of AI-assisted early warning was shaped by available attentional capacity, with the technology experienced as most beneficial when nurses’ surveillance resources were constrained.</w:t>
      </w:r>
      <w:r>
        <w:rPr>
          <w:rFonts w:asciiTheme="majorBidi" w:hAnsiTheme="majorBidi" w:cstheme="majorBidi"/>
        </w:rPr>
        <w:t xml:space="preserve"> A disconfirming pattern was evident among a smaller group of nurses who felt their own surveillance capacity was sufficient and viewed alerts primarily as reinforcement rather than added protection.</w:t>
      </w:r>
    </w:p>
    <w:p w14:paraId="67C50730" w14:textId="77777777" w:rsidR="003B5102" w:rsidRPr="003B5102" w:rsidRDefault="003B5102" w:rsidP="00E208DD">
      <w:pPr>
        <w:bidi w:val="0"/>
        <w:spacing w:after="0" w:line="360" w:lineRule="auto"/>
        <w:ind w:firstLine="720"/>
        <w:jc w:val="both"/>
        <w:rPr>
          <w:rFonts w:asciiTheme="majorBidi" w:hAnsiTheme="majorBidi" w:cstheme="majorBidi"/>
          <w:b/>
          <w:bCs/>
        </w:rPr>
      </w:pPr>
      <w:r>
        <w:rPr>
          <w:rFonts w:asciiTheme="majorBidi" w:hAnsiTheme="majorBidi" w:cstheme="majorBidi"/>
          <w:b/>
          <w:bCs/>
        </w:rPr>
        <w:t>3.2 When the system misleads: false alerts and safety risk</w:t>
      </w:r>
    </w:p>
    <w:p w14:paraId="0CB19BD3"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False-positive alerts were described across all sites as a source of wasted attention, reduced vigilance, and growing scepticism toward the system.</w:t>
      </w:r>
    </w:p>
    <w:p w14:paraId="3EC31347" w14:textId="5FF227EB" w:rsidR="00F05334" w:rsidRDefault="003B5102" w:rsidP="009C4CD5">
      <w:pPr>
        <w:pStyle w:val="ListParagraph"/>
        <w:bidi w:val="0"/>
        <w:spacing w:after="0" w:line="360" w:lineRule="auto"/>
        <w:ind w:left="1440"/>
        <w:jc w:val="both"/>
        <w:rPr>
          <w:rFonts w:asciiTheme="majorBidi" w:hAnsiTheme="majorBidi" w:cstheme="majorBidi"/>
          <w:i/>
          <w:iCs/>
        </w:rPr>
      </w:pPr>
      <w:r>
        <w:rPr>
          <w:rFonts w:asciiTheme="majorBidi" w:hAnsiTheme="majorBidi" w:cstheme="majorBidi"/>
          <w:i/>
          <w:iCs/>
        </w:rPr>
        <w:t xml:space="preserve">When the system cries wolf twenty times, and nothing happens, and then the twenty-first time there is a real problem, your brain has already started switching off. That is the danger. That is when patients get hurt. Not because the nurse is incompetent, but because the system trained her not to trust it. </w:t>
      </w:r>
      <w:r>
        <w:rPr>
          <w:rFonts w:asciiTheme="majorBidi" w:hAnsiTheme="majorBidi" w:cstheme="majorBidi"/>
        </w:rPr>
        <w:t xml:space="preserve">(P11, male, &gt;15 years’ experience, Hospital B)</w:t>
      </w:r>
    </w:p>
    <w:p w14:paraId="763E816A" w14:textId="77777777" w:rsidR="009C4CD5" w:rsidRPr="009C4CD5" w:rsidRDefault="009C4CD5" w:rsidP="009C4CD5">
      <w:pPr>
        <w:pStyle w:val="ListParagraph"/>
        <w:bidi w:val="0"/>
        <w:spacing w:after="0" w:line="240" w:lineRule="auto"/>
        <w:ind w:left="1440"/>
        <w:jc w:val="both"/>
        <w:rPr>
          <w:rFonts w:asciiTheme="majorBidi" w:hAnsiTheme="majorBidi" w:cstheme="majorBidi"/>
          <w:i/>
          <w:iCs/>
        </w:rPr>
      </w:pPr>
    </w:p>
    <w:p w14:paraId="4B899187" w14:textId="6D5D11BA" w:rsidR="003B5102" w:rsidRPr="003B5102" w:rsidRDefault="003B5102" w:rsidP="00F05334">
      <w:pPr>
        <w:pStyle w:val="ListParagraph"/>
        <w:bidi w:val="0"/>
        <w:spacing w:after="0" w:line="360" w:lineRule="auto"/>
        <w:ind w:left="1440"/>
        <w:jc w:val="both"/>
        <w:rPr>
          <w:rFonts w:asciiTheme="majorBidi" w:hAnsiTheme="majorBidi" w:cstheme="majorBidi"/>
          <w:i/>
          <w:iCs/>
        </w:rPr>
      </w:pPr>
      <w:r>
        <w:rPr>
          <w:rFonts w:asciiTheme="majorBidi" w:hAnsiTheme="majorBidi" w:cstheme="majorBidi"/>
          <w:i/>
          <w:iCs/>
        </w:rPr>
        <w:t xml:space="preserve">I have seen a colleague dismiss an alert that turned out to be real. She was not careless. She had simply stopped believing the system because it had been wrong so many times before. That is an organisational problem, not a personal one. </w:t>
      </w:r>
      <w:r>
        <w:rPr>
          <w:rFonts w:asciiTheme="majorBidi" w:hAnsiTheme="majorBidi" w:cstheme="majorBidi"/>
        </w:rPr>
        <w:t xml:space="preserve">(P23, male, 6–10 years’ experience, Hospital D)</w:t>
      </w:r>
    </w:p>
    <w:p w14:paraId="77A0D1FD"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lastRenderedPageBreak/>
        <w:t xml:space="preserve">Participants across all sites described the psychological burden of maintaining vigilance in high-alert environments as a form of professional and emotional labour. Two participants (P09 and P19) explicitly linked this burden to thoughts of leaving their current post, suggesting that false alerts affected not only moment-to-moment safety but also wider perceptions of sustainability within critical care practice. </w:t>
      </w:r>
    </w:p>
    <w:p w14:paraId="6FA4D0F7" w14:textId="77777777" w:rsidR="003B5102" w:rsidRPr="003B5102" w:rsidRDefault="003B5102" w:rsidP="00E208DD">
      <w:pPr>
        <w:bidi w:val="0"/>
        <w:spacing w:after="0" w:line="360" w:lineRule="auto"/>
        <w:ind w:firstLine="720"/>
        <w:jc w:val="both"/>
        <w:rPr>
          <w:rFonts w:asciiTheme="majorBidi" w:hAnsiTheme="majorBidi" w:cstheme="majorBidi"/>
          <w:b/>
          <w:bCs/>
        </w:rPr>
      </w:pPr>
      <w:r>
        <w:rPr>
          <w:rFonts w:asciiTheme="majorBidi" w:hAnsiTheme="majorBidi" w:cstheme="majorBidi"/>
          <w:b/>
          <w:bCs/>
        </w:rPr>
        <w:t>3.3 The human layer of safety</w:t>
      </w:r>
    </w:p>
    <w:p w14:paraId="20F18FE4"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Across the dataset, participants emphasised that patient safety ultimately depended on nursing presence, judgment, and relational awareness in ways that algorithms could not replace.</w:t>
      </w:r>
    </w:p>
    <w:p w14:paraId="6E29D08D" w14:textId="5A26AF00" w:rsidR="003B5102" w:rsidRDefault="003B5102" w:rsidP="00F05334">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The system measures what it can measure. It cannot see the look in a patient’s eyes. It cannot hear the change in how someone is breathing that does not yet show on the monitor. It cannot feel that something is wrong before the numbers change. That is what I bring. That is nursing. </w:t>
      </w:r>
      <w:r>
        <w:rPr>
          <w:rFonts w:asciiTheme="majorBidi" w:hAnsiTheme="majorBidi" w:cstheme="majorBidi"/>
        </w:rPr>
        <w:t xml:space="preserve">(P01, female, 6–10 years’ experience, Hospital A)</w:t>
      </w:r>
    </w:p>
    <w:p w14:paraId="4DA42239" w14:textId="77777777" w:rsidR="00F05334" w:rsidRPr="003B5102" w:rsidRDefault="00F05334" w:rsidP="00162C60">
      <w:pPr>
        <w:pStyle w:val="ListParagraph"/>
        <w:tabs>
          <w:tab w:val="right" w:pos="4590"/>
        </w:tabs>
        <w:bidi w:val="0"/>
        <w:spacing w:after="0" w:line="240" w:lineRule="auto"/>
        <w:ind w:left="1440"/>
        <w:jc w:val="both"/>
        <w:rPr>
          <w:rFonts w:asciiTheme="majorBidi" w:hAnsiTheme="majorBidi" w:cstheme="majorBidi"/>
          <w:i/>
          <w:iCs/>
        </w:rPr>
      </w:pPr>
    </w:p>
    <w:p w14:paraId="5532B04D" w14:textId="5B3A8241" w:rsidR="003B5102" w:rsidRPr="003B5102" w:rsidRDefault="003B5102" w:rsidP="00F05334">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I think the most dangerous thing would be if nurses started believing the algorithm is the safety net, and they are just the ones who act on it. The safety net is us. The algorithm is a tool we use. If we forget that, patients will suffer. </w:t>
      </w:r>
      <w:r>
        <w:rPr>
          <w:rFonts w:asciiTheme="majorBidi" w:hAnsiTheme="majorBidi" w:cstheme="majorBidi"/>
        </w:rPr>
        <w:t xml:space="preserve">(P08, female, &gt;15 years’ experience, Hospital B)</w:t>
      </w:r>
    </w:p>
    <w:p w14:paraId="79A1AD1C" w14:textId="12EBD59D" w:rsidR="00162C60" w:rsidRPr="003B5102" w:rsidRDefault="003B5102" w:rsidP="00E208DD">
      <w:pPr>
        <w:bidi w:val="0"/>
        <w:spacing w:line="360" w:lineRule="auto"/>
        <w:ind w:firstLine="720"/>
        <w:jc w:val="both"/>
        <w:rPr>
          <w:rFonts w:asciiTheme="majorBidi" w:hAnsiTheme="majorBidi" w:cstheme="majorBidi"/>
        </w:rPr>
      </w:pPr>
      <w:r>
        <w:rPr>
          <w:rFonts w:asciiTheme="majorBidi" w:hAnsiTheme="majorBidi" w:cstheme="majorBidi"/>
        </w:rPr>
        <w:t xml:space="preserve">These accounts positioned AI as valuable but insufficient on its own, with patient safety ultimately enacted through the nurse’s interpretive, relational, and professional role at the bedside. Taken together, the subthemes show that AI both enhanced and complicated safety, but never displaced the centrality of nursing judgment. </w:t>
      </w:r>
    </w:p>
    <w:p w14:paraId="32D22019" w14:textId="77777777" w:rsidR="003B5102" w:rsidRPr="003B5102" w:rsidRDefault="003B5102" w:rsidP="00F05334">
      <w:pPr>
        <w:bidi w:val="0"/>
        <w:spacing w:line="360" w:lineRule="auto"/>
        <w:jc w:val="both"/>
        <w:rPr>
          <w:rFonts w:asciiTheme="majorBidi" w:hAnsiTheme="majorBidi" w:cstheme="majorBidi"/>
          <w:b/>
          <w:bCs/>
        </w:rPr>
      </w:pPr>
      <w:r>
        <w:rPr>
          <w:rFonts w:asciiTheme="majorBidi" w:hAnsiTheme="majorBidi" w:cstheme="majorBidi"/>
          <w:b/>
          <w:bCs/>
        </w:rPr>
        <w:t>Theme 4. The Conditions That Shape the Space Between Alert and Action: Contextual and Professional Factors Mediating Nurses’ AI Experiences</w:t>
      </w:r>
    </w:p>
    <w:p w14:paraId="422627B0"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This theme highlights the contextual and professional conditions that shaped nurses’ engagement with AI-assisted early warning systems. Across accounts, interaction with AI was mediated as much by organisational and relational context as by the technology itself. </w:t>
      </w:r>
    </w:p>
    <w:p w14:paraId="4CCD6527"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4.1 Trust as a constructed and contingent achievement</w:t>
      </w:r>
    </w:p>
    <w:p w14:paraId="7EAE5751"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Participants described trust in AI as something developed through repeated experience rather than assumed from implementation. Trust was presented as contingent, selective, and vulnerable to erosion.</w:t>
      </w:r>
    </w:p>
    <w:p w14:paraId="0158A994" w14:textId="09387884" w:rsidR="003B5102" w:rsidRDefault="003B5102" w:rsidP="00F05334">
      <w:pPr>
        <w:pStyle w:val="ListParagraph"/>
        <w:bidi w:val="0"/>
        <w:spacing w:after="0" w:line="360" w:lineRule="auto"/>
        <w:ind w:left="1440"/>
        <w:jc w:val="both"/>
        <w:rPr>
          <w:rFonts w:asciiTheme="majorBidi" w:hAnsiTheme="majorBidi" w:cstheme="majorBidi"/>
          <w:i/>
          <w:iCs/>
        </w:rPr>
      </w:pPr>
      <w:r>
        <w:rPr>
          <w:rFonts w:asciiTheme="majorBidi" w:hAnsiTheme="majorBidi" w:cstheme="majorBidi"/>
          <w:i/>
          <w:iCs/>
        </w:rPr>
        <w:lastRenderedPageBreak/>
        <w:t xml:space="preserve">Trust is not something you decide to give. It is something the system earns over time. And it can lose it very quickly. One missed deterioration that the system should have caught, one time it alarmed on nothing while a real problem was developing elsewhere, and your confidence shifts. </w:t>
      </w:r>
      <w:r>
        <w:rPr>
          <w:rFonts w:asciiTheme="majorBidi" w:hAnsiTheme="majorBidi" w:cstheme="majorBidi"/>
        </w:rPr>
        <w:t xml:space="preserve">(P15, male, 11–15 years’ experience, Hospital C)</w:t>
      </w:r>
    </w:p>
    <w:p w14:paraId="7917CE74" w14:textId="77777777" w:rsidR="00F05334" w:rsidRPr="003B5102" w:rsidRDefault="00F05334" w:rsidP="00F05334">
      <w:pPr>
        <w:pStyle w:val="ListParagraph"/>
        <w:bidi w:val="0"/>
        <w:spacing w:after="0" w:line="240" w:lineRule="auto"/>
        <w:ind w:left="1440"/>
        <w:jc w:val="both"/>
        <w:rPr>
          <w:rFonts w:asciiTheme="majorBidi" w:hAnsiTheme="majorBidi" w:cstheme="majorBidi"/>
          <w:i/>
          <w:iCs/>
        </w:rPr>
      </w:pPr>
    </w:p>
    <w:p w14:paraId="416E3CA7" w14:textId="0BD01630" w:rsidR="003B5102" w:rsidRPr="003B5102" w:rsidRDefault="003B5102" w:rsidP="00F05334">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I trust the sepsis alerts more than the respiratory ones in our unit. The sepsis model has been accurate for us more times than I can count. The respiratory alerts are less reliable, maybe the patient population, maybe the thresholds. So I approach them differently. That is not distrust of the technology; it is calibrated trust. </w:t>
      </w:r>
      <w:r>
        <w:rPr>
          <w:rFonts w:asciiTheme="majorBidi" w:hAnsiTheme="majorBidi" w:cstheme="majorBidi"/>
        </w:rPr>
        <w:t xml:space="preserve">(P04, male, 11–15 years’ experience, Hospital A)</w:t>
      </w:r>
    </w:p>
    <w:p w14:paraId="3D199AC0" w14:textId="4BBB041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Trust was therefore described less as a general attitude toward AI than as a situated judgment shaped by repeated local experience. Participants with prior exposure to more digitally mature healthcare systems also described needing to recalibrate expectations regarding the specific systems used in Saudi practice. </w:t>
      </w:r>
    </w:p>
    <w:p w14:paraId="1A529304"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t>4.2 Professional autonomy and institutional authority</w:t>
      </w:r>
    </w:p>
    <w:p w14:paraId="6CDEBD11"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A recurring tension concerned the relationship between nursing autonomy and the authority attributed to AI alerts within institutional protocols.</w:t>
      </w:r>
    </w:p>
    <w:p w14:paraId="3808335B" w14:textId="0FFAF994" w:rsidR="003B5102" w:rsidRDefault="003B5102" w:rsidP="004A45AB">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In theory, I have the autonomy to assess an alert and decide it is not clinically significant. In practice, if I document that I assessed and did not act, and then something happens to that patient, I know the first question will be: " Why did you ignore the alert? The alert has authority in this institution. My judgment has to argue with it. </w:t>
      </w:r>
      <w:r>
        <w:rPr>
          <w:rFonts w:asciiTheme="majorBidi" w:hAnsiTheme="majorBidi" w:cstheme="majorBidi"/>
        </w:rPr>
        <w:t xml:space="preserve">(P22, female, 11–15 years’ experience, Hospital D)</w:t>
      </w:r>
    </w:p>
    <w:p w14:paraId="2AB7D23E" w14:textId="77777777" w:rsidR="004A45AB" w:rsidRPr="003B5102" w:rsidRDefault="004A45AB" w:rsidP="00084122">
      <w:pPr>
        <w:pStyle w:val="ListParagraph"/>
        <w:bidi w:val="0"/>
        <w:spacing w:after="0" w:line="240" w:lineRule="auto"/>
        <w:ind w:left="1440"/>
        <w:jc w:val="both"/>
        <w:rPr>
          <w:rFonts w:asciiTheme="majorBidi" w:hAnsiTheme="majorBidi" w:cstheme="majorBidi"/>
          <w:i/>
          <w:iCs/>
        </w:rPr>
      </w:pPr>
    </w:p>
    <w:p w14:paraId="2DA6FF67" w14:textId="58238E24" w:rsidR="003B5102" w:rsidRPr="003B5102" w:rsidRDefault="003B5102" w:rsidP="004A45AB">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I think the system should support my decision, not challenge it. When I feel like I have to justify myself to a machine, something has gone wrong with how we have implemented this technology. </w:t>
      </w:r>
      <w:r>
        <w:rPr>
          <w:rFonts w:asciiTheme="majorBidi" w:hAnsiTheme="majorBidi" w:cstheme="majorBidi"/>
        </w:rPr>
        <w:t xml:space="preserve">(P16, female, 6–10 years’ experience, Hospital C)</w:t>
      </w:r>
    </w:p>
    <w:p w14:paraId="009A54E2" w14:textId="179D4521" w:rsidR="00DD3DF4" w:rsidRDefault="003B5102" w:rsidP="00162C60">
      <w:pPr>
        <w:bidi w:val="0"/>
        <w:spacing w:line="360" w:lineRule="auto"/>
        <w:ind w:firstLine="720"/>
        <w:jc w:val="both"/>
        <w:rPr>
          <w:rFonts w:asciiTheme="majorBidi" w:hAnsiTheme="majorBidi" w:cstheme="majorBidi"/>
        </w:rPr>
      </w:pPr>
      <w:r>
        <w:rPr>
          <w:rFonts w:asciiTheme="majorBidi" w:hAnsiTheme="majorBidi" w:cstheme="majorBidi"/>
        </w:rPr>
        <w:t xml:space="preserve">In contrast, three participants at Hospital A described a more collaborative relationship with the system, where alerts were treated as one input among several rather than as mandatory triggers for escalation. These accounts suggest that institutional governance shaped the extent to which AI was experienced as supportive, supervisory, or professionally constraining. </w:t>
      </w:r>
    </w:p>
    <w:p w14:paraId="7DA0CC01" w14:textId="77777777" w:rsidR="00E208DD" w:rsidRDefault="00E208DD" w:rsidP="00E208DD">
      <w:pPr>
        <w:bidi w:val="0"/>
        <w:spacing w:line="360" w:lineRule="auto"/>
        <w:ind w:firstLine="720"/>
        <w:jc w:val="both"/>
        <w:rPr>
          <w:rFonts w:asciiTheme="majorBidi" w:hAnsiTheme="majorBidi" w:cstheme="majorBidi"/>
        </w:rPr>
      </w:pPr>
    </w:p>
    <w:p w14:paraId="66D29331" w14:textId="77777777" w:rsidR="00E208DD" w:rsidRPr="003B5102" w:rsidRDefault="00E208DD" w:rsidP="00E208DD">
      <w:pPr>
        <w:bidi w:val="0"/>
        <w:spacing w:line="360" w:lineRule="auto"/>
        <w:ind w:firstLine="720"/>
        <w:jc w:val="both"/>
        <w:rPr>
          <w:rFonts w:asciiTheme="majorBidi" w:hAnsiTheme="majorBidi" w:cstheme="majorBidi"/>
        </w:rPr>
      </w:pPr>
    </w:p>
    <w:p w14:paraId="09F09906" w14:textId="77777777" w:rsidR="003B5102" w:rsidRPr="003B5102" w:rsidRDefault="003B5102" w:rsidP="00E208DD">
      <w:pPr>
        <w:bidi w:val="0"/>
        <w:spacing w:line="240" w:lineRule="auto"/>
        <w:ind w:firstLine="720"/>
        <w:jc w:val="both"/>
        <w:rPr>
          <w:rFonts w:asciiTheme="majorBidi" w:hAnsiTheme="majorBidi" w:cstheme="majorBidi"/>
          <w:b/>
          <w:bCs/>
        </w:rPr>
      </w:pPr>
      <w:r>
        <w:rPr>
          <w:rFonts w:asciiTheme="majorBidi" w:hAnsiTheme="majorBidi" w:cstheme="majorBidi"/>
          <w:b/>
          <w:bCs/>
        </w:rPr>
        <w:lastRenderedPageBreak/>
        <w:t>4.3 Education, support, and readiness</w:t>
      </w:r>
    </w:p>
    <w:p w14:paraId="6E2B3300"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Most participants (n = 21) described training and preparation as inadequate relative to the complexity of AI-assisted early warning systems.</w:t>
      </w:r>
    </w:p>
    <w:p w14:paraId="0A506D35" w14:textId="75F2908E" w:rsidR="003B5102" w:rsidRDefault="003B5102" w:rsidP="00084122">
      <w:pPr>
        <w:pStyle w:val="ListParagraph"/>
        <w:bidi w:val="0"/>
        <w:spacing w:after="0" w:line="360" w:lineRule="auto"/>
        <w:ind w:left="1440"/>
        <w:jc w:val="both"/>
        <w:rPr>
          <w:rFonts w:asciiTheme="majorBidi" w:hAnsiTheme="majorBidi" w:cstheme="majorBidi"/>
          <w:i/>
          <w:iCs/>
        </w:rPr>
      </w:pPr>
      <w:r>
        <w:rPr>
          <w:rFonts w:asciiTheme="majorBidi" w:hAnsiTheme="majorBidi" w:cstheme="majorBidi"/>
          <w:i/>
          <w:iCs/>
        </w:rPr>
        <w:t xml:space="preserve">We had two training sessions when the system was introduced. Two sessions for a tool that is supposed to change how we manage patient safety. After that, you were on your own. You learned by doing, by asking colleagues, by making mistakes and hoping nothing bad happened. </w:t>
      </w:r>
      <w:r>
        <w:rPr>
          <w:rFonts w:asciiTheme="majorBidi" w:hAnsiTheme="majorBidi" w:cstheme="majorBidi"/>
        </w:rPr>
        <w:t xml:space="preserve">(P09, male, ≤5 years’ experience, Hospital B)</w:t>
      </w:r>
    </w:p>
    <w:p w14:paraId="68C6EAB8" w14:textId="77777777" w:rsidR="00787DA0" w:rsidRPr="003B5102" w:rsidRDefault="00787DA0" w:rsidP="00084122">
      <w:pPr>
        <w:pStyle w:val="ListParagraph"/>
        <w:bidi w:val="0"/>
        <w:spacing w:after="0" w:line="240" w:lineRule="auto"/>
        <w:ind w:left="1440"/>
        <w:jc w:val="both"/>
        <w:rPr>
          <w:rFonts w:asciiTheme="majorBidi" w:hAnsiTheme="majorBidi" w:cstheme="majorBidi"/>
          <w:i/>
          <w:iCs/>
        </w:rPr>
      </w:pPr>
    </w:p>
    <w:p w14:paraId="4A7A3470" w14:textId="550CD6F3" w:rsidR="003B5102" w:rsidRPr="003B5102" w:rsidRDefault="003B5102" w:rsidP="00787DA0">
      <w:pPr>
        <w:pStyle w:val="ListParagraph"/>
        <w:bidi w:val="0"/>
        <w:spacing w:line="360" w:lineRule="auto"/>
        <w:ind w:left="1440"/>
        <w:jc w:val="both"/>
        <w:rPr>
          <w:rFonts w:asciiTheme="majorBidi" w:hAnsiTheme="majorBidi" w:cstheme="majorBidi"/>
          <w:i/>
          <w:iCs/>
        </w:rPr>
      </w:pPr>
      <w:r>
        <w:rPr>
          <w:rFonts w:asciiTheme="majorBidi" w:hAnsiTheme="majorBidi" w:cstheme="majorBidi"/>
          <w:i/>
          <w:iCs/>
        </w:rPr>
        <w:t xml:space="preserve">I think the hospital assumes that because we are nurses, we will just adapt. And we do, nurses always adapt. But adapting is not the same as being prepared. Adapting means finding your own way through something that should have been explained properly. </w:t>
      </w:r>
      <w:r>
        <w:rPr>
          <w:rFonts w:asciiTheme="majorBidi" w:hAnsiTheme="majorBidi" w:cstheme="majorBidi"/>
        </w:rPr>
        <w:t xml:space="preserve">(P03, female, ≤5 years’ experience, Hospital A)</w:t>
      </w:r>
    </w:p>
    <w:p w14:paraId="4D3A90A4" w14:textId="77777777" w:rsidR="003B5102" w:rsidRPr="003B5102" w:rsidRDefault="003B5102" w:rsidP="003B5102">
      <w:pPr>
        <w:bidi w:val="0"/>
        <w:spacing w:line="360" w:lineRule="auto"/>
        <w:ind w:firstLine="720"/>
        <w:jc w:val="both"/>
        <w:rPr>
          <w:rFonts w:asciiTheme="majorBidi" w:hAnsiTheme="majorBidi" w:cstheme="majorBidi"/>
        </w:rPr>
      </w:pPr>
      <w:r>
        <w:rPr>
          <w:rFonts w:asciiTheme="majorBidi" w:hAnsiTheme="majorBidi" w:cstheme="majorBidi"/>
        </w:rPr>
        <w:t xml:space="preserve">A disconfirming perspective came from two senior nurses (P11 and P18), who described developing competence through self-directed engagement with literature, vendor materials, and peer consultation. Rather than weakening the dominant pattern, these accounts highlighted how atypical such self-directed preparation was and underscored the limited institutional support available to most participants. Together, the subthemes show that nurses’ experiences of AI-assisted care were deeply shaped by training, governance, and the broader organisational environment in which alerts were interpreted and acted upon. </w:t>
      </w:r>
    </w:p>
    <w:p w14:paraId="73E09729" w14:textId="4B18F204" w:rsidR="00041EBE" w:rsidRDefault="003B5102" w:rsidP="00787DA0">
      <w:pPr>
        <w:bidi w:val="0"/>
        <w:spacing w:line="360" w:lineRule="auto"/>
        <w:ind w:firstLine="720"/>
        <w:jc w:val="both"/>
        <w:rPr>
          <w:rFonts w:asciiTheme="majorBidi" w:hAnsiTheme="majorBidi" w:cstheme="majorBidi"/>
        </w:rPr>
      </w:pPr>
      <w:r>
        <w:rPr>
          <w:rFonts w:asciiTheme="majorBidi" w:hAnsiTheme="majorBidi" w:cstheme="majorBidi"/>
        </w:rPr>
        <w:t>Collectively, these four interpretive themes advance understanding of critical care nurses’ experiences of AI-assisted early warning systems as a phenomenon that is simultaneously cognitive, relational, professional, and organisational. Rather than functioning as neutral technical aids, AI-assisted early warning systems were experienced through the interplay of algorithmic outputs, nursing judgment, patient-specific knowledge, workload conditions, and institutional support. The relationships among the themes and subthemes are illustrated in Figure 2.</w:t>
      </w:r>
    </w:p>
    <w:p w14:paraId="075A753B" w14:textId="09112448" w:rsidR="00843EDE" w:rsidRDefault="00843EDE" w:rsidP="00843EDE">
      <w:pPr>
        <w:bidi w:val="0"/>
        <w:spacing w:line="360" w:lineRule="auto"/>
        <w:ind w:firstLine="720"/>
        <w:jc w:val="both"/>
        <w:rPr>
          <w:rFonts w:asciiTheme="majorBidi" w:hAnsiTheme="majorBidi" w:cstheme="majorBidi"/>
        </w:rPr>
      </w:pPr>
      <w:r>
        <w:rPr>
          <w:noProof/>
        </w:rPr>
        <w:lastRenderedPageBreak/>
        <w:drawing>
          <wp:inline distT="0" distB="0" distL="0" distR="0" wp14:anchorId="12A0984D" wp14:editId="666EC99F">
            <wp:extent cx="5144948" cy="4691208"/>
            <wp:effectExtent l="0" t="0" r="0" b="5080"/>
            <wp:docPr id="301497738" name="Picture 2" descr="The image illustrates a complex network of interactions between nurses and an Early Warning System (EWS) in a multinational adult ICU setting. It depicts various aspects such as the learning curve, integration of data, managing alarm fatigue, decision-making, and the balance between professional autonomy and system reliabilit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97738" name="Picture 2" descr="The image illustrates a complex network of interactions between nurses and an Early Warning System (EWS) in a multinational adult ICU setting. It depicts various aspects such as the learning curve, integration of data, managing alarm fatigue, decision-making, and the balance between professional autonomy and system reliability.  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61377" cy="4706188"/>
                    </a:xfrm>
                    <a:prstGeom prst="rect">
                      <a:avLst/>
                    </a:prstGeom>
                    <a:noFill/>
                    <a:ln>
                      <a:noFill/>
                    </a:ln>
                  </pic:spPr>
                </pic:pic>
              </a:graphicData>
            </a:graphic>
          </wp:inline>
        </w:drawing>
      </w:r>
    </w:p>
    <w:p w14:paraId="28B9860B" w14:textId="482C5568" w:rsidR="008D5F38" w:rsidRPr="008D5F38" w:rsidRDefault="008D5F38" w:rsidP="008D5F38">
      <w:pPr>
        <w:bidi w:val="0"/>
        <w:spacing w:line="360" w:lineRule="auto"/>
        <w:ind w:firstLine="720"/>
        <w:jc w:val="center"/>
        <w:rPr>
          <w:rFonts w:asciiTheme="majorBidi" w:hAnsiTheme="majorBidi" w:cstheme="majorBidi"/>
          <w:i/>
          <w:iCs/>
          <w:sz w:val="20"/>
          <w:szCs w:val="20"/>
        </w:rPr>
      </w:pPr>
      <w:r>
        <w:rPr>
          <w:rFonts w:asciiTheme="majorBidi" w:hAnsiTheme="majorBidi" w:cstheme="majorBidi"/>
          <w:b/>
          <w:bCs/>
          <w:i/>
          <w:iCs/>
          <w:sz w:val="20"/>
          <w:szCs w:val="20"/>
        </w:rPr>
        <w:t>Figure 2.</w:t>
      </w:r>
      <w:r>
        <w:rPr>
          <w:rFonts w:asciiTheme="majorBidi" w:hAnsiTheme="majorBidi" w:cstheme="majorBidi"/>
          <w:i/>
          <w:iCs/>
          <w:sz w:val="20"/>
          <w:szCs w:val="20"/>
        </w:rPr>
        <w:t xml:space="preserve"> Thematic map of critical care nurses’ experiences of AI-assisted early warning systems, clinical judgment, and patient safety in Saudi Arabia</w:t>
      </w:r>
      <w:r>
        <w:rPr>
          <w:rFonts w:asciiTheme="majorBidi" w:hAnsiTheme="majorBidi" w:cstheme="majorBidi"/>
          <w:i/>
          <w:iCs/>
          <w:sz w:val="20"/>
          <w:szCs w:val="20"/>
        </w:rPr>
        <w:t xml:space="preserve">. Themes are shown with their subthemes; connecting lines indicate interpretive relationships, not causal pathways. The figure was redrawn during revision using AI-assisted plotting code generated from the authors’ thematic structure (Table 3) and was checked by the authors.</w:t>
      </w:r>
    </w:p>
    <w:p w14:paraId="334157C3" w14:textId="6C54A450" w:rsidR="00605270" w:rsidRPr="00C415D2" w:rsidRDefault="00C415D2" w:rsidP="00801169">
      <w:pPr>
        <w:pStyle w:val="ListParagraph"/>
        <w:numPr>
          <w:ilvl w:val="0"/>
          <w:numId w:val="3"/>
        </w:numPr>
        <w:bidi w:val="0"/>
        <w:spacing w:line="276" w:lineRule="auto"/>
        <w:jc w:val="both"/>
        <w:rPr>
          <w:rFonts w:asciiTheme="majorBidi" w:hAnsiTheme="majorBidi" w:cstheme="majorBidi"/>
          <w:b/>
          <w:bCs/>
        </w:rPr>
      </w:pPr>
      <w:r>
        <w:rPr>
          <w:rFonts w:asciiTheme="majorBidi" w:hAnsiTheme="majorBidi" w:cstheme="majorBidi"/>
          <w:b/>
          <w:bCs/>
        </w:rPr>
        <w:t xml:space="preserve">Discussion </w:t>
      </w:r>
    </w:p>
    <w:p w14:paraId="12198019" w14:textId="108F1CF8" w:rsidR="00845BBE" w:rsidRPr="00845BBE" w:rsidRDefault="00041EBE" w:rsidP="00845BBE">
      <w:pPr>
        <w:bidi w:val="0"/>
        <w:spacing w:line="360" w:lineRule="auto"/>
        <w:ind w:firstLine="720"/>
        <w:jc w:val="both"/>
        <w:rPr>
          <w:rFonts w:asciiTheme="majorBidi" w:hAnsiTheme="majorBidi" w:cstheme="majorBidi"/>
        </w:rPr>
      </w:pPr>
      <w:r>
        <w:rPr>
          <w:rFonts w:asciiTheme="majorBidi" w:hAnsiTheme="majorBidi" w:cstheme="majorBidi"/>
        </w:rPr>
        <w:t xml:space="preserve">This study provides qualitative evidence on how critical care nurses in Saudi Arabia experience AI-assisted early warning systems in relation to clinical judgment and patient safety. The findings show that AI-assisted early warning is experienced not simply as a technical aid, but as a practice condition that reshapes how nurses interpret deterioration, manage uncertainty, and exercise professional responsibility. Across the four themes, effective engagement with AI depended on evolving nurse–system relationships, interpretive judgment, the co-production of patient safety, and organisational conditions that supported or constrained nurses’ use of alert information. These findings extend predominantly quantitative literature on AI in nursing by showing that nurses’ experiential knowledge is central to whether AI-assisted early warning functions as a support for safe care or as an additional source of burden and risk. </w:t>
      </w:r>
    </w:p>
    <w:p w14:paraId="775407FC" w14:textId="77777777" w:rsidR="00845BBE" w:rsidRPr="00845BBE" w:rsidRDefault="00845BBE" w:rsidP="001A6D64">
      <w:pPr>
        <w:bidi w:val="0"/>
        <w:spacing w:line="240" w:lineRule="auto"/>
        <w:ind w:firstLine="720"/>
        <w:jc w:val="both"/>
        <w:rPr>
          <w:rFonts w:asciiTheme="majorBidi" w:hAnsiTheme="majorBidi" w:cstheme="majorBidi"/>
          <w:b/>
          <w:bCs/>
        </w:rPr>
      </w:pPr>
      <w:r>
        <w:rPr>
          <w:rFonts w:asciiTheme="majorBidi" w:hAnsiTheme="majorBidi" w:cstheme="majorBidi"/>
          <w:b/>
          <w:bCs/>
        </w:rPr>
        <w:t>4.1 AI-Assisted Early Warning as an Evolving Practice Relationship</w:t>
      </w:r>
    </w:p>
    <w:p w14:paraId="0F6F4A76" w14:textId="57A08A0F" w:rsidR="00845BBE" w:rsidRPr="00845BBE" w:rsidRDefault="009E7519" w:rsidP="00E2014C">
      <w:pPr>
        <w:bidi w:val="0"/>
        <w:spacing w:line="360" w:lineRule="auto"/>
        <w:ind w:firstLine="720"/>
        <w:jc w:val="both"/>
        <w:rPr>
          <w:rFonts w:asciiTheme="majorBidi" w:hAnsiTheme="majorBidi" w:cstheme="majorBidi"/>
        </w:rPr>
      </w:pPr>
      <w:r>
        <w:rPr>
          <w:rFonts w:asciiTheme="majorBidi" w:hAnsiTheme="majorBidi" w:cstheme="majorBidi"/>
        </w:rPr>
        <w:t xml:space="preserve">The findings showed that engagement with AI-assisted early warning was not established at implementation but developed through repeated exposure, peer interaction, and practical calibration. Initial uncertainty, particularly among less experienced nurses, suggests that early use of AI may heighten rather than reduce anxiety when the meaning of alerts is unclear.</w:t>
      </w:r>
      <w:r>
        <w:rPr>
          <w:rFonts w:asciiTheme="majorBidi" w:hAnsiTheme="majorBidi" w:cstheme="majorBidi"/>
        </w:rPr>
        <w:t xml:space="preserve"> Earlier work has largely treated technology acceptance as an attitude or intention measured at adoption [9, 36, 62, 63]; these findings suggest instead that acceptance develops through everyday practice, consistent with frameworks emphasising the continuing mutual adaptation of technologies, users, and organisations [64]. In Saudi Arabia, where internationally recruited nurses form a large share of the nursing workforce [65], this may be further complicated for nurses adapting simultaneously to a new organisational and cultural environment [66] and a new digital system. The prominence of peer-mediated learning is consistent with accounts of expertise developing through experience and shared practical knowledge [67]; it makes informal socialisation central to how AI becomes usable but introduces variability in what is learned, pointing to the need for structured onboarding.</w:t>
      </w:r>
      <w:r>
        <w:rPr>
          <w:rFonts w:asciiTheme="majorBidi" w:hAnsiTheme="majorBidi" w:cstheme="majorBidi"/>
        </w:rPr>
        <w:t xml:space="preserve"> Alert burden was another defining feature of this evolving relationship.</w:t>
      </w:r>
      <w:r>
        <w:rPr>
          <w:rFonts w:asciiTheme="majorBidi" w:hAnsiTheme="majorBidi" w:cstheme="majorBidi"/>
        </w:rPr>
        <w:t xml:space="preserve"> Participants’ accounts align with the alarm-fatigue literature [46, 68] and indicate that alert fatigue was experienced not only as attentional depletion but also as a professional and emotional burden linked to system design and workload conditions [69].</w:t>
      </w:r>
    </w:p>
    <w:p w14:paraId="3B8859EC" w14:textId="77777777" w:rsidR="00845BBE" w:rsidRPr="00845BBE" w:rsidRDefault="00845BBE" w:rsidP="00801169">
      <w:pPr>
        <w:bidi w:val="0"/>
        <w:spacing w:after="0" w:line="360" w:lineRule="auto"/>
        <w:ind w:firstLine="720"/>
        <w:jc w:val="both"/>
        <w:rPr>
          <w:rFonts w:asciiTheme="majorBidi" w:hAnsiTheme="majorBidi" w:cstheme="majorBidi"/>
          <w:b/>
          <w:bCs/>
        </w:rPr>
      </w:pPr>
      <w:r>
        <w:rPr>
          <w:rFonts w:asciiTheme="majorBidi" w:hAnsiTheme="majorBidi" w:cstheme="majorBidi"/>
          <w:b/>
          <w:bCs/>
        </w:rPr>
        <w:t>4.2 Clinical Judgment in AI-Augmented Critical Care as Interpretive Practice</w:t>
      </w:r>
    </w:p>
    <w:p w14:paraId="27B23888" w14:textId="7EB6436F" w:rsidR="00EB0D06" w:rsidRDefault="00894581" w:rsidP="00894581">
      <w:pPr>
        <w:bidi w:val="0"/>
        <w:spacing w:line="360" w:lineRule="auto"/>
        <w:ind w:firstLine="720"/>
        <w:jc w:val="both"/>
        <w:rPr>
          <w:rFonts w:asciiTheme="majorBidi" w:hAnsiTheme="majorBidi" w:cstheme="majorBidi"/>
        </w:rPr>
      </w:pPr>
      <w:r>
        <w:rPr>
          <w:rFonts w:asciiTheme="majorBidi" w:hAnsiTheme="majorBidi" w:cstheme="majorBidi"/>
        </w:rPr>
        <w:t xml:space="preserve">AI-assisted early warning did not simplify clinical judgment; instead, it introduced an additional layer of interpretation. Nurses described balancing algorithmic alerts against direct patient assessment, prior knowledge of the patient, and the immediate constraints of workload and time pressure.</w:t>
      </w:r>
      <w:r>
        <w:rPr>
          <w:rFonts w:asciiTheme="majorBidi" w:hAnsiTheme="majorBidi" w:cstheme="majorBidi"/>
        </w:rPr>
        <w:t xml:space="preserve"> These findings are consistent with the wider literature on clinical decision support, which suggests that digital systems do not remove judgment but reshape how it is exercised in practice [17, 30]. The identification of three alert response modes (overriding, deferring, and negotiating) extends binary accounts of automation bias, which contrast over-reliance with under-reliance on decision support [45, 70], by showing that nurses’ responses were often conditional and professionally reasoned. Negotiation, in particular, emerged as an expression of judgment rather than indecision, consistent with conceptualisations of clinical judgment as interpretation and response grounded in knowledge of the particular patient [43].</w:t>
      </w:r>
    </w:p>
    <w:p w14:paraId="1F9D8BCB" w14:textId="0D2B27D3" w:rsidR="00845BBE" w:rsidRPr="00845BBE" w:rsidRDefault="00894581" w:rsidP="00EB0D06">
      <w:pPr>
        <w:bidi w:val="0"/>
        <w:spacing w:line="360" w:lineRule="auto"/>
        <w:ind w:firstLine="720"/>
        <w:jc w:val="both"/>
        <w:rPr>
          <w:rFonts w:asciiTheme="majorBidi" w:hAnsiTheme="majorBidi" w:cstheme="majorBidi"/>
        </w:rPr>
      </w:pPr>
      <w:r>
        <w:rPr>
          <w:rFonts w:asciiTheme="majorBidi" w:hAnsiTheme="majorBidi" w:cstheme="majorBidi"/>
        </w:rPr>
        <w:t xml:space="preserve">The findings also showed that institutional protocol influenced how freely such judgment could be exercised. Documentation requirements for non-action were associated with a more defensive orientation toward alerts, whereas governance arrangements that framed alerts as one input among several were associated with a more collaborative relationship with the system.</w:t>
      </w:r>
      <w:r>
        <w:rPr>
          <w:rFonts w:asciiTheme="majorBidi" w:hAnsiTheme="majorBidi" w:cstheme="majorBidi"/>
        </w:rPr>
        <w:t xml:space="preserve"> These contrasts suggest that governance design may be as important as the technology itself in shaping nurses’ everyday engagement with AI.</w:t>
      </w:r>
      <w:r>
        <w:rPr>
          <w:rFonts w:asciiTheme="majorBidi" w:hAnsiTheme="majorBidi" w:cstheme="majorBidi"/>
        </w:rPr>
        <w:t xml:space="preserve"> Under time pressure and competing demands, participants described alert-related decision-making as faster, more intuitive, and more burdened by uncertainty [69].</w:t>
      </w:r>
      <w:r>
        <w:rPr>
          <w:rFonts w:asciiTheme="majorBidi" w:hAnsiTheme="majorBidi" w:cstheme="majorBidi"/>
        </w:rPr>
        <w:t xml:space="preserve"> This observation adds an experiential dimension to the literature on workload and clinical decision support by showing that uncertainty is carried not only at the moment of action, but also afterwards as an ongoing professional burden [71].</w:t>
      </w:r>
    </w:p>
    <w:p w14:paraId="7A08ACC1" w14:textId="77777777" w:rsidR="00845BBE" w:rsidRPr="00845BBE" w:rsidRDefault="00845BBE" w:rsidP="00801169">
      <w:pPr>
        <w:bidi w:val="0"/>
        <w:spacing w:after="0" w:line="360" w:lineRule="auto"/>
        <w:ind w:firstLine="720"/>
        <w:jc w:val="both"/>
        <w:rPr>
          <w:rFonts w:asciiTheme="majorBidi" w:hAnsiTheme="majorBidi" w:cstheme="majorBidi"/>
          <w:b/>
          <w:bCs/>
        </w:rPr>
      </w:pPr>
      <w:r>
        <w:rPr>
          <w:rFonts w:asciiTheme="majorBidi" w:hAnsiTheme="majorBidi" w:cstheme="majorBidi"/>
          <w:b/>
          <w:bCs/>
        </w:rPr>
        <w:t>4.3 Patient Safety as Co-Produced Through Technology and Nursing Judgment</w:t>
      </w:r>
    </w:p>
    <w:p w14:paraId="2405CA87" w14:textId="5794A7A5" w:rsidR="00EB0D06" w:rsidRDefault="00845BBE" w:rsidP="00EB0D06">
      <w:pPr>
        <w:bidi w:val="0"/>
        <w:spacing w:line="360" w:lineRule="auto"/>
        <w:ind w:firstLine="720"/>
        <w:jc w:val="both"/>
        <w:rPr>
          <w:rFonts w:asciiTheme="majorBidi" w:hAnsiTheme="majorBidi" w:cstheme="majorBidi"/>
        </w:rPr>
      </w:pPr>
      <w:r>
        <w:rPr>
          <w:rFonts w:asciiTheme="majorBidi" w:hAnsiTheme="majorBidi" w:cstheme="majorBidi"/>
        </w:rPr>
        <w:t xml:space="preserve">Patient safety in AI-augmented critical care was experienced as co-produced through algorithmic surveillance and nursing judgment. Participants neither rejected AI as unsafe nor regarded it as sufficient on its own. Instead, they described safety as depending on whether alert outputs were meaningfully interpreted and acted upon within the context of bedside care.</w:t>
      </w:r>
      <w:r>
        <w:rPr>
          <w:rFonts w:asciiTheme="majorBidi" w:hAnsiTheme="majorBidi" w:cstheme="majorBidi"/>
        </w:rPr>
        <w:t xml:space="preserve"> This interpretation aligns with sociotechnical perspectives that emphasise the human work required to translate digital outputs into safe clinical action [44, 72].</w:t>
      </w:r>
      <w:r>
        <w:rPr>
          <w:rFonts w:asciiTheme="majorBidi" w:hAnsiTheme="majorBidi" w:cstheme="majorBidi"/>
        </w:rPr>
        <w:t xml:space="preserve"> An important finding was that the perceived safety value of AI varied with nurses’ available attentional capacity.</w:t>
      </w:r>
      <w:r>
        <w:rPr>
          <w:rFonts w:asciiTheme="majorBidi" w:hAnsiTheme="majorBidi" w:cstheme="majorBidi"/>
        </w:rPr>
        <w:t xml:space="preserve"> AI appeared most beneficial when surveillance resources were constrained, yet those same conditions also increased vulnerability to alert fatigue [46].</w:t>
      </w:r>
    </w:p>
    <w:p w14:paraId="08C4A20E" w14:textId="17BB83CE" w:rsidR="00845BBE" w:rsidRPr="00845BBE" w:rsidRDefault="00EB0D06" w:rsidP="00EB0D06">
      <w:pPr>
        <w:bidi w:val="0"/>
        <w:spacing w:line="360" w:lineRule="auto"/>
        <w:ind w:firstLine="720"/>
        <w:jc w:val="both"/>
        <w:rPr>
          <w:rFonts w:asciiTheme="majorBidi" w:hAnsiTheme="majorBidi" w:cstheme="majorBidi"/>
        </w:rPr>
      </w:pPr>
      <w:r>
        <w:rPr>
          <w:rFonts w:asciiTheme="majorBidi" w:hAnsiTheme="majorBidi" w:cstheme="majorBidi"/>
        </w:rPr>
        <w:t xml:space="preserve">These findings suggest that the safety contribution of AI-assisted early warning is context-sensitive rather than fixed: the settings in which AI may be most useful may also be those in which its effectiveness is most vulnerable.</w:t>
      </w:r>
      <w:r>
        <w:rPr>
          <w:rFonts w:asciiTheme="majorBidi" w:hAnsiTheme="majorBidi" w:cstheme="majorBidi"/>
        </w:rPr>
        <w:t xml:space="preserve"> False-positive alerts further complicated the safety picture. Participants described them as eroding trust, dulling vigilance, and adding emotional strain [46]. The fact that some participants linked this burden to thoughts of leaving their posts suggests that false-alert management may affect not only immediate safety practices but also perceptions of work sustainability. More broadly, participants’ emphasis on the ongoing human role in safety reinforces the view that AI-assisted early warning should be understood as an aid to nursing surveillance rather than a substitute for nursing judgment [73]. </w:t>
      </w:r>
    </w:p>
    <w:p w14:paraId="7A899FD1" w14:textId="77777777" w:rsidR="00845BBE" w:rsidRPr="00845BBE" w:rsidRDefault="00845BBE" w:rsidP="00801169">
      <w:pPr>
        <w:bidi w:val="0"/>
        <w:spacing w:after="0" w:line="360" w:lineRule="auto"/>
        <w:ind w:firstLine="720"/>
        <w:jc w:val="both"/>
        <w:rPr>
          <w:rFonts w:asciiTheme="majorBidi" w:hAnsiTheme="majorBidi" w:cstheme="majorBidi"/>
          <w:b/>
          <w:bCs/>
        </w:rPr>
      </w:pPr>
      <w:r>
        <w:rPr>
          <w:rFonts w:asciiTheme="majorBidi" w:hAnsiTheme="majorBidi" w:cstheme="majorBidi"/>
          <w:b/>
          <w:bCs/>
        </w:rPr>
        <w:t>4.4 Trust, Autonomy, and Educational Readiness as Mediating Conditions</w:t>
      </w:r>
    </w:p>
    <w:p w14:paraId="22423142" w14:textId="4364537C" w:rsidR="00E84CD4" w:rsidRDefault="006B7D0B" w:rsidP="00E84CD4">
      <w:pPr>
        <w:bidi w:val="0"/>
        <w:spacing w:line="360" w:lineRule="auto"/>
        <w:ind w:firstLine="720"/>
        <w:jc w:val="both"/>
        <w:rPr>
          <w:rFonts w:asciiTheme="majorBidi" w:hAnsiTheme="majorBidi" w:cstheme="majorBidi"/>
        </w:rPr>
      </w:pPr>
      <w:r>
        <w:rPr>
          <w:rFonts w:asciiTheme="majorBidi" w:hAnsiTheme="majorBidi" w:cstheme="majorBidi"/>
        </w:rPr>
        <w:t xml:space="preserve">Trust, autonomy, and educational readiness emerged as key conditions shaping nurses’ experiences of AI. Trust was described not as a fixed attitude toward technology, but as something built, tested, and revised through repeated local experience. Participants often differentiated between alert types, indicating that trust was selective and calibrated rather than global.</w:t>
      </w:r>
      <w:r>
        <w:rPr>
          <w:rFonts w:asciiTheme="majorBidi" w:hAnsiTheme="majorBidi" w:cstheme="majorBidi"/>
        </w:rPr>
        <w:t xml:space="preserve"> Taken together, these accounts suggest that trust in AI may be better understood as a situated practice judgment than as a stable personal trait, consistent with models that describe trust in automation as dynamic and calibrated through experience of a system’s reliability in a particular context [45].</w:t>
      </w:r>
      <w:r>
        <w:rPr>
          <w:rFonts w:asciiTheme="majorBidi" w:hAnsiTheme="majorBidi" w:cstheme="majorBidi"/>
        </w:rPr>
        <w:t xml:space="preserve"> Professional autonomy was also central. Where AI alerts were embedded in governance structures that required justification for non-action, nurses described a contraction of interpretive space and a sense that their judgment had to defend itself against algorithmic authority [74]. </w:t>
      </w:r>
    </w:p>
    <w:p w14:paraId="1A56635A" w14:textId="1472D04B" w:rsidR="0036100A" w:rsidRPr="00845BBE" w:rsidRDefault="006B7D0B" w:rsidP="00801169">
      <w:pPr>
        <w:bidi w:val="0"/>
        <w:spacing w:line="360" w:lineRule="auto"/>
        <w:ind w:firstLine="720"/>
        <w:jc w:val="both"/>
        <w:rPr>
          <w:rFonts w:asciiTheme="majorBidi" w:hAnsiTheme="majorBidi" w:cstheme="majorBidi"/>
        </w:rPr>
      </w:pPr>
      <w:r>
        <w:rPr>
          <w:rFonts w:asciiTheme="majorBidi" w:hAnsiTheme="majorBidi" w:cstheme="majorBidi"/>
        </w:rPr>
        <w:t xml:space="preserve">By contrast, where alerts were framed as one clinical input among several, nurses described AI as more supportive and less professionally constraining.</w:t>
      </w:r>
      <w:r>
        <w:rPr>
          <w:rFonts w:asciiTheme="majorBidi" w:hAnsiTheme="majorBidi" w:cstheme="majorBidi"/>
        </w:rPr>
        <w:t xml:space="preserve"> These contrasts suggest that implementation strategy may be a major influence on whether AI is experienced as enabling or restrictive in nursing practice. Educational readiness emerged as a further concern [75, 76].</w:t>
      </w:r>
      <w:r>
        <w:rPr>
          <w:rFonts w:asciiTheme="majorBidi" w:hAnsiTheme="majorBidi" w:cstheme="majorBidi"/>
        </w:rPr>
        <w:t xml:space="preserve"> Most participants described formal preparation as insufficient relative to the complexity of the systems they were expected to use. The few disconfirming accounts of self-directed learning were analytically useful because they illustrated what effective engagement required in the absence of institutional support. Together, these findings indicate that successful AI integration depends not only on technical deployment but also on training, governance, and professional support [77]. </w:t>
      </w:r>
    </w:p>
    <w:p w14:paraId="1EBB9538" w14:textId="77777777" w:rsidR="00102BC5" w:rsidRDefault="00102BC5" w:rsidP="00801169">
      <w:pPr>
        <w:bidi w:val="0"/>
        <w:spacing w:after="0" w:line="360" w:lineRule="auto"/>
        <w:ind w:firstLine="720"/>
        <w:jc w:val="both"/>
        <w:rPr>
          <w:rFonts w:asciiTheme="majorBidi" w:hAnsiTheme="majorBidi" w:cstheme="majorBidi"/>
          <w:b/>
          <w:bCs/>
        </w:rPr>
      </w:pPr>
    </w:p>
    <w:p w14:paraId="0218520D" w14:textId="77777777" w:rsidR="00102BC5" w:rsidRDefault="00102BC5" w:rsidP="00102BC5">
      <w:pPr>
        <w:bidi w:val="0"/>
        <w:spacing w:after="0" w:line="360" w:lineRule="auto"/>
        <w:ind w:firstLine="720"/>
        <w:jc w:val="both"/>
        <w:rPr>
          <w:rFonts w:asciiTheme="majorBidi" w:hAnsiTheme="majorBidi" w:cstheme="majorBidi"/>
          <w:b/>
          <w:bCs/>
        </w:rPr>
      </w:pPr>
    </w:p>
    <w:p w14:paraId="522D8333" w14:textId="3178CB34" w:rsidR="00845BBE" w:rsidRPr="00845BBE" w:rsidRDefault="00845BBE" w:rsidP="00102BC5">
      <w:pPr>
        <w:bidi w:val="0"/>
        <w:spacing w:after="0" w:line="360" w:lineRule="auto"/>
        <w:ind w:firstLine="720"/>
        <w:jc w:val="both"/>
        <w:rPr>
          <w:rFonts w:asciiTheme="majorBidi" w:hAnsiTheme="majorBidi" w:cstheme="majorBidi"/>
          <w:b/>
          <w:bCs/>
        </w:rPr>
      </w:pPr>
      <w:r>
        <w:rPr>
          <w:rFonts w:asciiTheme="majorBidi" w:hAnsiTheme="majorBidi" w:cstheme="majorBidi"/>
          <w:b/>
          <w:bCs/>
        </w:rPr>
        <w:lastRenderedPageBreak/>
        <w:t>4.5 Implications for Practice, Education, and Governance</w:t>
      </w:r>
    </w:p>
    <w:p w14:paraId="370F227B" w14:textId="77777777" w:rsidR="00845BBE" w:rsidRPr="00845BBE" w:rsidRDefault="00845BBE" w:rsidP="00845BBE">
      <w:pPr>
        <w:bidi w:val="0"/>
        <w:spacing w:line="360" w:lineRule="auto"/>
        <w:ind w:firstLine="720"/>
        <w:jc w:val="both"/>
        <w:rPr>
          <w:rFonts w:asciiTheme="majorBidi" w:hAnsiTheme="majorBidi" w:cstheme="majorBidi"/>
        </w:rPr>
      </w:pPr>
      <w:r>
        <w:rPr>
          <w:rFonts w:asciiTheme="majorBidi" w:hAnsiTheme="majorBidi" w:cstheme="majorBidi"/>
        </w:rPr>
        <w:t xml:space="preserve">The findings have several implications. For practice, the response modes identified in this study may offer a useful framework for reflective supervision, peer learning, and discussion of alert management in critical care. For education, the findings indicate a need for AI-related preparation that extends beyond technical orientation to include alert interpretation, uncertainty, alert fatigue, and professional discretion. For governance, the contrast between more collaborative and more accountability-driven approaches suggests that policies positioning AI alerts as one clinical input among several may better support calibrated trust and professional judgment. In the Saudi context, these issues are especially relevant as AI deployment expands under Vision 2030. </w:t>
      </w:r>
    </w:p>
    <w:p w14:paraId="5AAA9230" w14:textId="77777777" w:rsidR="00845BBE" w:rsidRPr="00845BBE" w:rsidRDefault="00845BBE" w:rsidP="00102BC5">
      <w:pPr>
        <w:bidi w:val="0"/>
        <w:spacing w:after="0" w:line="360" w:lineRule="auto"/>
        <w:ind w:firstLine="720"/>
        <w:jc w:val="both"/>
        <w:rPr>
          <w:rFonts w:asciiTheme="majorBidi" w:hAnsiTheme="majorBidi" w:cstheme="majorBidi"/>
          <w:b/>
          <w:bCs/>
        </w:rPr>
      </w:pPr>
      <w:r>
        <w:rPr>
          <w:rFonts w:asciiTheme="majorBidi" w:hAnsiTheme="majorBidi" w:cstheme="majorBidi"/>
          <w:b/>
          <w:bCs/>
        </w:rPr>
        <w:t>4.6 Strengths and Limitations</w:t>
      </w:r>
    </w:p>
    <w:p w14:paraId="3BE8EB4E" w14:textId="77777777" w:rsidR="00867986" w:rsidRDefault="00845BBE" w:rsidP="00A76B16">
      <w:pPr>
        <w:bidi w:val="0"/>
        <w:spacing w:line="360" w:lineRule="auto"/>
        <w:ind w:firstLine="720"/>
        <w:jc w:val="both"/>
        <w:rPr>
          <w:rFonts w:asciiTheme="majorBidi" w:hAnsiTheme="majorBidi" w:cstheme="majorBidi"/>
        </w:rPr>
      </w:pPr>
      <w:r>
        <w:rPr>
          <w:rFonts w:asciiTheme="majorBidi" w:hAnsiTheme="majorBidi" w:cstheme="majorBidi"/>
        </w:rPr>
        <w:t xml:space="preserve">This study is strengthened by its multi-site design, variation in participants' experiences and nationalities, and the use of Interpretive Description to generate practice-relevant analysis.</w:t>
      </w:r>
      <w:r>
        <w:rPr>
          <w:rFonts w:asciiTheme="majorBidi" w:hAnsiTheme="majorBidi" w:cstheme="majorBidi"/>
        </w:rPr>
        <w:t xml:space="preserve"> Rigour was supported through peer debriefing, participant feedback on emerging interpretations, independent coding of a subset of transcripts by a second analyst, and an audit trail.</w:t>
      </w:r>
      <w:r>
        <w:rPr>
          <w:rFonts w:asciiTheme="majorBidi" w:hAnsiTheme="majorBidi" w:cstheme="majorBidi"/>
        </w:rPr>
        <w:t xml:space="preserve"> Several limitations should be acknowledged. The study was confined to one regional health cluster, and its findings may not generalise directly to settings that use different AI systems, staffing models, or governance arrangements.</w:t>
      </w:r>
      <w:r>
        <w:rPr>
          <w:rFonts w:asciiTheme="majorBidi" w:hAnsiTheme="majorBidi" w:cstheme="majorBidi"/>
        </w:rPr>
        <w:t xml:space="preserve"> Because participation was voluntary, the sample may have favoured nurses who were more willing to reflect on AI use.</w:t>
      </w:r>
      <w:r>
        <w:rPr>
          <w:rFonts w:asciiTheme="majorBidi" w:hAnsiTheme="majorBidi" w:cstheme="majorBidi"/>
        </w:rPr>
        <w:t xml:space="preserve"> In addition, the study relied on narrated rather than observed practice and excluded nurses with less than one year of critical care experience, whose early encounters with AI may differ in important ways.</w:t>
      </w:r>
    </w:p>
    <w:p>
      <w:pPr>
        <w:bidi w:val="0"/>
        <w:spacing w:line="360" w:lineRule="auto"/>
        <w:ind w:firstLine="720"/>
        <w:jc w:val="both"/>
        <w:rPr>
          <w:rFonts w:asciiTheme="majorBidi" w:hAnsiTheme="majorBidi" w:cstheme="majorBidi"/>
        </w:rPr>
      </w:pPr>
      <w:r>
        <w:rPr>
          <w:rFonts w:asciiTheme="majorBidi" w:hAnsiTheme="majorBidi" w:cstheme="majorBidi"/>
        </w:rPr>
        <w:t xml:space="preserve">The four sites used different systems, alert types, implementation histories, training, and response protocols (Table 1). Some patterns were reported at all four sites (peer-mediated calibration, concern about false-positive alerts, and inadequate preparation), suggesting that they reflect engagement with AI-assisted early warning generally; others were site-specific, notably the defensive alert management linked to the documented-justification requirement at Hospital D. The findings therefore describe AI-assisted early warning as implemented locally, not the performance of any single algorithm. Because AI-generated alerts were encountered alongside conventional monitor alarms, which participants may not always have distinguished, accounts of alert burden may reflect the cumulative alerting environment; future studies could combine interviews with system audit data.</w:t>
      </w:r>
    </w:p>
    <w:p>
      <w:pPr>
        <w:bidi w:val="0"/>
        <w:spacing w:line="360" w:lineRule="auto"/>
        <w:ind w:firstLine="720"/>
        <w:jc w:val="both"/>
        <w:rPr>
          <w:rFonts w:asciiTheme="majorBidi" w:hAnsiTheme="majorBidi" w:cstheme="majorBidi"/>
        </w:rPr>
      </w:pPr>
      <w:r>
        <w:rPr>
          <w:rFonts w:asciiTheme="majorBidi" w:hAnsiTheme="majorBidi" w:cstheme="majorBidi"/>
        </w:rPr>
        <w:t xml:space="preserve">Participants were aged 26 to 51 years. Newly qualified nurses were excluded by the one-year experience criterion, and the absence of nurses older than 51 may reflect the exclusion of solely managerial roles and voluntary recruitment. Workforce data were not available to establish whether this profile is representative of critical care nurses at these hospitals or nationally, where internationally recruited nurses form a large share of the workforce [65]. Because career stage may shape engagement with digital technologies and confidence in independent judgment [67], the experiences of late-career nurses and novices may differ. Participants may also have offered professionally favourable accounts to a nurse-academic interviewer. Finally, the four themes broadly correspond to the guide’s four areas of inquiry; although their interpretive content was developed through analysis (Section 2.8; Supplementary File S2), the organisation of the findings partly reflects the domains discussed.</w:t>
      </w:r>
    </w:p>
    <w:p w14:paraId="57F0CC03" w14:textId="77777777" w:rsidR="00845BBE" w:rsidRPr="00845BBE" w:rsidRDefault="00845BBE" w:rsidP="00102BC5">
      <w:pPr>
        <w:bidi w:val="0"/>
        <w:spacing w:line="276" w:lineRule="auto"/>
        <w:ind w:firstLine="720"/>
        <w:jc w:val="both"/>
        <w:rPr>
          <w:rFonts w:asciiTheme="majorBidi" w:hAnsiTheme="majorBidi" w:cstheme="majorBidi"/>
          <w:b/>
          <w:bCs/>
        </w:rPr>
      </w:pPr>
      <w:r>
        <w:rPr>
          <w:rFonts w:asciiTheme="majorBidi" w:hAnsiTheme="majorBidi" w:cstheme="majorBidi"/>
          <w:b/>
          <w:bCs/>
        </w:rPr>
        <w:t>5. Conclusion</w:t>
      </w:r>
    </w:p>
    <w:p w14:paraId="2A221A71" w14:textId="7F7D2CEA" w:rsidR="00605270" w:rsidRDefault="00A615FD" w:rsidP="00A76B16">
      <w:pPr>
        <w:bidi w:val="0"/>
        <w:spacing w:line="360" w:lineRule="auto"/>
        <w:ind w:firstLine="720"/>
        <w:jc w:val="both"/>
        <w:rPr>
          <w:rFonts w:asciiTheme="majorBidi" w:hAnsiTheme="majorBidi" w:cstheme="majorBidi"/>
        </w:rPr>
      </w:pPr>
      <w:r>
        <w:rPr>
          <w:rFonts w:asciiTheme="majorBidi" w:hAnsiTheme="majorBidi" w:cstheme="majorBidi"/>
        </w:rPr>
        <w:t xml:space="preserve">This study provides qualitative evidence from the Saudi Arabian critical care context on how nurses experience AI-assisted early warning systems in relation to clinical judgment and patient safety. The findings show that AI-assisted early warning was experienced not as a neutral technological addition, but as a practice condition shaped by evolving nurse–system relationships, interpretive judgment, patient safety demands, and organisational context. Nurses did not simply use AI; they learned to interpret it, trusted it selectively, and negotiated its outputs under conditions of uncertainty and workload pressure. Patient safety depended not on the algorithm alone, but on nurses’ capacity to integrate alert information with bedside assessment, patient-specific knowledge, and professional judgment. These findings highlight the need for investment not only in AI systems, but also in nursing preparation, supportive governance, and organisational responses to alert fatigue.</w:t>
      </w:r>
      <w:r>
        <w:rPr>
          <w:rFonts w:asciiTheme="majorBidi" w:hAnsiTheme="majorBidi" w:cstheme="majorBidi"/>
        </w:rPr>
        <w:t xml:space="preserve"> Future research should examine how different AI governance models and system characteristics shape nursing judgment and patient safety across critical care settings, including among nurses at earlier and later stages of their careers, and should combine interviews with real-time observation of alert management.</w:t>
      </w:r>
    </w:p>
    <w:p w14:paraId="03568BCE" w14:textId="24BCF7E6" w:rsidR="00605270" w:rsidRDefault="00605270" w:rsidP="00605270">
      <w:pPr>
        <w:bidi w:val="0"/>
        <w:spacing w:line="360" w:lineRule="auto"/>
        <w:ind w:firstLine="720"/>
        <w:jc w:val="both"/>
        <w:rPr>
          <w:rFonts w:asciiTheme="majorBidi" w:hAnsiTheme="majorBidi" w:cstheme="majorBidi"/>
          <w:b/>
          <w:bCs/>
        </w:rPr>
      </w:pPr>
      <w:r>
        <w:rPr>
          <w:rFonts w:asciiTheme="majorBidi" w:hAnsiTheme="majorBidi" w:cstheme="majorBidi"/>
          <w:b/>
          <w:bCs/>
        </w:rPr>
        <w:lastRenderedPageBreak/>
        <w:t xml:space="preserve">References </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 Martinez-Ortigosa A, Martinez-Granados A, Gil-Hernández E, Rodriguez-Arrastia M, Ropero-Padilla C, Roman P. Applications of Artificial Intelligence in Nursing Care: A Systematic Review. J Nurs Manag. 2023;2023:1–12. https://doi.org/10.1155/2023/3219127.</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 Lourenço LB de A, Meszaros M de J, Silva M de FN, São-João TM. Nursing Training for Early Clinical Deterioration Risk Assessment: Protocol for an Implementation Study. JMIR Res Protoc. 2023;12:e47293. https://doi.org/10.2196/47293.</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 Siontis GC, Ren Y, Caiani EG, Fraser AG. Physician-centered monitoring of AI-enabled medical devices. Am J Med. 2026. https://doi.org/10.1016/j.amjmed.2026.02.024.</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4. Blythe R, Parsons R, White NM, Cook D, McPhail S. A scoping review of real-time automated clinical deterioration alerts and evidence of impacts on hospitalised patient outcomes. BMJ Qual Saf. 2022;31:725–34. https://doi.org/10.1136/bmjqs-2021-014527.</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 Bi A, Li T, Cheng G, Hu J. Artificial intelligence applications in intensive care unit nursing: A narrative review (2020–2025). Digit Heal. 2025;11. https://doi.org/10.1177/20552076251406302.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6. Moafa H, Nahari A, Almotairy M. Nurses’ digital competency and task performance in Saudi healthcare settings: the mediating role of work engagement within the job demands–resources (JD-R) model. BMC Med Educ. 2026. https://doi.org/10.1186/s12909-026-09043-8.</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7. Park Y, Chang SJ, Kim E. Artificial intelligence in critical care nursing: A scoping review. Aust Crit Care. 2025;38:101225. https://doi.org/10.1016/j.aucc.2025.101225.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8. Yuan S, Yang Z, Li J, Wu C, Liu S. AI-Powered early warning systems for clinical deterioration significantly improve patient outcomes: a meta-analysis. BMC Med Inform Decis Mak. 2025;25:203. https://doi.org/10.1186/s12911-025-03048-x.</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9. Joo JY, Liu MF, Ho M-H. Nurses’ perceptions of artificial intelligence adoption in healthcare: A qualitative systematic review. Nurse Educ Pract. 2025;88:104542. https://doi.org/10.1016/j.nepr.2025.104542.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10. Bodur G, Cakir H, Turan S, Seren AKH, Goktas P. Artificial intelligence in nursing practice: a qualitative study of nurses’ perspectives on opportunities, challenges, and ethical implications. BMC Nurs. 2025;24:1263. https://doi.org/10.1186/s12912-025-03775-6.</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11. Tun HM, Rahman HA, Naing L, Malik OA. Trust in Artificial Intelligence–Based Clinical Decision Support Systems Among Health Care Workers: Systematic Review. J Med Internet Res. 2025;27:e69678–e69678. https://doi.org/10.2196/69678.</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12. Abdelwanis M, Simsekler MCE, Gabor AF, Sleptchenko A, Omar M. Artificial intelligence adoption challenges from healthcare providers’ perspectives: A comprehensive review and future directions. Saf Sci. 2026;193:107028. https://doi.org/10.1016/j.ssci.2025.107028.</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13. Almagharbeh WT. The impact of AI‐based decision support systems on nursing workflows in critical care units. Int Nurs Rev. 2025;72. https://doi.org/10.1111/inr.13011.</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14. Al Aseri Z, Côté M, Baharoon S, Alabdulaali MK, Altamimi S, Arntfield R. AI in critical care: A narrative review of prospective applications and future potential in KSA’s health transformation 2030. J Taibah Univ Med Sci. 2025;20:359–64. https://doi.org/10.1016/j.jtumed.2025.05.007.</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15. Lee J, Yoon JH. Current Perspectives on the Artificial Intelligence in Critical Care Medicine. Anesthesiol Clin. 2025;43:507–25. https://doi.org/10.1016/j.anclin.2025.05.005.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16. Hassan EA, El-Ashry AM. Leading with AI in critical care nursing: challenges, opportunities, and the human factor. BMC Nurs. 2024;23:752. https://doi.org/10.1186/s12912-024-02363-4.</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17. Elhaddad M, Hamam S. AI-Driven Clinical Decision Support Systems: An Ongoing Pursuit of Potential. Cureus. 2024. https://doi.org/10.7759/cureus.57728.</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18. Zhou L, Geng K, Yu C. Mapping Artificial Intelligence Research Trends in Critical Care Nursing: A Bibliometric Analysis. J Multidiscip Healthc. 2025;18:2799–811. https://doi.org/10.2147/JMDH.S522731.</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19. Fernandes F, Shinners L, Mota M, Santos P, Sá L. Contributions of Artificial Intelligence to Decision Making in Nursing: A Scoping Review. Nurs Health Sci. 2026;28. https://doi.org/10.1111/nhs.70308.</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20. Vernic C, Tamas TP, Petre I, Ursoniu S. Transforming critical care: the digital revolution’s impact on intensive care units. Front Digit Heal. 2025;7. https://doi.org/10.3389/fdgth.2025.1664382.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21. Lyu S, Craig S, O’Reilly G, Taniar D. The development and use of data warehousing in clinical settings: a scoping review. Front Digit Heal. 2025;7. https://doi.org/10.3389/fdgth.2025.1599514.</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22. Nashwan AJ, Cabrega JA, Othman MI, Khedr MA, Osman YM, El‐Ashry AM, et al. The evolving role of nursing informatics in the era of artificial intelligence. Int Nurs Rev. 2025;72. https://doi.org/10.1111/inr.13084.</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23. Pepito JA, Babate FJ, Ismael JD, Al-Jumayile SSI, Siddique MK Bin. Redesigning Nursing Curricula for Human–AI Collaboration Using a Fifth Industrial Revolution Framework: Discursive Paper. Sage Open Nurs. 2026;12. https://doi.org/10.1177/23779608261433312.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24. El Arab RA, Alshakihs AH, Alabdulwahab SH, Almubarak YS, Alkhalifah SS, Abdrbo A, et al. Artificial intelligence in nursing: a systematic review of attitudes, literacy, readiness, and adoption intentions among nursing students and practicing nurses. Front Digit Heal. 2025;7 September:1–17. https://doi.org/10.3389/fdgth.2025.1666005.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25. Ramadan OME, Alruwaili MM, Alruwaili AN, Elsehrawy MG, Alanazi S. Facilitators and barriers to AI adoption in nursing practice: a qualitative study of registered nurses’ perspectives. BMC Nurs. 2024;23:891. https://doi.org/10.1186/s12912-024-02571-y.</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26. Rony MKK, Numan SM, Johra F tuj, Akter K, Akter F, Debnath M, et al. Perceptions and attitudes of nurse practitioners toward artificial intelligence adoption in health care. Heal Sci Reports. 2024;7. https://doi.org/10.1002/hsr2.70006.</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27. Hassanein S, El Arab RA, Abdrbo A, Abu-Mahfouz MS, Gaballah MKF, Seweid MM, et al. Artificial intelligence in nursing: an integrative review of clinical and operational impacts. Front Digit Heal. 2025;7. https://doi.org/10.3389/fdgth.2025.1552372.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28. AlDhaen FS. AI-Powered Transformation of Healthcare: Enhancing Patient Safety Through AI Interventions with the Mediating Role of Operational Efficiency and Moderating Role of Digital Competence—Insights from the Gulf Cooperation Council Region. Healthcare. 2025;13:614. https://doi.org/10.3390/healthcare13060614.</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29. Kubota K, Kubota A. AI-Driven and Algorithm-Supported Decision Support Using Continuous, Remote, and Self-Monitoring Patient Data for Early Deterioration Detection and Escalation: A Scoping Review. Appl Sci. 2026;16:3131. https://doi.org/10.3390/app16073131.</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30. Sokol K, Fackler J, Vogt JE. Artificial intelligence should genuinely support clinical reasoning and decision making to bridge the translational gap. npj Digit Med. 2025;8:345. https://doi.org/10.1038/s41746-025-01725-9.</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31. Kingdom of Saudi Arabia. Saudi Vision 2030: Health Sector Transformation Program [Internet]. Riyadh: Council of Economic and Development Affairs; [cited 2026 Oct 1]. Available from: https://www.vision2030.gov.sa/en/explore/programs/health-sector-transformation-program.</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32. Alzghaibi H. Nurses’ perspectives on AI-Enabled wearable health technologies: opportunities and challenges in clinical practice. BMC Nurs. 2025;24:799. https://doi.org/10.1186/s12912-025-03343-y.</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33. Almadani N. The future of artificial intelligence in gerontological nursing in Saudi Arabia. BMC Geriatr. 2025;25:544. https://doi.org/10.1186/s12877-025-06136-9.</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34. Alshaibany FF, Almutairy BM, Alshehri WM, Alodhailah AM, Eid T. Reimagining community health nursing: a qualitative participatory action research study of nurse-led primary healthcare innovation in rural Saudi Arabia. BMC Nurs. 2026;25:238. https://doi.org/10.1186/s12912-026-04510-5.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35. Alghareeb E, Aljehani N. AI in Health Care Service Quality: Systematic Review. JMIR AI. 2025;4:e69209–e69209. https://doi.org/10.2196/69209.</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36. Baraka AAE, Alhijji MAA, Alrajeh RAI, Alotaibi DNB, Bukhamis S, Alsafraa NAM, et al. Acceptance and Readiness of Critical Care Nurses to Use Artificial Intelligence: A Structural Equation Modeling Approach. Int Nurs Rev. 2025;72. https://doi.org/10.1111/inr.70035.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37. Thorne S. Interpretive Description. New York: Routledge; 2025. https://doi.org/10.4324/9781003503538.</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38. Thompson Burdine J, Thorne S, Sandhu G. Interpretive description: A flexible qualitative methodology for medical education research. Med Educ. 2021;55:336–43. https://doi.org/10.1111/medu.14380.</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39. Braun V, Clarke V. Thematic Analysis: A Practical Guide. London: SAGE; 2022.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40. Byrne D. A worked example of Braun and Clarke’s approach to reflexive thematic analysis. Qual Quant. 2022;56:1391–412. https://doi.org/10.1007/s11135-021-01182-y.</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41. Tong A, Sainsbury P, Craig J. Consolidated criteria for reporting qualitative research (COREQ): a 32-item checklist for interviews and focus groups. Int J Qual Heal Care. 2007;19:349–57. https://doi.org/10.1093/intqhc/mzm042.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42. Buus N, Ong B, Einboden R, Juel A, Perron A. Constructing Research Quality: On the Performativity of the COREQ Checklist. Qual Health Res. 2025. https://doi.org/10.1177/10497323251323225.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43. Tanner CA. Thinking like a nurse: a research-based model of clinical judgment in nursing. J Nurs Educ. 2006;45:204–11. https://doi.org/10.3928/01484834-20060601-04.</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44. Sittig DF, Singh H. A new sociotechnical model for studying health information technology in complex adaptive healthcare systems. Qual Saf Health Care. 2010;19 Suppl 3:i68–74. https://doi.org/10.1136/qshc.2010.042085.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45. Lee JD, See KA. Trust in automation: designing for appropriate reliance. Hum Factors. 2004;46:50–80. https://doi.org/10.1518/hfes.46.1.50_30392.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46. Nyarko BA, Wuni A, Giuliano KK. Nursing Perspectives on Alarm Fatigue: An Integrative Review. Nurs Health Sci. 2025;27. https://doi.org/10.1111/nhs.70253.</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47. Yanto A, Nurmalia D, Ilkafah I, Suhariyati S, Pandin MGR. The Impact of Artificial Intelligence on Nursing Practice in Hospital Settings: A Philosophical and Professional Perspective. Research Square [Preprint]. 2025. https://doi.org/10.21203/rs.3.rs-7975002/v1.</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48. Thorne S. Interpretive description: Qualitative research for applied practice, Second edition. 2016. https://doi.org/10.4324/9781315545196.</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49. Wong L. Data analysis in qualitative research: a brief guide to using nvivo. Malaysian Fam physician  Off J Acad Fam Physicians Malaysia. 2008;3:14–20.</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50. Gupta A. Codes and Coding. 2023. p. 99–125. https://doi.org/10.1007/978-3-031-49650-9_4.</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51. World Medical Association Declaration of Helsinki. JAMA. 2025;333:71. https://doi.org/10.1001/jama.2024.21972.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52. Sun Y, Hsieh J, Gao X (Andy). Integrating Qualitative Comparative Analysis With Reflexive Thematic Analysis in Theme Development. Int J Qual Methods. 2025;24. https://doi.org/10.1177/16094069251318749.</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53. Cope DG. Methods and meanings: credibility and trustworthiness of qualitative research. Oncol Nurs Forum. 2014;41:89–91. https://doi.org/10.1188/14.ONF.89-91.</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54. Vella J. In pursuit of credibility: Evaluating the divergence between member-checking and hermeneutic phenomenology. Res Soc Adm Pharm. 2024;20:665–9. https://doi.org/10.1016/J.SAPHARM.2024.04.001.</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55. Lloyd N, Hyett N, Kenny A. To Member Check or not to Member Check? An Evaluation of Member Checking in an Interpretive Descriptive Study. Int J Qual Methods. 2024;23. https://doi.org/10.1177/16094069241301383.</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56. Urry K, Chur-Hansen A, Scholz B. From member checking to collaborative reflection: a novel way to use a familiar method for engaging participants in qualitative research. Qual Res Psychol. 2024;21:357–74. https://doi.org/10.1080/14780887.2024.2355972.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57. Ul Z, Kakar H, Rasheed R, Rashid A, Akhter S. Criteria for assessing and ensuring the trustworthiness in qualitative research. Int J Bus Reflections. 2023;4. https://doi.org/10.56249/ijbr.00.00.00.</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58. Ahmed SK. The pillars of trustworthiness in qualitative research. J Med Surgery, Public Heal. 2024;2:100051. https://doi.org/10.1016/j.glmedi.2024.100051.</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59. Lim WM. What Is Qualitative Research? An Overview and Guidelines. Australas Mark J. 2025;33:199–229. https://doi.org/10.1177/14413582241264619.</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60. Rotar O. The Reflective Practice Framework for Phenomenographic Data Analysis. Syst Pract Action Res. 2024;37:909–30. https://doi.org/10.1007/S11213-024-09677-Z.</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61. Joyce J, Cantillon P, Geoghegan R. Peer feedback in graduate training: A phenomenological investigation of possibilities. Med Teach. 2022;44:1362–7. https://doi.org/10.1080/0142159X.2022.2094229.</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62. Holden RJ, Karsh B-T. The technology acceptance model: its past and its future in health care. J Biomed Inform. 2010;43:159–72. https://doi.org/10.1016/j.jbi.2009.07.002.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63. Shankar R, Devi F, Ang E, Er J. Barriers and facilitators to nurses’ adoption of artificial intelligence-driven solutions in clinical practice: a protocol for a systematic review of qualitative studies. BMJ Open. 2025;15:e099875. https://doi.org/10.1136/bmjopen-2025-099875.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64. Greenhalgh T, Wherton J, Papoutsi C, Lynch J, Hughes G, A’Court C, et al. Beyond adoption: a new framework for theorizing and evaluating nonadoption, abandonment, and challenges to the scale-up, spread, and sustainability of health and care technologies. J Med Internet Res. 2017;19:e367. https://doi.org/10.2196/jmir.8775.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65. Alluhidan M, Tashkandi N, Alblowi F, Omer T, Alghaith T, Alghodaier H, et al. Challenges and policy opportunities in nursing in Saudi Arabia. Hum Resour Health. 2020;18:98. https://doi.org/10.1186/s12960-020-00535-2.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66. Almutairi AF, McCarthy A, Gardner GE. Understanding cultural competence in a multicultural nursing workforce: registered nurses’ experience in Saudi Arabia. J Transcult Nurs. 2015;26:16–23. https://doi.org/10.1177/1043659614523992.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67. Benner P. From Novice to Expert: Excellence and Power in Clinical Nursing Practice. Menlo Park, CA: Addison-Wesley; 1984.</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68. Lewandowska K, Mędrzycka-Dąbrowska W, Mikłas M, Wujtewicz M. Improving alarm management to reduce alarm fatigue in critical care: a mixed-methods study. Intensive Crit Care Nurs. 2026;93:104254. https://doi.org/10.1016/j.iccn.2025.104254.</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69. Zhang W-Z, Huang W-H, Lin X-J, Xie Q-Q, Guo X-L. Digital alert fatigue and escalation behaviours in nurse-led remote postoperative care: a cross-sectional study. BMC Nurs. 2026;25:306. https://doi.org/10.1186/s12912-026-04486-2.</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70. Goddard K, Roudsari A, Wyatt JC. Automation bias: a systematic review of frequency, effect mediators, and mitigators. J Am Med Inform Assoc. 2012;19:121–7. https://doi.org/10.1136/amiajnl-2011-000089.</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71. Awad NHA, Aljohani W, Yaseen MM, Awad WHA, Abou Elala RASA, Ashour HMA. When Machines Decide: Exploring How Trust in AI Shapes the Relationship Between Clinical Decision Support Systems and Nurses’ Decision Regret: A Cross‐Sectional Study. Nurs Crit Care. 2025;30. https://doi.org/10.1111/nicc.70157.</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72. Schaffernak I, Cecil J, Kleine A-K, Lermer E. Sociotechnical influences on the adoption and use of AI-enabled clinical decision support systems in ophthalmology: a theory-based interview study. BMC Health Serv Res. 2025;25:1398. https://doi.org/10.1186/s12913-025-13620-w.</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73. Bailo P, Nittari G, Pesel G, Basello E, Spasari T, Ricci G. Governing Healthcare AI in the Real World: How Fairness, Transparency, and Human Oversight Can Coexist: A Narrative Review. Sci. 2026;8:36. https://doi.org/10.3390/sci8020036.</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74. Almagharbeh WT, Alharrasi M, Rony MKK, Kabir S, Ahmed SK, Alrazeeni DM. Ethical and Institutional Readiness for Artificial Intelligence in Nursing: An Umbrella Review. Int Nurs Rev. 2025;72. https://doi.org/10.1111/inr.70111.</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75. Hoelscher SH, Pugh A. N.U.R.S.E.S. embracing artificial intelligence: A guide to artificial intelligence literacy for the nursing profession. Nurs Outlook. 2025;73:102466. https://doi.org/10.1016/j.outlook.2025.102466.</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76. Shishehgar S, Murray‐Parahi P, Alsharaydeh E, Mills S, LIU X. Artificial Intelligence in Health Education and Practice: A Systematic Review of Health Students’ and Academics’ Knowledge, Perceptions and Experiences. Int Nurs Rev. 2025;72. https://doi.org/10.1111/inr.70045.</w:t>
      </w:r>
    </w:p>
    <w:p>
      <w:pPr>
        <w:widowControl w:val="0"/>
        <w:autoSpaceDE w:val="0"/>
        <w:autoSpaceDN w:val="0"/>
        <w:bidi w:val="0"/>
        <w:adjustRightInd w:val="0"/>
        <w:spacing w:line="360" w:lineRule="auto"/>
        <w:rPr>
          <w:rFonts w:ascii="Times New Roman" w:hAnsi="Times New Roman" w:cs="Times New Roman"/>
          <w:noProof/>
          <w:kern w:val="0"/>
        </w:rPr>
      </w:pPr>
      <w:r>
        <w:rPr>
          <w:rFonts w:ascii="Times New Roman" w:hAnsi="Times New Roman" w:cs="Times New Roman"/>
          <w:noProof/>
          <w:kern w:val="0"/>
          <w:lang w:val="pt-BR"/>
        </w:rPr>
        <w:t xml:space="preserve">77. Alrazeeni DM, Alharrasi M, Khan Rony MK, Biswas RK, Tama IJ, Halder CR, et al. Transforming Nursing Education with Artificial Intelligence: A Systematic Review (2010–2025). Sage Open Nurs. 2026;12. https://doi.org/10.1177/23779608261424597.</w:t>
      </w:r>
    </w:p>
    <w:sectPr w:rsidR="00B367FB" w:rsidRPr="00B367FB" w:rsidSect="005D3A18">
      <w:headerReference w:type="default" r:id="rId10"/>
      <w:pgSz w:w="11906" w:h="16838"/>
      <w:pgMar w:top="1440" w:right="1286" w:bottom="1440" w:left="1080" w:header="720" w:footer="720" w:gutter="0"/>
      <w:lnNumType w:countBy="1" w:restart="continuou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1EDF6" w14:textId="77777777" w:rsidR="00765998" w:rsidRDefault="00765998" w:rsidP="0083262B">
      <w:pPr>
        <w:spacing w:after="0" w:line="240" w:lineRule="auto"/>
      </w:pPr>
      <w:r>
        <w:separator/>
      </w:r>
    </w:p>
  </w:endnote>
  <w:endnote w:type="continuationSeparator" w:id="0">
    <w:p w14:paraId="175DA91A" w14:textId="77777777" w:rsidR="00765998" w:rsidRDefault="00765998" w:rsidP="00832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9F961" w14:textId="77777777" w:rsidR="00765998" w:rsidRDefault="00765998" w:rsidP="0083262B">
      <w:pPr>
        <w:spacing w:after="0" w:line="240" w:lineRule="auto"/>
      </w:pPr>
      <w:r>
        <w:separator/>
      </w:r>
    </w:p>
  </w:footnote>
  <w:footnote w:type="continuationSeparator" w:id="0">
    <w:p w14:paraId="48014E2B" w14:textId="77777777" w:rsidR="00765998" w:rsidRDefault="00765998" w:rsidP="008326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E8822" w14:textId="773F977D" w:rsidR="0083262B" w:rsidRPr="008C5BC7" w:rsidRDefault="008C5BC7" w:rsidP="008C5BC7">
    <w:pPr>
      <w:pStyle w:val="Header"/>
      <w:bidi w:val="0"/>
    </w:pPr>
    <w:r w:rsidRPr="008C5BC7">
      <w:rPr>
        <w:rFonts w:ascii="Calibri" w:hAnsi="Calibri" w:cs="Calibri"/>
        <w:i/>
        <w:iCs/>
        <w:sz w:val="20"/>
        <w:szCs w:val="20"/>
      </w:rPr>
      <w:t>AI-Assisted Early Warning in Critical 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B4F60"/>
    <w:multiLevelType w:val="hybridMultilevel"/>
    <w:tmpl w:val="A4F0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D07B4"/>
    <w:multiLevelType w:val="hybridMultilevel"/>
    <w:tmpl w:val="75965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40C2A62"/>
    <w:multiLevelType w:val="hybridMultilevel"/>
    <w:tmpl w:val="36362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970601"/>
    <w:multiLevelType w:val="multilevel"/>
    <w:tmpl w:val="01BA757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CAE6BB5"/>
    <w:multiLevelType w:val="hybridMultilevel"/>
    <w:tmpl w:val="B1583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3331F1"/>
    <w:multiLevelType w:val="hybridMultilevel"/>
    <w:tmpl w:val="3A80D4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F4853A7"/>
    <w:multiLevelType w:val="hybridMultilevel"/>
    <w:tmpl w:val="D7821F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FBD5DC9"/>
    <w:multiLevelType w:val="hybridMultilevel"/>
    <w:tmpl w:val="55C6F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5F08C4"/>
    <w:multiLevelType w:val="hybridMultilevel"/>
    <w:tmpl w:val="E0C8D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FFF5701"/>
    <w:multiLevelType w:val="hybridMultilevel"/>
    <w:tmpl w:val="08F063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9243EA5"/>
    <w:multiLevelType w:val="hybridMultilevel"/>
    <w:tmpl w:val="F84AE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103228">
    <w:abstractNumId w:val="10"/>
  </w:num>
  <w:num w:numId="2" w16cid:durableId="245312501">
    <w:abstractNumId w:val="1"/>
  </w:num>
  <w:num w:numId="3" w16cid:durableId="1417478893">
    <w:abstractNumId w:val="3"/>
  </w:num>
  <w:num w:numId="4" w16cid:durableId="1841192684">
    <w:abstractNumId w:val="4"/>
  </w:num>
  <w:num w:numId="5" w16cid:durableId="1153175832">
    <w:abstractNumId w:val="9"/>
  </w:num>
  <w:num w:numId="6" w16cid:durableId="1884320292">
    <w:abstractNumId w:val="0"/>
  </w:num>
  <w:num w:numId="7" w16cid:durableId="1372994694">
    <w:abstractNumId w:val="2"/>
  </w:num>
  <w:num w:numId="8" w16cid:durableId="1923877120">
    <w:abstractNumId w:val="8"/>
  </w:num>
  <w:num w:numId="9" w16cid:durableId="933855115">
    <w:abstractNumId w:val="6"/>
  </w:num>
  <w:num w:numId="10" w16cid:durableId="2014068354">
    <w:abstractNumId w:val="5"/>
  </w:num>
  <w:num w:numId="11" w16cid:durableId="12523566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D7D"/>
    <w:rsid w:val="0001714C"/>
    <w:rsid w:val="00021942"/>
    <w:rsid w:val="000242F4"/>
    <w:rsid w:val="0002726B"/>
    <w:rsid w:val="00041EBE"/>
    <w:rsid w:val="00053483"/>
    <w:rsid w:val="00070D7D"/>
    <w:rsid w:val="00081826"/>
    <w:rsid w:val="00084122"/>
    <w:rsid w:val="00096061"/>
    <w:rsid w:val="000A0EB0"/>
    <w:rsid w:val="000A2D36"/>
    <w:rsid w:val="000A4B3D"/>
    <w:rsid w:val="000A5FCE"/>
    <w:rsid w:val="000C4889"/>
    <w:rsid w:val="00102BC5"/>
    <w:rsid w:val="00105234"/>
    <w:rsid w:val="00111820"/>
    <w:rsid w:val="00127F96"/>
    <w:rsid w:val="00131175"/>
    <w:rsid w:val="00133161"/>
    <w:rsid w:val="001470A1"/>
    <w:rsid w:val="00150D08"/>
    <w:rsid w:val="00162C60"/>
    <w:rsid w:val="0016610C"/>
    <w:rsid w:val="001773D5"/>
    <w:rsid w:val="0018588D"/>
    <w:rsid w:val="00187402"/>
    <w:rsid w:val="0018759E"/>
    <w:rsid w:val="0019572E"/>
    <w:rsid w:val="001A6D64"/>
    <w:rsid w:val="001B201B"/>
    <w:rsid w:val="001B55A8"/>
    <w:rsid w:val="001C62A0"/>
    <w:rsid w:val="001D48E2"/>
    <w:rsid w:val="001F3072"/>
    <w:rsid w:val="001F5FCD"/>
    <w:rsid w:val="002039AE"/>
    <w:rsid w:val="0020617D"/>
    <w:rsid w:val="00213EFC"/>
    <w:rsid w:val="00216122"/>
    <w:rsid w:val="00252767"/>
    <w:rsid w:val="002640AB"/>
    <w:rsid w:val="002674DB"/>
    <w:rsid w:val="002D540A"/>
    <w:rsid w:val="002E1FF2"/>
    <w:rsid w:val="002E221C"/>
    <w:rsid w:val="002F17CA"/>
    <w:rsid w:val="002F25E3"/>
    <w:rsid w:val="003108A1"/>
    <w:rsid w:val="00344E3F"/>
    <w:rsid w:val="00353872"/>
    <w:rsid w:val="0036100A"/>
    <w:rsid w:val="0037298C"/>
    <w:rsid w:val="00376858"/>
    <w:rsid w:val="00380E26"/>
    <w:rsid w:val="00383695"/>
    <w:rsid w:val="00394716"/>
    <w:rsid w:val="00397298"/>
    <w:rsid w:val="003A6DB1"/>
    <w:rsid w:val="003B0E9A"/>
    <w:rsid w:val="003B4509"/>
    <w:rsid w:val="003B5102"/>
    <w:rsid w:val="003C054A"/>
    <w:rsid w:val="003E4461"/>
    <w:rsid w:val="004015B3"/>
    <w:rsid w:val="00413A32"/>
    <w:rsid w:val="0041447E"/>
    <w:rsid w:val="0044373C"/>
    <w:rsid w:val="00447ED5"/>
    <w:rsid w:val="00460FFA"/>
    <w:rsid w:val="00473A7C"/>
    <w:rsid w:val="00481BFE"/>
    <w:rsid w:val="0048543E"/>
    <w:rsid w:val="00486133"/>
    <w:rsid w:val="00493E4B"/>
    <w:rsid w:val="00497D9C"/>
    <w:rsid w:val="004A45AB"/>
    <w:rsid w:val="004A6290"/>
    <w:rsid w:val="004C7ECA"/>
    <w:rsid w:val="004D3284"/>
    <w:rsid w:val="004D3C8A"/>
    <w:rsid w:val="004D67EC"/>
    <w:rsid w:val="00500DC1"/>
    <w:rsid w:val="00501999"/>
    <w:rsid w:val="00515152"/>
    <w:rsid w:val="00541BED"/>
    <w:rsid w:val="00587ED2"/>
    <w:rsid w:val="00592C8A"/>
    <w:rsid w:val="0059464C"/>
    <w:rsid w:val="005A1B7F"/>
    <w:rsid w:val="005A731A"/>
    <w:rsid w:val="005C40E0"/>
    <w:rsid w:val="005D3A18"/>
    <w:rsid w:val="005E2F40"/>
    <w:rsid w:val="005F3ADC"/>
    <w:rsid w:val="00601D58"/>
    <w:rsid w:val="00602DEB"/>
    <w:rsid w:val="00605270"/>
    <w:rsid w:val="00614C9C"/>
    <w:rsid w:val="00621DEF"/>
    <w:rsid w:val="00634940"/>
    <w:rsid w:val="00675721"/>
    <w:rsid w:val="00676EE9"/>
    <w:rsid w:val="00682709"/>
    <w:rsid w:val="00683174"/>
    <w:rsid w:val="00693758"/>
    <w:rsid w:val="00694BA8"/>
    <w:rsid w:val="006B0E60"/>
    <w:rsid w:val="006B490B"/>
    <w:rsid w:val="006B6EA3"/>
    <w:rsid w:val="006B7D0B"/>
    <w:rsid w:val="006E262E"/>
    <w:rsid w:val="006E3CA3"/>
    <w:rsid w:val="006E47CC"/>
    <w:rsid w:val="00700703"/>
    <w:rsid w:val="00706008"/>
    <w:rsid w:val="007129C4"/>
    <w:rsid w:val="007221B4"/>
    <w:rsid w:val="00736D93"/>
    <w:rsid w:val="0074160E"/>
    <w:rsid w:val="00741EC6"/>
    <w:rsid w:val="0074402F"/>
    <w:rsid w:val="00751933"/>
    <w:rsid w:val="00752E2D"/>
    <w:rsid w:val="00754750"/>
    <w:rsid w:val="00757772"/>
    <w:rsid w:val="00765998"/>
    <w:rsid w:val="00770973"/>
    <w:rsid w:val="00774A26"/>
    <w:rsid w:val="00782A73"/>
    <w:rsid w:val="007839B3"/>
    <w:rsid w:val="00787DA0"/>
    <w:rsid w:val="00790816"/>
    <w:rsid w:val="0079643E"/>
    <w:rsid w:val="007A0883"/>
    <w:rsid w:val="007B6532"/>
    <w:rsid w:val="007E60ED"/>
    <w:rsid w:val="00801169"/>
    <w:rsid w:val="00805047"/>
    <w:rsid w:val="00805434"/>
    <w:rsid w:val="00807D57"/>
    <w:rsid w:val="00813311"/>
    <w:rsid w:val="00815C51"/>
    <w:rsid w:val="00820476"/>
    <w:rsid w:val="0082306F"/>
    <w:rsid w:val="0083262B"/>
    <w:rsid w:val="00843EDE"/>
    <w:rsid w:val="00845BBE"/>
    <w:rsid w:val="0085163C"/>
    <w:rsid w:val="00853428"/>
    <w:rsid w:val="008541EC"/>
    <w:rsid w:val="008616A3"/>
    <w:rsid w:val="00867986"/>
    <w:rsid w:val="008920A1"/>
    <w:rsid w:val="00894581"/>
    <w:rsid w:val="00895C08"/>
    <w:rsid w:val="008A12E8"/>
    <w:rsid w:val="008A274A"/>
    <w:rsid w:val="008A523B"/>
    <w:rsid w:val="008B2240"/>
    <w:rsid w:val="008C5BC7"/>
    <w:rsid w:val="008C760B"/>
    <w:rsid w:val="008C7C7E"/>
    <w:rsid w:val="008D5F38"/>
    <w:rsid w:val="008F03F3"/>
    <w:rsid w:val="008F5B7A"/>
    <w:rsid w:val="009004C9"/>
    <w:rsid w:val="00900B92"/>
    <w:rsid w:val="0090476B"/>
    <w:rsid w:val="00927092"/>
    <w:rsid w:val="00943430"/>
    <w:rsid w:val="00953626"/>
    <w:rsid w:val="0096569D"/>
    <w:rsid w:val="009719E8"/>
    <w:rsid w:val="009763BF"/>
    <w:rsid w:val="00980DCE"/>
    <w:rsid w:val="009877DA"/>
    <w:rsid w:val="009A2C18"/>
    <w:rsid w:val="009C4CD5"/>
    <w:rsid w:val="009D0375"/>
    <w:rsid w:val="009D4F52"/>
    <w:rsid w:val="009E17DA"/>
    <w:rsid w:val="009E4B5A"/>
    <w:rsid w:val="009E5B5D"/>
    <w:rsid w:val="009E7519"/>
    <w:rsid w:val="00A04DF3"/>
    <w:rsid w:val="00A23EBC"/>
    <w:rsid w:val="00A36589"/>
    <w:rsid w:val="00A51738"/>
    <w:rsid w:val="00A55C16"/>
    <w:rsid w:val="00A607B4"/>
    <w:rsid w:val="00A615FD"/>
    <w:rsid w:val="00A641A8"/>
    <w:rsid w:val="00A717EF"/>
    <w:rsid w:val="00A76B16"/>
    <w:rsid w:val="00A87A64"/>
    <w:rsid w:val="00A92BFB"/>
    <w:rsid w:val="00AA732E"/>
    <w:rsid w:val="00AB3CE5"/>
    <w:rsid w:val="00AC5647"/>
    <w:rsid w:val="00AD619E"/>
    <w:rsid w:val="00AE53DE"/>
    <w:rsid w:val="00B03E20"/>
    <w:rsid w:val="00B21028"/>
    <w:rsid w:val="00B32EF3"/>
    <w:rsid w:val="00B367FB"/>
    <w:rsid w:val="00B46C57"/>
    <w:rsid w:val="00B514CD"/>
    <w:rsid w:val="00B52313"/>
    <w:rsid w:val="00B8144A"/>
    <w:rsid w:val="00B83406"/>
    <w:rsid w:val="00B947E9"/>
    <w:rsid w:val="00BA1727"/>
    <w:rsid w:val="00BB421D"/>
    <w:rsid w:val="00BC3822"/>
    <w:rsid w:val="00BD1BEE"/>
    <w:rsid w:val="00BF0912"/>
    <w:rsid w:val="00C133AB"/>
    <w:rsid w:val="00C34199"/>
    <w:rsid w:val="00C415D2"/>
    <w:rsid w:val="00C5201B"/>
    <w:rsid w:val="00C6642C"/>
    <w:rsid w:val="00C666C1"/>
    <w:rsid w:val="00C67390"/>
    <w:rsid w:val="00C7403D"/>
    <w:rsid w:val="00C94650"/>
    <w:rsid w:val="00CB1BEA"/>
    <w:rsid w:val="00CB6E46"/>
    <w:rsid w:val="00CC49B6"/>
    <w:rsid w:val="00CE08B3"/>
    <w:rsid w:val="00CE1D4C"/>
    <w:rsid w:val="00CE5D3F"/>
    <w:rsid w:val="00D04B83"/>
    <w:rsid w:val="00D131EB"/>
    <w:rsid w:val="00D227CE"/>
    <w:rsid w:val="00D233B2"/>
    <w:rsid w:val="00D31A83"/>
    <w:rsid w:val="00D47807"/>
    <w:rsid w:val="00D512F8"/>
    <w:rsid w:val="00D521F1"/>
    <w:rsid w:val="00D74422"/>
    <w:rsid w:val="00D7464E"/>
    <w:rsid w:val="00D7737E"/>
    <w:rsid w:val="00D96DB5"/>
    <w:rsid w:val="00DA4974"/>
    <w:rsid w:val="00DB1F90"/>
    <w:rsid w:val="00DB58EE"/>
    <w:rsid w:val="00DD3DF4"/>
    <w:rsid w:val="00DD6AB8"/>
    <w:rsid w:val="00DF4D8D"/>
    <w:rsid w:val="00E0195A"/>
    <w:rsid w:val="00E2014C"/>
    <w:rsid w:val="00E208DD"/>
    <w:rsid w:val="00E45234"/>
    <w:rsid w:val="00E566AA"/>
    <w:rsid w:val="00E57836"/>
    <w:rsid w:val="00E612E5"/>
    <w:rsid w:val="00E738DE"/>
    <w:rsid w:val="00E742A3"/>
    <w:rsid w:val="00E84CD4"/>
    <w:rsid w:val="00E904EC"/>
    <w:rsid w:val="00EB0D06"/>
    <w:rsid w:val="00EB79D0"/>
    <w:rsid w:val="00EC25DF"/>
    <w:rsid w:val="00EC6033"/>
    <w:rsid w:val="00ED35F0"/>
    <w:rsid w:val="00EE4290"/>
    <w:rsid w:val="00F027D4"/>
    <w:rsid w:val="00F05334"/>
    <w:rsid w:val="00F10363"/>
    <w:rsid w:val="00F1725C"/>
    <w:rsid w:val="00F21955"/>
    <w:rsid w:val="00F31B2E"/>
    <w:rsid w:val="00F41871"/>
    <w:rsid w:val="00F42CFB"/>
    <w:rsid w:val="00F46FF2"/>
    <w:rsid w:val="00F51887"/>
    <w:rsid w:val="00F6715E"/>
    <w:rsid w:val="00F808CF"/>
    <w:rsid w:val="00FB0441"/>
    <w:rsid w:val="00FE4128"/>
    <w:rsid w:val="00FF44AB"/>
    <w:rsid w:val="00FF4C2B"/>
    <w:rsid w:val="00FF7C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88D27"/>
  <w15:chartTrackingRefBased/>
  <w15:docId w15:val="{E56B385A-A035-45A5-A7B7-C4289D187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EBC"/>
    <w:pPr>
      <w:bidi/>
    </w:pPr>
  </w:style>
  <w:style w:type="paragraph" w:styleId="Heading1">
    <w:name w:val="heading 1"/>
    <w:basedOn w:val="Normal"/>
    <w:next w:val="Normal"/>
    <w:link w:val="Heading1Char"/>
    <w:uiPriority w:val="9"/>
    <w:qFormat/>
    <w:rsid w:val="00070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D7D"/>
    <w:rPr>
      <w:rFonts w:eastAsiaTheme="majorEastAsia" w:cstheme="majorBidi"/>
      <w:color w:val="272727" w:themeColor="text1" w:themeTint="D8"/>
    </w:rPr>
  </w:style>
  <w:style w:type="paragraph" w:styleId="Title">
    <w:name w:val="Title"/>
    <w:basedOn w:val="Normal"/>
    <w:next w:val="Normal"/>
    <w:link w:val="TitleChar"/>
    <w:uiPriority w:val="10"/>
    <w:qFormat/>
    <w:rsid w:val="00070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D7D"/>
    <w:pPr>
      <w:spacing w:before="160"/>
      <w:jc w:val="center"/>
    </w:pPr>
    <w:rPr>
      <w:i/>
      <w:iCs/>
      <w:color w:val="404040" w:themeColor="text1" w:themeTint="BF"/>
    </w:rPr>
  </w:style>
  <w:style w:type="character" w:customStyle="1" w:styleId="QuoteChar">
    <w:name w:val="Quote Char"/>
    <w:basedOn w:val="DefaultParagraphFont"/>
    <w:link w:val="Quote"/>
    <w:uiPriority w:val="29"/>
    <w:rsid w:val="00070D7D"/>
    <w:rPr>
      <w:i/>
      <w:iCs/>
      <w:color w:val="404040" w:themeColor="text1" w:themeTint="BF"/>
    </w:rPr>
  </w:style>
  <w:style w:type="paragraph" w:styleId="ListParagraph">
    <w:name w:val="List Paragraph"/>
    <w:basedOn w:val="Normal"/>
    <w:uiPriority w:val="34"/>
    <w:qFormat/>
    <w:rsid w:val="00070D7D"/>
    <w:pPr>
      <w:ind w:left="720"/>
      <w:contextualSpacing/>
    </w:pPr>
  </w:style>
  <w:style w:type="character" w:styleId="IntenseEmphasis">
    <w:name w:val="Intense Emphasis"/>
    <w:basedOn w:val="DefaultParagraphFont"/>
    <w:uiPriority w:val="21"/>
    <w:qFormat/>
    <w:rsid w:val="00070D7D"/>
    <w:rPr>
      <w:i/>
      <w:iCs/>
      <w:color w:val="0F4761" w:themeColor="accent1" w:themeShade="BF"/>
    </w:rPr>
  </w:style>
  <w:style w:type="paragraph" w:styleId="IntenseQuote">
    <w:name w:val="Intense Quote"/>
    <w:basedOn w:val="Normal"/>
    <w:next w:val="Normal"/>
    <w:link w:val="IntenseQuoteChar"/>
    <w:uiPriority w:val="30"/>
    <w:qFormat/>
    <w:rsid w:val="00070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D7D"/>
    <w:rPr>
      <w:i/>
      <w:iCs/>
      <w:color w:val="0F4761" w:themeColor="accent1" w:themeShade="BF"/>
    </w:rPr>
  </w:style>
  <w:style w:type="character" w:styleId="IntenseReference">
    <w:name w:val="Intense Reference"/>
    <w:basedOn w:val="DefaultParagraphFont"/>
    <w:uiPriority w:val="32"/>
    <w:qFormat/>
    <w:rsid w:val="00070D7D"/>
    <w:rPr>
      <w:b/>
      <w:bCs/>
      <w:smallCaps/>
      <w:color w:val="0F4761" w:themeColor="accent1" w:themeShade="BF"/>
      <w:spacing w:val="5"/>
    </w:rPr>
  </w:style>
  <w:style w:type="character" w:styleId="LineNumber">
    <w:name w:val="line number"/>
    <w:basedOn w:val="DefaultParagraphFont"/>
    <w:uiPriority w:val="99"/>
    <w:unhideWhenUsed/>
    <w:qFormat/>
    <w:rsid w:val="009E17DA"/>
    <w:rPr>
      <w:rFonts w:cstheme="majorBidi"/>
      <w:bCs w:val="0"/>
      <w:iCs w:val="0"/>
      <w:color w:val="000000" w:themeColor="text1"/>
      <w:szCs w:val="16"/>
    </w:rPr>
  </w:style>
  <w:style w:type="paragraph" w:styleId="Header">
    <w:name w:val="header"/>
    <w:basedOn w:val="Normal"/>
    <w:link w:val="HeaderChar"/>
    <w:uiPriority w:val="99"/>
    <w:unhideWhenUsed/>
    <w:rsid w:val="0083262B"/>
    <w:pPr>
      <w:tabs>
        <w:tab w:val="center" w:pos="4153"/>
        <w:tab w:val="right" w:pos="8306"/>
      </w:tabs>
      <w:spacing w:after="0" w:line="240" w:lineRule="auto"/>
    </w:pPr>
  </w:style>
  <w:style w:type="character" w:customStyle="1" w:styleId="HeaderChar">
    <w:name w:val="Header Char"/>
    <w:basedOn w:val="DefaultParagraphFont"/>
    <w:link w:val="Header"/>
    <w:uiPriority w:val="99"/>
    <w:rsid w:val="0083262B"/>
  </w:style>
  <w:style w:type="paragraph" w:styleId="Footer">
    <w:name w:val="footer"/>
    <w:basedOn w:val="Normal"/>
    <w:link w:val="FooterChar"/>
    <w:uiPriority w:val="99"/>
    <w:unhideWhenUsed/>
    <w:rsid w:val="0083262B"/>
    <w:pPr>
      <w:tabs>
        <w:tab w:val="center" w:pos="4153"/>
        <w:tab w:val="right" w:pos="8306"/>
      </w:tabs>
      <w:spacing w:after="0" w:line="240" w:lineRule="auto"/>
    </w:pPr>
  </w:style>
  <w:style w:type="character" w:customStyle="1" w:styleId="FooterChar">
    <w:name w:val="Footer Char"/>
    <w:basedOn w:val="DefaultParagraphFont"/>
    <w:link w:val="Footer"/>
    <w:uiPriority w:val="99"/>
    <w:rsid w:val="0083262B"/>
  </w:style>
  <w:style w:type="table" w:styleId="TableGrid">
    <w:name w:val="Table Grid"/>
    <w:basedOn w:val="TableNormal"/>
    <w:uiPriority w:val="39"/>
    <w:rsid w:val="008C7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45BB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A99C7-298D-46EE-BEB1-A9C04A076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1730</TotalTime>
  <Pages>30</Pages>
  <Words>29025</Words>
  <Characters>165448</Characters>
  <Application>Microsoft Office Word</Application>
  <DocSecurity>0</DocSecurity>
  <Lines>1378</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اسامة محمد السيد</cp:lastModifiedBy>
  <cp:revision>4</cp:revision>
  <dcterms:created xsi:type="dcterms:W3CDTF">2026-04-02T10:49:00Z</dcterms:created>
  <dcterms:modified xsi:type="dcterms:W3CDTF">2026-04-17T12:03:00Z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e1daadb8-db58-400d-8713-0b11ee74b4bd</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http://www.zotero.org/styles/bmc-nursing</vt:lpwstr>
  </property>
  <property fmtid="{D5CDD505-2E9C-101B-9397-08002B2CF9AE}" pid="12" name="Mendeley Recent Style Name 4_1">
    <vt:lpwstr>BMC Nursing</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18th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(author-date/Harvard)</vt:lpwstr>
  </property>
  <property fmtid="{D5CDD505-2E9C-101B-9397-08002B2CF9AE}" pid="17" name="Mendeley Recent Style Id 7_1">
    <vt:lpwstr>http://www.zotero.org/styles/ieee</vt:lpwstr>
  </property>
  <property fmtid="{D5CDD505-2E9C-101B-9397-08002B2CF9AE}" pid="18" name="Mendeley Recent Style Name 7_1">
    <vt:lpwstr>IEEE Reference Guide version 11.29.2023</vt:lpwstr>
  </property>
  <property fmtid="{D5CDD505-2E9C-101B-9397-08002B2CF9AE}" pid="19" name="Mendeley Recent Style Id 8_1">
    <vt:lpwstr>http://www.zotero.org/styles/nature</vt:lpwstr>
  </property>
  <property fmtid="{D5CDD505-2E9C-101B-9397-08002B2CF9AE}" pid="20" name="Mendeley Recent Style Name 8_1">
    <vt:lpwstr>Nature</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Document_1">
    <vt:lpwstr>True</vt:lpwstr>
  </property>
  <property fmtid="{D5CDD505-2E9C-101B-9397-08002B2CF9AE}" pid="24" name="Mendeley Unique User Id_1">
    <vt:lpwstr>84724120-2899-3e00-9d51-492fd182cb3b</vt:lpwstr>
  </property>
  <property fmtid="{D5CDD505-2E9C-101B-9397-08002B2CF9AE}" pid="25" name="Mendeley Citation Style_1">
    <vt:lpwstr>http://www.zotero.org/styles/bmc-nursing</vt:lpwstr>
  </property>
</Properties>
</file>