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Response to the Editor and Reviewers</w:t>
      </w:r>
    </w:p>
    <w:p>
      <w:pPr/>
      <w:r>
        <w:rPr/>
        <w:t>Manuscript ID: 7545151</w:t>
        <w:br/>
        <w:t>Journal: Nursing &amp; Health Sciences</w:t>
        <w:br/>
        <w:t>Title: Between Alert and Action: Nurses' Experiences of AI-Assisted Early Warning, Clinical Judgment, and Patient Safety in Critical Care</w:t>
      </w:r>
    </w:p>
    <w:p>
      <w:pPr/>
      <w:r>
        <w:rPr/>
        <w:t>Dear Editor,</w:t>
        <w:br/>
        <w:t>Thank you for the editor’s and reviewers’ comments. We have revised the manuscript and supporting files as described below. Changes are highlighted in the marked manuscript, and an identical clean version is supplied. Participant data and quotation wording have been retained; all displayed counts and reference identities were checked. Each response identifies the relevant section or accompanying file.</w:t>
      </w:r>
    </w:p>
    <w:p>
      <w:pPr/>
      <w:r>
        <w:rPr/>
        <w:t>Yours sincerely,</w:t>
        <w:br/>
        <w:t>Osama Mohamed Elsayed Ramadan, on behalf of all authors</w:t>
      </w:r>
    </w:p>
    <w:p>
      <w:pPr>
        <w:pStyle w:val="Heading1"/>
      </w:pPr>
      <w:r>
        <w:rPr/>
        <w:t>Editor</w:t>
      </w:r>
    </w:p>
    <w:p>
      <w:pPr>
        <w:keepNext/>
      </w:pPr>
      <w:r>
        <w:rPr>
          <w:b/>
        </w:rPr>
        <w:t>Comment E1. Characterization of the systems and participants’ exposure. If possible, describe the systems used at each hospital, including their purpose, the component that qualifies them as AI-assisted, the alerts generated, and their integration into nursing workflows. Distinguish these systems from conventional monitoring alarms or rule-based decision-support systems. Please also report how long the systems had been implemented and participants’ experience using them, drawing on the information collected through the demographic form. Explain how differences in technology, exposure, training, and response protocols across hospitals informed the interpretation of the findings. A concise table may help present this information while preserving institutional anonymity. If this distinction cannot be made, please explain why and discuss the implications for interpreting the findings in the Discussion section.</w:t>
      </w:r>
    </w:p>
    <w:p>
      <w:pPr/>
      <w:r>
        <w:rPr/>
        <w:t>Response: We added a working definition distinguishing data-driven predictive early-warning systems from conventional monitor alarms and rule-based scores (Section 2.3). Table 1 now describes each site’s purpose, predictive component, alert types, workflow integration, implementation period, training, response protocol, and participant exposure. Its note identifies the mixed documentary and participant-reported sources and retains the unverified status of Hospital D’s reported protocol. Exposure categories combine the original overlapping 6–12-month and 1–3-year options without participant reclassification; S1 explains this reporting step. Section 2.5 describes the demographic information collected, Section 2.8 explains site-tagged interpretation, and Section 4.6 discusses system heterogeneity and the cumulative conventional/AI alert environment.</w:t>
      </w:r>
    </w:p>
    <w:p>
      <w:pPr>
        <w:keepNext/>
      </w:pPr>
      <w:r>
        <w:rPr>
          <w:b/>
        </w:rPr>
        <w:t>Comment E2. Transparency in theme development. The supplementary interview guide labels its sections “Themes 1–4,” closely corresponding to the final themes. Please clarify whether these labels were present during data collection or added retrospectively for presentation. Explain the relationship between the orienting conceptual framework, interview questions, initial codes, and final themes, distinguishing predefined areas of inquiry from interpretations developed through analysis. Please also clarify whether the analysis was deductive, inductive, or a combination of both.</w:t>
      </w:r>
    </w:p>
    <w:p>
      <w:pPr/>
      <w:r>
        <w:rPr/>
        <w:t>Response: S1 now uses the original areas-of-inquiry labels and explains that the former theme cross-references were added retrospectively for presentation. Sections 2.6 and 2.8 distinguish the framework-informed questions from inductively generated codes and reflexively developed interpretations. S2 provides an illustrative mapping from framework concepts and questions to codes and final themes. We acknowledge that the topic areas were prompted, explain the interpretive content developed through analysis, and note the correspondence between interview domains and final themes in Section 4.6. We removed the unsupported claim that negotiation was established as a discrete third response mode and renamed subtheme 2.2 consistently as “Alert responses and professional accountability” across the text, Table 3 and Figure 2; the corresponding discrete third-mode claim was removed from S2.</w:t>
      </w:r>
    </w:p>
    <w:p>
      <w:pPr>
        <w:keepNext/>
      </w:pPr>
      <w:r>
        <w:rPr>
          <w:b/>
        </w:rPr>
        <w:t>Comment E3. Disclosure of AI use. Please specify whether AI tools were used in preparing the manuscript. If they were used for drafting, language editing, grammar correction, or similar purposes, this information must be included in the Acknowledgements section on the title page. If AI tools were used to create or enhance Figures 1 and 2, this information must also be disclosed in the respective figure legends.</w:t>
      </w:r>
    </w:p>
    <w:p>
      <w:pPr/>
      <w:r>
        <w:rPr/>
        <w:t xml:space="preserve">Response: AI tools were not used to collect or transcribe interviews, code the data, or develop the study findings. The title-page Acknowledgments report the use of Grammarly and QuillBot for language editing and state that, during revision, AI assistance supported drafting and editing of revised text, consistency checking, and generation of the plotting code for Figure 2. No recordings or transcripts were shared, participant quotations were not altered, and the authors verified all content. The Figure 1 legend states that it was created without AI tools; the Figure 2 legend discloses the plotting-code assistance.</w:t>
      </w:r>
    </w:p>
    <w:p>
      <w:pPr>
        <w:keepNext/>
      </w:pPr>
      <w:r>
        <w:rPr>
          <w:b/>
        </w:rPr>
        <w:t>Comment E4. These revisions are essential to establish what technology participants experienced and how the analysis generated its interpretive contribution. Please submit a revised manuscript with a point-by-point response explaining how each concern has been addressed.</w:t>
      </w:r>
    </w:p>
    <w:p>
      <w:pPr/>
      <w:r>
        <w:rPr/>
        <w:t>Response: The highlighted and clean manuscripts are supplied with this point-by-point response, the title page, S1 interview guide and demographic form, S2 analytic mapping, and S3 COREQ checklist. Responses below use stable section, table and figure locations so that the changes remain findable across manuscript versions.</w:t>
      </w:r>
    </w:p>
    <w:p>
      <w:pPr>
        <w:pStyle w:val="Heading1"/>
      </w:pPr>
      <w:r>
        <w:rPr/>
        <w:t>Reviewer 1</w:t>
      </w:r>
    </w:p>
    <w:p>
      <w:pPr>
        <w:keepNext/>
      </w:pPr>
      <w:r>
        <w:rPr>
          <w:b/>
        </w:rPr>
        <w:t>Comment 1.1. The manuscript submitted by the authors is very well presented and comprehensively addresses the core aspects of research. The study is ethically sound, scientifically rigorous, and methodologically robust, with clear and technically accurate reporting of the methods and results. The scope of the manuscript is highly relevant to clinical practice, education, and future decision-making. The findings are presented in a balanced manner, offering a comprehensive understanding of participants’ perspectives. Importantly, the authors have also appropriately acknowledged and discussed the limitations of the study, reflecting transparency and critical reflection in reporting the research. Furthermore, the detailed presentation of the study has the potential to encourage similar research in other contexts and settings. Overall, the manuscript is reader-friendly, engaging, and contributes meaningfully to the existing body of knowledge.</w:t>
      </w:r>
    </w:p>
    <w:p>
      <w:pPr/>
      <w:r>
        <w:rPr/>
        <w:t>Response: We thank the reviewer for the positive assessment. No revision was requested for this comment.</w:t>
      </w:r>
    </w:p>
    <w:p>
      <w:pPr>
        <w:pStyle w:val="Heading1"/>
      </w:pPr>
      <w:r>
        <w:rPr/>
        <w:t>Reviewer 2</w:t>
      </w:r>
    </w:p>
    <w:p>
      <w:pPr/>
      <w:r>
        <w:rPr/>
        <w:t>General comment. Thank you to the authors for this well-presented manuscript which presents research that highlights the complexity of integrating clinical judgement with technology use in critical care environments. The study is rigorous and adheres well to the chosen methodology. … The findings are informative and elucidate the necessity for critical thinking and following intuitive and experiential judgments alongside adapting to the technology. Reporting on contextual differences is an added strength of the multi-site study. I have provided some feedback for consideration, mainly relating to clarifying phrasing and supporting references. I also have a concern about table 1 and potential identification of participants. Please see below for more details.</w:t>
      </w:r>
    </w:p>
    <w:p>
      <w:pPr/>
      <w:r>
        <w:rPr/>
        <w:t>Response: Thank you. We address each point below.</w:t>
      </w:r>
    </w:p>
    <w:p>
      <w:pPr>
        <w:keepNext/>
      </w:pPr>
      <w:r>
        <w:rPr>
          <w:b/>
        </w:rPr>
        <w:t>Comment 2.1. Please consider adding a COREQ checklist to the submission to support reporting quality.</w:t>
      </w:r>
    </w:p>
    <w:p>
      <w:pPr/>
      <w:r>
        <w:rPr/>
        <w:t>Response: The completed COREQ checklist is supplied as S3 and cited in Section 2.1. COREQ is named in the abstract. Section 2.5 reports that no non-participants were present and that each participant was interviewed once; Section 2.10 reports that full transcripts were not returned and describes participant review of thematic summaries.</w:t>
      </w:r>
    </w:p>
    <w:p>
      <w:pPr>
        <w:keepNext/>
      </w:pPr>
      <w:r>
        <w:rPr>
          <w:b/>
        </w:rPr>
        <w:t>Comment 2.2. Line 82, page 5 - An additional sentence to outline what Vision 2030 is would provide more context to this statement.</w:t>
      </w:r>
    </w:p>
    <w:p>
      <w:pPr/>
      <w:r>
        <w:rPr/>
        <w:t>Response: The Introduction now explains that Vision 2030 was launched in 2016 as a national framework for economic diversification and public-sector modernisation, and describes the Health Sector Transformation Program’s access, quality, efficiency and digital-service objectives, citing the official programme source.</w:t>
      </w:r>
    </w:p>
    <w:p>
      <w:pPr>
        <w:keepNext/>
      </w:pPr>
      <w:r>
        <w:rPr>
          <w:b/>
        </w:rPr>
        <w:t>Comment 2.3. Is there any underpinning reference for figure 1? If AI was used to develop the figure, please disclose this or add in any supporting references used.</w:t>
      </w:r>
    </w:p>
    <w:p>
      <w:pPr/>
      <w:r>
        <w:rPr/>
        <w:t>Response: Section 2.2 identifies the framework as an author-developed, non-causal sensitising heuristic and cites Tanner’s clinical-judgment model, Sittig and Singh’s sociotechnical model, and literature on trust and alarm fatigue. The Figure 1 legend states that no AI tools were used to create or enhance that figure.</w:t>
      </w:r>
    </w:p>
    <w:p>
      <w:pPr>
        <w:keepNext/>
      </w:pPr>
      <w:r>
        <w:rPr>
          <w:b/>
        </w:rPr>
        <w:t>Comment 2.4. Did the researcher/ interviewer have any relationship with any of the settings? For example, have they previously worked in ICU? Please consider adding this information to the reflexivity statements on page 11; section 2.10.</w:t>
      </w:r>
    </w:p>
    <w:p>
      <w:pPr/>
      <w:r>
        <w:rPr/>
        <w:t>Response: Section 2.10 now reports the interviewer’s six years of adult ICU and three years of paediatric nursing experience, and clarifies that he had not worked at the participating hospitals and held no employment, managerial, supervisory or teaching relationship with the units or participants. The section also explains how clinical assumptions were examined through interviewing and reflexive journaling.</w:t>
      </w:r>
    </w:p>
    <w:p>
      <w:pPr>
        <w:keepNext/>
      </w:pPr>
      <w:r>
        <w:rPr>
          <w:b/>
        </w:rPr>
        <w:t>Comment 2.5. I have some concerns that the confidentiality of the participants may be at risk though the information in table 1. For example, if there is only one male, Filipino ICU nurse working in hospital site A they would be able to be identified. I think the nationalities could be removed from this table, but the aggregated text could stay in (line 288, page 12).</w:t>
      </w:r>
    </w:p>
    <w:p>
      <w:pPr/>
      <w:r>
        <w:rPr/>
        <w:t>Response: We replaced the participant-level demographic table with aggregate characteristics in Table 2, while retaining nationality only in aggregate in the text. Quotations now carry participant code and hospital site, without sex or experience details. This removes the linkable demographic profiles identified by the reviewer while preserving the contextual information needed to understand site-related accounts.</w:t>
      </w:r>
    </w:p>
    <w:p>
      <w:pPr>
        <w:keepNext/>
      </w:pPr>
      <w:r>
        <w:rPr>
          <w:b/>
        </w:rPr>
        <w:t>Comment 2.6. Figure 2 is very difficult to read. I appreciate the interconnectedness of all the concepts but please revise the figure to ensure all text boxes are easier to read.</w:t>
      </w:r>
    </w:p>
    <w:p>
      <w:pPr/>
      <w:r>
        <w:rPr/>
        <w:t xml:space="preserve">Response: Figure 2 has been redrawn at print resolution. Decorative icons and background elements were removed, each theme is shown as a single block listing its three subthemes, and all labels match Table 3, including the renamed subtheme 2.2. All text is at least 9 pt at the 17 cm print width. Dashed lines mark the interpretive links described in the text, and the legend states that they are not causal pathways.</w:t>
      </w:r>
    </w:p>
    <w:p>
      <w:pPr>
        <w:keepNext/>
      </w:pPr>
      <w:r>
        <w:rPr>
          <w:b/>
        </w:rPr>
        <w:t>Comment 2.7. Lines 569-571 page 22; please provide a reference to the earlier work mentioned here. Also, the statements on lines 572 -575 would benefit from additional referencing support.</w:t>
      </w:r>
    </w:p>
    <w:p>
      <w:pPr/>
      <w:r>
        <w:rPr/>
        <w:t>Response: Section 4.1 now distinguishes attitude/intention-oriented acceptance research from existing qualitative studies and cites the appropriate evidence. It supports the Saudi workforce and cultural context with the nursing workforce and cultural-competence literature, and the experiential-learning interpretation with Benner. The qualitative-review protocol is no longer used as evidence of completed findings. We also acknowledged the related published early-warning study and clarified that the present manuscript uses a separate interview dataset with a broader focus on learning, bedside alert interpretation, perceived safety implications and local implementation context.</w:t>
      </w:r>
    </w:p>
    <w:p>
      <w:pPr>
        <w:keepNext/>
      </w:pPr>
      <w:r>
        <w:rPr>
          <w:b/>
        </w:rPr>
        <w:t>Comment 2.8. Line 604 -please provide a reference for ‘sociotechnical perspectives.’</w:t>
      </w:r>
    </w:p>
    <w:p>
      <w:pPr/>
      <w:r>
        <w:rPr/>
        <w:t>Response: Section 4.3 now cites Sittig and Singh’s sociotechnical model and the theory-based AI decision-support implementation study, identifying the latter as evidence from another clinical setting where appropriate.</w:t>
      </w:r>
    </w:p>
    <w:p>
      <w:pPr>
        <w:keepNext/>
      </w:pPr>
      <w:r>
        <w:rPr>
          <w:b/>
        </w:rPr>
        <w:t>Comment 2.9. Line 608 – For clarity, rather than starting the sentence with ‘This suggests…’, consider rephrasing to, “These findings suggest…’</w:t>
      </w:r>
    </w:p>
    <w:p>
      <w:pPr/>
      <w:r>
        <w:rPr/>
        <w:t>Response: The sentence in Section 4.3 now begins “These findings suggest” and specifies that the interpretation concerns participants’ perceived safety contribution of AI-assisted early warning.</w:t>
      </w:r>
    </w:p>
    <w:p>
      <w:pPr>
        <w:keepNext/>
      </w:pPr>
      <w:r>
        <w:rPr>
          <w:b/>
        </w:rPr>
        <w:t>Comment 2.10. Line 621 – again, please rephrase ‘This suggests..’ as it can be ambiguous.</w:t>
      </w:r>
    </w:p>
    <w:p>
      <w:pPr/>
      <w:r>
        <w:rPr/>
        <w:t>Response: Section 4.4 now uses “Taken together, these accounts suggest” and makes the referent explicit: participants’ descriptions of selective, locally calibrated trust.</w:t>
      </w:r>
    </w:p>
    <w:p>
      <w:pPr>
        <w:keepNext/>
      </w:pPr>
      <w:r>
        <w:rPr>
          <w:b/>
        </w:rPr>
        <w:t>Comment 2.11. It is interesting that the age range of participants overall was 26 – 51 years. This may be a factor to add into the discussion and/or limitations. Does this reflect the general demographic of ICU nurses overall in the specific contexts?</w:t>
      </w:r>
    </w:p>
    <w:p>
      <w:pPr/>
      <w:r>
        <w:rPr/>
        <w:t>Response: Section 4.6 discusses the age range of 26–51 years, the exclusion of newly qualified nurses, possible recruitment-related limits, and the absence of unit-level workforce data needed to establish representativeness. It identifies the potential transferability limits for novice and later-career nurses.</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PAGE"/>
    <w:r>
      <w:rPr>
        <w:sz w:val="18"/>
      </w:rPr>
      <w:t xml:space="preserve"> of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